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1-1927</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GOODYEAR TIRE &amp; RUBBER COMPANY</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72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5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rPr>
              <w:t>34-0253240</w:t>
            </w:r>
          </w:p>
        </w:tc>
        <w:tc>
          <w:tcPr>
            <w:tcW w:w="0" w:type="dxa"/>
            <w:vAlign w:val="bottom"/>
          </w:tcPr>
          <w:p>
            <w:pPr>
              <w:spacing w:after="0"/>
              <w:rPr>
                <w:sz w:val="1"/>
                <w:szCs w:val="1"/>
                <w:color w:val="auto"/>
              </w:rPr>
            </w:pPr>
          </w:p>
        </w:tc>
      </w:tr>
      <w:tr>
        <w:trPr>
          <w:trHeight w:val="189"/>
        </w:trPr>
        <w:tc>
          <w:tcPr>
            <w:tcW w:w="4720" w:type="dxa"/>
            <w:vAlign w:val="bottom"/>
          </w:tcPr>
          <w:p>
            <w:pPr>
              <w:jc w:val="center"/>
              <w:ind w:left="77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540" w:type="dxa"/>
            <w:vAlign w:val="bottom"/>
          </w:tcPr>
          <w:p>
            <w:pPr>
              <w:jc w:val="center"/>
              <w:ind w:right="1930"/>
              <w:spacing w:after="0" w:line="189"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47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588"/>
        </w:trPr>
        <w:tc>
          <w:tcPr>
            <w:tcW w:w="472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200 Innovation Way, Akron, Ohio</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rPr>
              <w:t>44316-0001</w:t>
            </w:r>
          </w:p>
        </w:tc>
        <w:tc>
          <w:tcPr>
            <w:tcW w:w="0" w:type="dxa"/>
            <w:vAlign w:val="bottom"/>
          </w:tcPr>
          <w:p>
            <w:pPr>
              <w:spacing w:after="0"/>
              <w:rPr>
                <w:sz w:val="1"/>
                <w:szCs w:val="1"/>
                <w:color w:val="auto"/>
              </w:rPr>
            </w:pPr>
          </w:p>
        </w:tc>
      </w:tr>
      <w:tr>
        <w:trPr>
          <w:trHeight w:val="234"/>
        </w:trPr>
        <w:tc>
          <w:tcPr>
            <w:tcW w:w="47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5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400"/>
        </w:trPr>
        <w:tc>
          <w:tcPr>
            <w:tcW w:w="4720" w:type="dxa"/>
            <w:vAlign w:val="bottom"/>
          </w:tcPr>
          <w:p>
            <w:pPr>
              <w:spacing w:after="0"/>
              <w:rPr>
                <w:sz w:val="24"/>
                <w:szCs w:val="24"/>
                <w:color w:val="auto"/>
              </w:rPr>
            </w:pPr>
          </w:p>
        </w:tc>
        <w:tc>
          <w:tcPr>
            <w:tcW w:w="17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(330) 796-2121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4"/>
                <w:szCs w:val="24"/>
                <w:color w:val="auto"/>
              </w:rPr>
            </w:pPr>
          </w:p>
        </w:tc>
        <w:tc>
          <w:tcPr>
            <w:tcW w:w="286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47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Stock, Without Par Value</w:t>
            </w:r>
          </w:p>
        </w:tc>
        <w:tc>
          <w:tcPr>
            <w:tcW w:w="120" w:type="dxa"/>
            <w:vAlign w:val="bottom"/>
          </w:tcPr>
          <w:p>
            <w:pPr>
              <w:spacing w:after="0"/>
              <w:rPr>
                <w:sz w:val="19"/>
                <w:szCs w:val="19"/>
                <w:color w:val="auto"/>
              </w:rPr>
            </w:pPr>
          </w:p>
        </w:tc>
        <w:tc>
          <w:tcPr>
            <w:tcW w:w="2860" w:type="dxa"/>
            <w:vAlign w:val="bottom"/>
            <w:gridSpan w:val="3"/>
            <w:vMerge w:val="restart"/>
          </w:tcPr>
          <w:p>
            <w:pPr>
              <w:jc w:val="center"/>
              <w:ind w:right="1220"/>
              <w:spacing w:after="0"/>
              <w:rPr>
                <w:sz w:val="20"/>
                <w:szCs w:val="20"/>
                <w:color w:val="auto"/>
              </w:rPr>
            </w:pPr>
            <w:r>
              <w:rPr>
                <w:rFonts w:ascii="Times New Roman" w:cs="Times New Roman" w:eastAsia="Times New Roman" w:hAnsi="Times New Roman"/>
                <w:sz w:val="18"/>
                <w:szCs w:val="18"/>
                <w:color w:val="auto"/>
                <w:w w:val="99"/>
              </w:rPr>
              <w:t>GT</w:t>
            </w:r>
          </w:p>
        </w:tc>
        <w:tc>
          <w:tcPr>
            <w:tcW w:w="35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70"/>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3"/>
            <w:vMerge w:val="continue"/>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7"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780" w:type="dxa"/>
            <w:vAlign w:val="bottom"/>
          </w:tcPr>
          <w:p>
            <w:pPr>
              <w:spacing w:after="0"/>
              <w:rPr>
                <w:sz w:val="18"/>
                <w:szCs w:val="18"/>
                <w:color w:val="auto"/>
              </w:rPr>
            </w:pP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spacing w:after="0"/>
              <w:rPr>
                <w:sz w:val="18"/>
                <w:szCs w:val="18"/>
                <w:color w:val="auto"/>
              </w:rPr>
            </w:pPr>
          </w:p>
        </w:tc>
        <w:tc>
          <w:tcPr>
            <w:tcW w:w="48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0" w:type="dxa"/>
            <w:vAlign w:val="bottom"/>
            <w:vMerge w:val="continue"/>
          </w:tcPr>
          <w:p>
            <w:pPr>
              <w:spacing w:after="0"/>
              <w:rPr>
                <w:sz w:val="22"/>
                <w:szCs w:val="22"/>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vMerge w:val="continue"/>
          </w:tcPr>
          <w:p>
            <w:pPr>
              <w:spacing w:after="0"/>
              <w:rPr>
                <w:sz w:val="22"/>
                <w:szCs w:val="22"/>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Non-accelerated filer</w:t>
            </w:r>
          </w:p>
        </w:tc>
        <w:tc>
          <w:tcPr>
            <w:tcW w:w="520" w:type="dxa"/>
            <w:vAlign w:val="bottom"/>
            <w:vMerge w:val="continue"/>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540" w:type="dxa"/>
            <w:vAlign w:val="bottom"/>
            <w:vMerge w:val="continue"/>
          </w:tcPr>
          <w:p>
            <w:pPr>
              <w:spacing w:after="0"/>
              <w:rPr>
                <w:sz w:val="22"/>
                <w:szCs w:val="2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2"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301"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3120" w:type="dxa"/>
            <w:vAlign w:val="bottom"/>
          </w:tcPr>
          <w:p>
            <w:pPr>
              <w:spacing w:after="0"/>
              <w:rPr>
                <w:sz w:val="18"/>
                <w:szCs w:val="18"/>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Without Par Value, Outstanding at July 31, 2022:</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282,802,845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-19685</wp:posOffset>
            </wp:positionV>
            <wp:extent cx="389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-19685</wp:posOffset>
            </wp:positionV>
            <wp:extent cx="389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-19685</wp:posOffset>
            </wp:positionV>
            <wp:extent cx="389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-19685</wp:posOffset>
            </wp:positionV>
            <wp:extent cx="389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EX-101.INS INSTANCE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EX-101.SCH SCHEMA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EX-101.CAL CALCULATION LINKBASE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EX-101.DEF DEFINITION LINKBASE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EX-101.LAB LABELS LINKBASE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EX-101.PRE PRESENTATION LINKBASE DOCUMENT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583565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121" w:right="1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5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5"/>
                <w:szCs w:val="15"/>
                <w:color w:val="auto"/>
              </w:rPr>
            </w:pPr>
          </w:p>
        </w:tc>
      </w:tr>
      <w:tr>
        <w:trPr>
          <w:trHeight w:val="187"/>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40" w:type="dxa"/>
            <w:vAlign w:val="bottom"/>
          </w:tcPr>
          <w:p>
            <w:pPr>
              <w:spacing w:after="0"/>
              <w:rPr>
                <w:sz w:val="16"/>
                <w:szCs w:val="16"/>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 (Note 3)</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5,212</w:t>
            </w:r>
          </w:p>
        </w:tc>
        <w:tc>
          <w:tcPr>
            <w:tcW w:w="1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3,979</w:t>
            </w:r>
          </w:p>
        </w:tc>
        <w:tc>
          <w:tcPr>
            <w:tcW w:w="1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10,120</w:t>
            </w:r>
          </w:p>
        </w:tc>
        <w:tc>
          <w:tcPr>
            <w:tcW w:w="1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7,490</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4,172</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3,078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8,138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5,829</w:t>
            </w: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1,405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1,222</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 (Note 4)</w:t>
            </w:r>
          </w:p>
        </w:tc>
        <w:tc>
          <w:tcPr>
            <w:tcW w:w="24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r>
      <w:tr>
        <w:trPr>
          <w:trHeight w:val="20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Expense (Note 6)</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Minority Shareholders’ Net Income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r>
      <w:tr>
        <w:trPr>
          <w:trHeight w:val="249"/>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166</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262</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79</w:t>
            </w:r>
          </w:p>
        </w:tc>
      </w:tr>
      <w:tr>
        <w:trPr>
          <w:trHeight w:val="385"/>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 Per Share of Common Stock</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0.58</w:t>
            </w:r>
          </w:p>
        </w:tc>
        <w:tc>
          <w:tcPr>
            <w:tcW w:w="90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0.27</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0.92</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0.33</w:t>
            </w:r>
          </w:p>
        </w:tc>
      </w:tr>
      <w:tr>
        <w:trPr>
          <w:trHeight w:val="196"/>
        </w:trPr>
        <w:tc>
          <w:tcPr>
            <w:tcW w:w="5980" w:type="dxa"/>
            <w:vAlign w:val="bottom"/>
            <w:tcBorders>
              <w:top w:val="single" w:sz="8" w:color="CFF0FC"/>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(Note 7)</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244</w:t>
            </w: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239</w:t>
            </w:r>
          </w:p>
        </w:tc>
      </w:tr>
      <w:tr>
        <w:trPr>
          <w:trHeight w:val="256"/>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0.58</w:t>
            </w:r>
          </w:p>
        </w:tc>
        <w:tc>
          <w:tcPr>
            <w:tcW w:w="90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0.27</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0.91</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0.32</w:t>
            </w:r>
          </w:p>
        </w:tc>
      </w:tr>
      <w:tr>
        <w:trPr>
          <w:trHeight w:val="215"/>
        </w:trPr>
        <w:tc>
          <w:tcPr>
            <w:tcW w:w="59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7)</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top w:val="single" w:sz="8" w:color="CFF0FC"/>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-892810</wp:posOffset>
            </wp:positionV>
            <wp:extent cx="939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-875665</wp:posOffset>
            </wp:positionV>
            <wp:extent cx="93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-892810</wp:posOffset>
            </wp:positionV>
            <wp:extent cx="85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-875665</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-892810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-875665</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-473710</wp:posOffset>
            </wp:positionV>
            <wp:extent cx="93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-456565</wp:posOffset>
            </wp:positionV>
            <wp:extent cx="93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-473710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-456565</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-473710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-456565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-173990</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-156845</wp:posOffset>
            </wp:positionV>
            <wp:extent cx="93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-173990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-156845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-173990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-156845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COMPREHENSIVE INCOME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208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6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1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Foreign currency translation, net of tax of ($6) and ($6) in 2022 ($2 and $1 in</w:t>
            </w:r>
          </w:p>
        </w:tc>
        <w:tc>
          <w:tcPr>
            <w:tcW w:w="6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(187 )</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170"/>
        </w:trPr>
        <w:tc>
          <w:tcPr>
            <w:tcW w:w="61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Unrealized gain from securities, net of tax of $0 and $0 in 2022 ($0 and $0 in</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tcPr>
          <w:p>
            <w:pPr>
              <w:spacing w:after="0"/>
              <w:rPr>
                <w:sz w:val="20"/>
                <w:szCs w:val="2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Defined benefit plans:</w:t>
            </w:r>
          </w:p>
        </w:tc>
        <w:tc>
          <w:tcPr>
            <w:tcW w:w="6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10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Amortization of prior service cost and unrecognized gains and losses</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included in total benefit cost, net of tax of $7 and $15 in 2022 ($8 and $17 in</w:t>
            </w: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tcPr>
          <w:p>
            <w:pPr>
              <w:spacing w:after="0"/>
              <w:rPr>
                <w:sz w:val="20"/>
                <w:szCs w:val="2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70"/>
        </w:trPr>
        <w:tc>
          <w:tcPr>
            <w:tcW w:w="6100" w:type="dxa"/>
            <w:vAlign w:val="bottom"/>
            <w:shd w:val="clear" w:color="auto" w:fill="CFF0FC"/>
          </w:tcPr>
          <w:p>
            <w:pPr>
              <w:ind w:left="380"/>
              <w:spacing w:after="0" w:line="170" w:lineRule="exact"/>
              <w:rPr>
                <w:sz w:val="20"/>
                <w:szCs w:val="20"/>
                <w:color w:val="auto"/>
              </w:rPr>
            </w:pPr>
            <w:r>
              <w:rPr>
                <w:rFonts w:ascii="Times New Roman" w:cs="Times New Roman" w:eastAsia="Times New Roman" w:hAnsi="Times New Roman"/>
                <w:sz w:val="18"/>
                <w:szCs w:val="18"/>
                <w:color w:val="auto"/>
              </w:rPr>
              <w:t>Change in net actuarial losses, net of tax of ($2) and $3 in 2022 ($2 and $5 in</w:t>
            </w:r>
          </w:p>
        </w:tc>
        <w:tc>
          <w:tcPr>
            <w:tcW w:w="6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0"/>
        </w:trPr>
        <w:tc>
          <w:tcPr>
            <w:tcW w:w="610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Immediate recognition of prior service cost and unrecognized gains and</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losses due to curtailments, settlements and divestitures, net of tax of $5 and</w:t>
            </w: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 in 2022 ($4 and $4 in 2021)</w:t>
            </w:r>
          </w:p>
        </w:tc>
        <w:tc>
          <w:tcPr>
            <w:tcW w:w="680" w:type="dxa"/>
            <w:vAlign w:val="bottom"/>
          </w:tcPr>
          <w:p>
            <w:pPr>
              <w:spacing w:after="0"/>
              <w:rPr>
                <w:sz w:val="20"/>
                <w:szCs w:val="20"/>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70"/>
        </w:trPr>
        <w:tc>
          <w:tcPr>
            <w:tcW w:w="61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Deferred derivative gains (losses), net of tax of $0 and $0 in 2022 ($0 and $0 in</w:t>
            </w:r>
          </w:p>
        </w:tc>
        <w:tc>
          <w:tcPr>
            <w:tcW w:w="6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0"/>
        </w:trPr>
        <w:tc>
          <w:tcPr>
            <w:tcW w:w="610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w:t>
            </w:r>
          </w:p>
        </w:tc>
        <w:tc>
          <w:tcPr>
            <w:tcW w:w="680" w:type="dxa"/>
            <w:vAlign w:val="bottom"/>
          </w:tcPr>
          <w:p>
            <w:pPr>
              <w:spacing w:after="0"/>
              <w:rPr>
                <w:sz w:val="14"/>
                <w:szCs w:val="14"/>
                <w:color w:val="auto"/>
              </w:rPr>
            </w:pPr>
          </w:p>
        </w:tc>
        <w:tc>
          <w:tcPr>
            <w:tcW w:w="4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1"/>
        </w:trPr>
        <w:tc>
          <w:tcPr>
            <w:tcW w:w="6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 and $0 in 2022 ($0 and $0 in 2021)</w:t>
            </w:r>
          </w:p>
        </w:tc>
        <w:tc>
          <w:tcPr>
            <w:tcW w:w="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6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(149 )</w:t>
            </w: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(109 )</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680" w:type="dxa"/>
            <w:vAlign w:val="bottom"/>
          </w:tcPr>
          <w:p>
            <w:pPr>
              <w:spacing w:after="0"/>
              <w:rPr>
                <w:sz w:val="18"/>
                <w:szCs w:val="18"/>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173</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6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w:t>
            </w: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24</w:t>
            </w:r>
          </w:p>
        </w:tc>
        <w:tc>
          <w:tcPr>
            <w:tcW w:w="9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168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-453390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-453390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-453390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-170815</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-170815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-170815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2"/>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2"/>
        </w:trPr>
        <w:tc>
          <w:tcPr>
            <w:tcW w:w="8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1,248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1,088</w:t>
            </w:r>
          </w:p>
        </w:tc>
      </w:tr>
      <w:tr>
        <w:trPr>
          <w:trHeight w:val="202"/>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less Allowance — $112 ($123 in 2021)</w:t>
            </w:r>
          </w:p>
        </w:tc>
        <w:tc>
          <w:tcPr>
            <w:tcW w:w="2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2,387</w:t>
            </w:r>
          </w:p>
        </w:tc>
      </w:tr>
      <w:tr>
        <w:trPr>
          <w:trHeight w:val="202"/>
        </w:trPr>
        <w:tc>
          <w:tcPr>
            <w:tcW w:w="8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2"/>
        </w:trPr>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958</w:t>
            </w:r>
          </w:p>
        </w:tc>
      </w:tr>
      <w:tr>
        <w:trPr>
          <w:trHeight w:val="202"/>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191</w:t>
            </w:r>
          </w:p>
        </w:tc>
      </w:tr>
      <w:tr>
        <w:trPr>
          <w:trHeight w:val="202"/>
        </w:trPr>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Finished Products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3,062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2,445</w:t>
            </w:r>
          </w:p>
        </w:tc>
      </w:tr>
      <w:tr>
        <w:trPr>
          <w:trHeight w:val="196"/>
        </w:trPr>
        <w:tc>
          <w:tcPr>
            <w:tcW w:w="8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4,389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3,594</w:t>
            </w:r>
          </w:p>
        </w:tc>
      </w:tr>
      <w:tr>
        <w:trPr>
          <w:trHeight w:val="202"/>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262</w:t>
            </w:r>
          </w:p>
        </w:tc>
      </w:tr>
      <w:tr>
        <w:trPr>
          <w:trHeight w:val="196"/>
        </w:trPr>
        <w:tc>
          <w:tcPr>
            <w:tcW w:w="82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9,223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7,331</w:t>
            </w:r>
          </w:p>
        </w:tc>
      </w:tr>
      <w:tr>
        <w:trPr>
          <w:trHeight w:val="202"/>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1,004</w:t>
            </w:r>
          </w:p>
        </w:tc>
      </w:tr>
      <w:tr>
        <w:trPr>
          <w:trHeight w:val="202"/>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1,039</w:t>
            </w:r>
          </w:p>
        </w:tc>
      </w:tr>
      <w:tr>
        <w:trPr>
          <w:trHeight w:val="202"/>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(Note 6)</w:t>
            </w:r>
          </w:p>
        </w:tc>
        <w:tc>
          <w:tcPr>
            <w:tcW w:w="2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1,596</w:t>
            </w:r>
          </w:p>
        </w:tc>
      </w:tr>
      <w:tr>
        <w:trPr>
          <w:trHeight w:val="202"/>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1,106</w:t>
            </w:r>
          </w:p>
        </w:tc>
      </w:tr>
      <w:tr>
        <w:trPr>
          <w:trHeight w:val="202"/>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981</w:t>
            </w:r>
          </w:p>
        </w:tc>
      </w:tr>
      <w:tr>
        <w:trPr>
          <w:trHeight w:val="202"/>
        </w:trPr>
        <w:tc>
          <w:tcPr>
            <w:tcW w:w="8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 $11,045 ($11,130 in 2021)</w:t>
            </w:r>
          </w:p>
        </w:tc>
        <w:tc>
          <w:tcPr>
            <w:tcW w:w="2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8,041</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8,345</w:t>
            </w:r>
          </w:p>
        </w:tc>
      </w:tr>
      <w:tr>
        <w:trPr>
          <w:trHeight w:val="196"/>
        </w:trPr>
        <w:tc>
          <w:tcPr>
            <w:tcW w:w="82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22,901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21,402</w:t>
            </w:r>
          </w:p>
        </w:tc>
      </w:tr>
      <w:tr>
        <w:trPr>
          <w:trHeight w:val="20"/>
        </w:trPr>
        <w:tc>
          <w:tcPr>
            <w:tcW w:w="8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202"/>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2"/>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2"/>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4,593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4,148</w:t>
            </w:r>
          </w:p>
        </w:tc>
      </w:tr>
      <w:tr>
        <w:trPr>
          <w:trHeight w:val="202"/>
        </w:trPr>
        <w:tc>
          <w:tcPr>
            <w:tcW w:w="8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Compensation and Benefits (Notes 11 and 12)</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689</w:t>
            </w:r>
          </w:p>
        </w:tc>
      </w:tr>
      <w:tr>
        <w:trPr>
          <w:trHeight w:val="202"/>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822</w:t>
            </w:r>
          </w:p>
        </w:tc>
      </w:tr>
      <w:tr>
        <w:trPr>
          <w:trHeight w:val="202"/>
        </w:trPr>
        <w:tc>
          <w:tcPr>
            <w:tcW w:w="8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Notes Payable and Overdrafts (Note 9)</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406</w:t>
            </w:r>
          </w:p>
        </w:tc>
      </w:tr>
      <w:tr>
        <w:trPr>
          <w:trHeight w:val="202"/>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due Within One Year</w:t>
            </w:r>
          </w:p>
        </w:tc>
        <w:tc>
          <w:tcPr>
            <w:tcW w:w="2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204</w:t>
            </w:r>
          </w:p>
        </w:tc>
      </w:tr>
      <w:tr>
        <w:trPr>
          <w:trHeight w:val="202"/>
        </w:trPr>
        <w:tc>
          <w:tcPr>
            <w:tcW w:w="8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and Finance Leases due Within One Year (Note 9)</w:t>
            </w:r>
          </w:p>
        </w:tc>
        <w:tc>
          <w:tcPr>
            <w:tcW w:w="2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343</w:t>
            </w:r>
          </w:p>
        </w:tc>
      </w:tr>
      <w:tr>
        <w:trPr>
          <w:trHeight w:val="196"/>
        </w:trPr>
        <w:tc>
          <w:tcPr>
            <w:tcW w:w="82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7,121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6,612</w:t>
            </w:r>
          </w:p>
        </w:tc>
      </w:tr>
      <w:tr>
        <w:trPr>
          <w:trHeight w:val="202"/>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819</w:t>
            </w:r>
          </w:p>
        </w:tc>
      </w:tr>
      <w:tr>
        <w:trPr>
          <w:trHeight w:val="202"/>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Debt and Finance Leases (Note 9)</w:t>
            </w:r>
          </w:p>
        </w:tc>
        <w:tc>
          <w:tcPr>
            <w:tcW w:w="2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7,569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6,648</w:t>
            </w:r>
          </w:p>
        </w:tc>
      </w:tr>
      <w:tr>
        <w:trPr>
          <w:trHeight w:val="202"/>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and Benefits (Notes 11 and 12)</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1,293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1,445</w:t>
            </w:r>
          </w:p>
        </w:tc>
      </w:tr>
      <w:tr>
        <w:trPr>
          <w:trHeight w:val="202"/>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(Note 6)</w:t>
            </w:r>
          </w:p>
        </w:tc>
        <w:tc>
          <w:tcPr>
            <w:tcW w:w="2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135</w:t>
            </w:r>
          </w:p>
        </w:tc>
      </w:tr>
      <w:tr>
        <w:trPr>
          <w:trHeight w:val="202"/>
        </w:trPr>
        <w:tc>
          <w:tcPr>
            <w:tcW w:w="8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559</w:t>
            </w:r>
          </w:p>
        </w:tc>
      </w:tr>
      <w:tr>
        <w:trPr>
          <w:trHeight w:val="196"/>
        </w:trPr>
        <w:tc>
          <w:tcPr>
            <w:tcW w:w="82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17,554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16,218</w:t>
            </w:r>
          </w:p>
        </w:tc>
      </w:tr>
      <w:tr>
        <w:trPr>
          <w:trHeight w:val="202"/>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13)</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2"/>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2"/>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2"/>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2"/>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Authorized, 450 million shares, Outstanding shares — 282 million in 2022 (282 million in 2021)</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282</w:t>
            </w:r>
          </w:p>
        </w:tc>
      </w:tr>
      <w:tr>
        <w:trPr>
          <w:trHeight w:val="202"/>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Surplus</w:t>
            </w:r>
          </w:p>
        </w:tc>
        <w:tc>
          <w:tcPr>
            <w:tcW w:w="2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3,107</w:t>
            </w:r>
          </w:p>
        </w:tc>
      </w:tr>
      <w:tr>
        <w:trPr>
          <w:trHeight w:val="202"/>
        </w:trPr>
        <w:tc>
          <w:tcPr>
            <w:tcW w:w="8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5,835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5,573</w:t>
            </w:r>
          </w:p>
        </w:tc>
      </w:tr>
      <w:tr>
        <w:trPr>
          <w:trHeight w:val="202"/>
        </w:trPr>
        <w:tc>
          <w:tcPr>
            <w:tcW w:w="8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(4,057 )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(3,963 )</w:t>
            </w:r>
          </w:p>
        </w:tc>
      </w:tr>
      <w:tr>
        <w:trPr>
          <w:trHeight w:val="196"/>
        </w:trPr>
        <w:tc>
          <w:tcPr>
            <w:tcW w:w="82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5,174</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4,999</w:t>
            </w:r>
          </w:p>
        </w:tc>
      </w:tr>
      <w:tr>
        <w:trPr>
          <w:trHeight w:val="202"/>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Minority Shareholders’ Equity — Nonredeemable</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185</w:t>
            </w:r>
          </w:p>
        </w:tc>
      </w:tr>
      <w:tr>
        <w:trPr>
          <w:trHeight w:val="196"/>
        </w:trPr>
        <w:tc>
          <w:tcPr>
            <w:tcW w:w="82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5,347</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5,184</w:t>
            </w:r>
          </w:p>
        </w:tc>
      </w:tr>
      <w:tr>
        <w:trPr>
          <w:trHeight w:val="196"/>
        </w:trPr>
        <w:tc>
          <w:tcPr>
            <w:tcW w:w="82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22,901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21,402</w:t>
            </w:r>
          </w:p>
        </w:tc>
      </w:tr>
      <w:tr>
        <w:trPr>
          <w:trHeight w:val="20"/>
        </w:trPr>
        <w:tc>
          <w:tcPr>
            <w:tcW w:w="8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-3826510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-2508250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-1729105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-161925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4"/>
        </w:trPr>
        <w:tc>
          <w:tcPr>
            <w:tcW w:w="308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04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0" w:type="dxa"/>
            <w:vAlign w:val="bottom"/>
          </w:tcPr>
          <w:p>
            <w:pPr>
              <w:spacing w:after="0"/>
              <w:rPr>
                <w:sz w:val="15"/>
                <w:szCs w:val="15"/>
                <w:color w:val="auto"/>
              </w:rPr>
            </w:pPr>
          </w:p>
        </w:tc>
        <w:tc>
          <w:tcPr>
            <w:tcW w:w="11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 — Non-</w:t>
            </w:r>
          </w:p>
        </w:tc>
        <w:tc>
          <w:tcPr>
            <w:tcW w:w="100" w:type="dxa"/>
            <w:vAlign w:val="bottom"/>
          </w:tcPr>
          <w:p>
            <w:pPr>
              <w:spacing w:after="0"/>
              <w:rPr>
                <w:sz w:val="15"/>
                <w:szCs w:val="15"/>
                <w:color w:val="auto"/>
              </w:rPr>
            </w:pPr>
          </w:p>
        </w:tc>
        <w:tc>
          <w:tcPr>
            <w:tcW w:w="104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8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42,494,684 common treasury</w:t>
            </w:r>
          </w:p>
        </w:tc>
        <w:tc>
          <w:tcPr>
            <w:tcW w:w="90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281,793,2</w:t>
            </w:r>
          </w:p>
        </w:tc>
        <w:tc>
          <w:tcPr>
            <w:tcW w:w="4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282</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3,107</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5,573</w:t>
            </w:r>
          </w:p>
        </w:tc>
        <w:tc>
          <w:tcPr>
            <w:tcW w:w="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(3,963 )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4,999</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185</w:t>
            </w:r>
          </w:p>
        </w:tc>
        <w:tc>
          <w:tcPr>
            <w:tcW w:w="2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5,184</w:t>
            </w:r>
          </w:p>
        </w:tc>
        <w:tc>
          <w:tcPr>
            <w:tcW w:w="0" w:type="dxa"/>
            <w:vAlign w:val="bottom"/>
          </w:tcPr>
          <w:p>
            <w:pPr>
              <w:spacing w:after="0"/>
              <w:rPr>
                <w:sz w:val="1"/>
                <w:szCs w:val="1"/>
                <w:color w:val="auto"/>
              </w:rPr>
            </w:pPr>
          </w:p>
        </w:tc>
      </w:tr>
      <w:tr>
        <w:trPr>
          <w:trHeight w:val="187"/>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w:t>
            </w:r>
          </w:p>
        </w:tc>
        <w:tc>
          <w:tcPr>
            <w:tcW w:w="42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75"/>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9"/>
        </w:trPr>
        <w:tc>
          <w:tcPr>
            <w:tcW w:w="3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(8 )</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136</w:t>
            </w:r>
          </w:p>
        </w:tc>
        <w:tc>
          <w:tcPr>
            <w:tcW w:w="0" w:type="dxa"/>
            <w:vAlign w:val="bottom"/>
          </w:tcPr>
          <w:p>
            <w:pPr>
              <w:spacing w:after="0"/>
              <w:rPr>
                <w:sz w:val="1"/>
                <w:szCs w:val="1"/>
                <w:color w:val="auto"/>
              </w:rPr>
            </w:pPr>
          </w:p>
        </w:tc>
      </w:tr>
      <w:tr>
        <w:trPr>
          <w:trHeight w:val="175"/>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635,149</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8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41,859,535 common treasury</w:t>
            </w:r>
          </w:p>
        </w:tc>
        <w:tc>
          <w:tcPr>
            <w:tcW w:w="90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282,428,3</w:t>
            </w:r>
          </w:p>
        </w:tc>
        <w:tc>
          <w:tcPr>
            <w:tcW w:w="420" w:type="dxa"/>
            <w:vAlign w:val="bottom"/>
            <w:gridSpan w:val="2"/>
            <w:shd w:val="clear" w:color="auto" w:fill="CFF0FC"/>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282</w:t>
            </w:r>
          </w:p>
        </w:tc>
        <w:tc>
          <w:tcPr>
            <w:tcW w:w="260" w:type="dxa"/>
            <w:vAlign w:val="bottom"/>
            <w:gridSpan w:val="2"/>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3,109</w:t>
            </w:r>
          </w:p>
        </w:tc>
        <w:tc>
          <w:tcPr>
            <w:tcW w:w="180" w:type="dxa"/>
            <w:vAlign w:val="bottom"/>
            <w:gridSpan w:val="2"/>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5,669</w:t>
            </w:r>
          </w:p>
        </w:tc>
        <w:tc>
          <w:tcPr>
            <w:tcW w:w="180" w:type="dxa"/>
            <w:vAlign w:val="bottom"/>
            <w:gridSpan w:val="2"/>
            <w:shd w:val="clear" w:color="auto" w:fill="CFF0FC"/>
          </w:tcPr>
          <w:p>
            <w:pPr>
              <w:ind w:left="100"/>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(3,915 )</w:t>
            </w:r>
          </w:p>
        </w:tc>
        <w:tc>
          <w:tcPr>
            <w:tcW w:w="220" w:type="dxa"/>
            <w:vAlign w:val="bottom"/>
            <w:gridSpan w:val="2"/>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5,145</w:t>
            </w:r>
          </w:p>
        </w:tc>
        <w:tc>
          <w:tcPr>
            <w:tcW w:w="180" w:type="dxa"/>
            <w:vAlign w:val="bottom"/>
            <w:gridSpan w:val="2"/>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177</w:t>
            </w:r>
          </w:p>
        </w:tc>
        <w:tc>
          <w:tcPr>
            <w:tcW w:w="280" w:type="dxa"/>
            <w:vAlign w:val="bottom"/>
            <w:gridSpan w:val="2"/>
            <w:shd w:val="clear" w:color="auto" w:fill="CFF0FC"/>
          </w:tcPr>
          <w:p>
            <w:pPr>
              <w:jc w:val="right"/>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5,322</w:t>
            </w:r>
          </w:p>
        </w:tc>
        <w:tc>
          <w:tcPr>
            <w:tcW w:w="0" w:type="dxa"/>
            <w:vAlign w:val="bottom"/>
          </w:tcPr>
          <w:p>
            <w:pPr>
              <w:spacing w:after="0"/>
              <w:rPr>
                <w:sz w:val="1"/>
                <w:szCs w:val="1"/>
                <w:color w:val="auto"/>
              </w:rPr>
            </w:pPr>
          </w:p>
        </w:tc>
      </w:tr>
      <w:tr>
        <w:trPr>
          <w:trHeight w:val="187"/>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72</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0" w:type="dxa"/>
            <w:vAlign w:val="bottom"/>
          </w:tcPr>
          <w:p>
            <w:pPr>
              <w:spacing w:after="0"/>
              <w:rPr>
                <w:sz w:val="1"/>
                <w:szCs w:val="1"/>
                <w:color w:val="auto"/>
              </w:rPr>
            </w:pPr>
          </w:p>
        </w:tc>
      </w:tr>
      <w:tr>
        <w:trPr>
          <w:trHeight w:val="169"/>
        </w:trPr>
        <w:tc>
          <w:tcPr>
            <w:tcW w:w="30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w:t>
            </w: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5"/>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42,861</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8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41,816,674 common treasury</w:t>
            </w:r>
          </w:p>
        </w:tc>
        <w:tc>
          <w:tcPr>
            <w:tcW w:w="90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282,471,2</w:t>
            </w:r>
          </w:p>
        </w:tc>
        <w:tc>
          <w:tcPr>
            <w:tcW w:w="120" w:type="dxa"/>
            <w:vAlign w:val="bottom"/>
            <w:vMerge w:val="restart"/>
            <w:shd w:val="clear" w:color="auto" w:fill="CFF0FC"/>
          </w:tcPr>
          <w:p>
            <w:pPr>
              <w:spacing w:after="0"/>
              <w:rPr>
                <w:sz w:val="11"/>
                <w:szCs w:val="11"/>
                <w:color w:val="auto"/>
              </w:rPr>
            </w:pPr>
          </w:p>
        </w:tc>
        <w:tc>
          <w:tcPr>
            <w:tcW w:w="30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282</w:t>
            </w:r>
          </w:p>
        </w:tc>
        <w:tc>
          <w:tcPr>
            <w:tcW w:w="12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3,114</w:t>
            </w:r>
          </w:p>
        </w:tc>
        <w:tc>
          <w:tcPr>
            <w:tcW w:w="100" w:type="dxa"/>
            <w:vAlign w:val="bottom"/>
            <w:vMerge w:val="restart"/>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5,835</w:t>
            </w:r>
          </w:p>
        </w:tc>
        <w:tc>
          <w:tcPr>
            <w:tcW w:w="100" w:type="dxa"/>
            <w:vAlign w:val="bottom"/>
            <w:vMerge w:val="restart"/>
            <w:shd w:val="clear" w:color="auto" w:fill="CFF0FC"/>
          </w:tcPr>
          <w:p>
            <w:pPr>
              <w:spacing w:after="0"/>
              <w:rPr>
                <w:sz w:val="11"/>
                <w:szCs w:val="11"/>
                <w:color w:val="auto"/>
              </w:rPr>
            </w:pPr>
          </w:p>
        </w:tc>
        <w:tc>
          <w:tcPr>
            <w:tcW w:w="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(4,057 )</w:t>
            </w:r>
          </w:p>
        </w:tc>
        <w:tc>
          <w:tcPr>
            <w:tcW w:w="10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5,174</w:t>
            </w:r>
          </w:p>
        </w:tc>
        <w:tc>
          <w:tcPr>
            <w:tcW w:w="8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173</w:t>
            </w:r>
          </w:p>
        </w:tc>
        <w:tc>
          <w:tcPr>
            <w:tcW w:w="10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5,347</w:t>
            </w:r>
          </w:p>
        </w:tc>
        <w:tc>
          <w:tcPr>
            <w:tcW w:w="0" w:type="dxa"/>
            <w:vAlign w:val="bottom"/>
          </w:tcPr>
          <w:p>
            <w:pPr>
              <w:spacing w:after="0"/>
              <w:rPr>
                <w:sz w:val="1"/>
                <w:szCs w:val="1"/>
                <w:color w:val="auto"/>
              </w:rPr>
            </w:pPr>
          </w:p>
        </w:tc>
      </w:tr>
      <w:tr>
        <w:trPr>
          <w:trHeight w:val="227"/>
        </w:trPr>
        <w:tc>
          <w:tcPr>
            <w:tcW w:w="3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5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80" w:type="dxa"/>
            <w:vAlign w:val="bottom"/>
            <w:tcBorders>
              <w:bottom w:val="single" w:sz="8" w:color="auto"/>
            </w:tcBorders>
            <w:vMerge w:val="continue"/>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8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-1351915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-1351915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-1351915</wp:posOffset>
            </wp:positionV>
            <wp:extent cx="59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-1351915</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-1351915</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-1351915</wp:posOffset>
            </wp:positionV>
            <wp:extent cx="59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-1351915</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-804545</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-804545</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-350520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-350520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-350520</wp:posOffset>
            </wp:positionV>
            <wp:extent cx="59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-350520</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-350520</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-350520</wp:posOffset>
            </wp:positionV>
            <wp:extent cx="5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-350520</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-24765</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-7620</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-24765</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-7620</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-24765</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-7620</wp:posOffset>
            </wp:positionV>
            <wp:extent cx="59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-24765</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-7620</wp:posOffset>
            </wp:positionV>
            <wp:extent cx="59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-24765</wp:posOffset>
            </wp:positionV>
            <wp:extent cx="59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-7620</wp:posOffset>
            </wp:positionV>
            <wp:extent cx="59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and six months ended June 30, 2022.</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4"/>
        </w:trPr>
        <w:tc>
          <w:tcPr>
            <w:tcW w:w="308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0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0" w:type="dxa"/>
            <w:vAlign w:val="bottom"/>
          </w:tcPr>
          <w:p>
            <w:pPr>
              <w:spacing w:after="0"/>
              <w:rPr>
                <w:sz w:val="15"/>
                <w:szCs w:val="15"/>
                <w:color w:val="auto"/>
              </w:rPr>
            </w:pPr>
          </w:p>
        </w:tc>
        <w:tc>
          <w:tcPr>
            <w:tcW w:w="11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 — Non-</w:t>
            </w:r>
          </w:p>
        </w:tc>
        <w:tc>
          <w:tcPr>
            <w:tcW w:w="100" w:type="dxa"/>
            <w:vAlign w:val="bottom"/>
          </w:tcPr>
          <w:p>
            <w:pPr>
              <w:spacing w:after="0"/>
              <w:rPr>
                <w:sz w:val="15"/>
                <w:szCs w:val="15"/>
                <w:color w:val="auto"/>
              </w:rPr>
            </w:pPr>
          </w:p>
        </w:tc>
        <w:tc>
          <w:tcPr>
            <w:tcW w:w="104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8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45,243,329 common treasury</w:t>
            </w:r>
          </w:p>
        </w:tc>
        <w:tc>
          <w:tcPr>
            <w:tcW w:w="90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233,220,0</w:t>
            </w:r>
          </w:p>
        </w:tc>
        <w:tc>
          <w:tcPr>
            <w:tcW w:w="4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2,171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4,809</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(4,135 )</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3,078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181</w:t>
            </w:r>
          </w:p>
        </w:tc>
        <w:tc>
          <w:tcPr>
            <w:tcW w:w="2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3,259</w:t>
            </w:r>
          </w:p>
        </w:tc>
        <w:tc>
          <w:tcPr>
            <w:tcW w:w="0" w:type="dxa"/>
            <w:vAlign w:val="bottom"/>
          </w:tcPr>
          <w:p>
            <w:pPr>
              <w:spacing w:after="0"/>
              <w:rPr>
                <w:sz w:val="1"/>
                <w:szCs w:val="1"/>
                <w:color w:val="auto"/>
              </w:rPr>
            </w:pPr>
          </w:p>
        </w:tc>
      </w:tr>
      <w:tr>
        <w:trPr>
          <w:trHeight w:val="187"/>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98</w:t>
            </w:r>
          </w:p>
        </w:tc>
        <w:tc>
          <w:tcPr>
            <w:tcW w:w="42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5"/>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69"/>
        </w:trPr>
        <w:tc>
          <w:tcPr>
            <w:tcW w:w="3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(1 )</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w:t>
            </w:r>
          </w:p>
        </w:tc>
        <w:tc>
          <w:tcPr>
            <w:tcW w:w="0" w:type="dxa"/>
            <w:vAlign w:val="bottom"/>
          </w:tcPr>
          <w:p>
            <w:pPr>
              <w:spacing w:after="0"/>
              <w:rPr>
                <w:sz w:val="1"/>
                <w:szCs w:val="1"/>
                <w:color w:val="auto"/>
              </w:rPr>
            </w:pPr>
          </w:p>
        </w:tc>
      </w:tr>
      <w:tr>
        <w:trPr>
          <w:trHeight w:val="175"/>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1,759,931</w:t>
            </w: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8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43,483,398 common treasury</w:t>
            </w:r>
          </w:p>
        </w:tc>
        <w:tc>
          <w:tcPr>
            <w:tcW w:w="90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234,980,0</w:t>
            </w:r>
          </w:p>
        </w:tc>
        <w:tc>
          <w:tcPr>
            <w:tcW w:w="420" w:type="dxa"/>
            <w:vAlign w:val="bottom"/>
            <w:gridSpan w:val="2"/>
            <w:shd w:val="clear" w:color="auto" w:fill="CFF0FC"/>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235</w:t>
            </w:r>
          </w:p>
        </w:tc>
        <w:tc>
          <w:tcPr>
            <w:tcW w:w="260" w:type="dxa"/>
            <w:vAlign w:val="bottom"/>
            <w:gridSpan w:val="2"/>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2,182</w:t>
            </w:r>
          </w:p>
        </w:tc>
        <w:tc>
          <w:tcPr>
            <w:tcW w:w="180" w:type="dxa"/>
            <w:vAlign w:val="bottom"/>
            <w:gridSpan w:val="2"/>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4,821</w:t>
            </w:r>
          </w:p>
        </w:tc>
        <w:tc>
          <w:tcPr>
            <w:tcW w:w="200" w:type="dxa"/>
            <w:vAlign w:val="bottom"/>
            <w:gridSpan w:val="2"/>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(4,132 )</w:t>
            </w:r>
          </w:p>
        </w:tc>
        <w:tc>
          <w:tcPr>
            <w:tcW w:w="220" w:type="dxa"/>
            <w:vAlign w:val="bottom"/>
            <w:gridSpan w:val="2"/>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3,106</w:t>
            </w:r>
          </w:p>
        </w:tc>
        <w:tc>
          <w:tcPr>
            <w:tcW w:w="180" w:type="dxa"/>
            <w:vAlign w:val="bottom"/>
            <w:gridSpan w:val="2"/>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180</w:t>
            </w:r>
          </w:p>
        </w:tc>
        <w:tc>
          <w:tcPr>
            <w:tcW w:w="280" w:type="dxa"/>
            <w:vAlign w:val="bottom"/>
            <w:gridSpan w:val="2"/>
            <w:shd w:val="clear" w:color="auto" w:fill="CFF0FC"/>
          </w:tcPr>
          <w:p>
            <w:pPr>
              <w:jc w:val="right"/>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3,286</w:t>
            </w:r>
          </w:p>
        </w:tc>
        <w:tc>
          <w:tcPr>
            <w:tcW w:w="0" w:type="dxa"/>
            <w:vAlign w:val="bottom"/>
          </w:tcPr>
          <w:p>
            <w:pPr>
              <w:spacing w:after="0"/>
              <w:rPr>
                <w:sz w:val="1"/>
                <w:szCs w:val="1"/>
                <w:color w:val="auto"/>
              </w:rPr>
            </w:pPr>
          </w:p>
        </w:tc>
      </w:tr>
      <w:tr>
        <w:trPr>
          <w:trHeight w:val="187"/>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29</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69"/>
        </w:trPr>
        <w:tc>
          <w:tcPr>
            <w:tcW w:w="30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159</w:t>
            </w:r>
          </w:p>
        </w:tc>
        <w:tc>
          <w:tcPr>
            <w:tcW w:w="0" w:type="dxa"/>
            <w:vAlign w:val="bottom"/>
          </w:tcPr>
          <w:p>
            <w:pPr>
              <w:spacing w:after="0"/>
              <w:rPr>
                <w:sz w:val="1"/>
                <w:szCs w:val="1"/>
                <w:color w:val="auto"/>
              </w:rPr>
            </w:pPr>
          </w:p>
        </w:tc>
      </w:tr>
      <w:tr>
        <w:trPr>
          <w:trHeight w:val="139"/>
        </w:trPr>
        <w:tc>
          <w:tcPr>
            <w:tcW w:w="308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Common stock issued</w:t>
            </w:r>
          </w:p>
        </w:tc>
        <w:tc>
          <w:tcPr>
            <w:tcW w:w="900" w:type="dxa"/>
            <w:vAlign w:val="bottom"/>
            <w:shd w:val="clear" w:color="auto" w:fill="CFF0FC"/>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45,824,48</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85"/>
        </w:trPr>
        <w:tc>
          <w:tcPr>
            <w:tcW w:w="30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75"/>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387,763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Acquisition of Cooper Tire's minority interests</w:t>
            </w:r>
          </w:p>
        </w:tc>
        <w:tc>
          <w:tcPr>
            <w:tcW w:w="9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8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43,095,635 common treasury</w:t>
            </w:r>
          </w:p>
        </w:tc>
        <w:tc>
          <w:tcPr>
            <w:tcW w:w="90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281,192,2</w:t>
            </w:r>
          </w:p>
        </w:tc>
        <w:tc>
          <w:tcPr>
            <w:tcW w:w="120" w:type="dxa"/>
            <w:vAlign w:val="bottom"/>
            <w:vMerge w:val="restart"/>
            <w:shd w:val="clear" w:color="auto" w:fill="CFF0FC"/>
          </w:tcPr>
          <w:p>
            <w:pPr>
              <w:spacing w:after="0"/>
              <w:rPr>
                <w:sz w:val="11"/>
                <w:szCs w:val="11"/>
                <w:color w:val="auto"/>
              </w:rPr>
            </w:pPr>
          </w:p>
        </w:tc>
        <w:tc>
          <w:tcPr>
            <w:tcW w:w="30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281</w:t>
            </w:r>
          </w:p>
        </w:tc>
        <w:tc>
          <w:tcPr>
            <w:tcW w:w="12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3,086</w:t>
            </w:r>
          </w:p>
        </w:tc>
        <w:tc>
          <w:tcPr>
            <w:tcW w:w="100" w:type="dxa"/>
            <w:vAlign w:val="bottom"/>
            <w:vMerge w:val="restart"/>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4,888</w:t>
            </w:r>
          </w:p>
        </w:tc>
        <w:tc>
          <w:tcPr>
            <w:tcW w:w="10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(4,043 )</w:t>
            </w:r>
          </w:p>
        </w:tc>
        <w:tc>
          <w:tcPr>
            <w:tcW w:w="10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4,212</w:t>
            </w:r>
          </w:p>
        </w:tc>
        <w:tc>
          <w:tcPr>
            <w:tcW w:w="8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199</w:t>
            </w:r>
          </w:p>
        </w:tc>
        <w:tc>
          <w:tcPr>
            <w:tcW w:w="10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4,411</w:t>
            </w:r>
          </w:p>
        </w:tc>
        <w:tc>
          <w:tcPr>
            <w:tcW w:w="0" w:type="dxa"/>
            <w:vAlign w:val="bottom"/>
          </w:tcPr>
          <w:p>
            <w:pPr>
              <w:spacing w:after="0"/>
              <w:rPr>
                <w:sz w:val="1"/>
                <w:szCs w:val="1"/>
                <w:color w:val="auto"/>
              </w:rPr>
            </w:pPr>
          </w:p>
        </w:tc>
      </w:tr>
      <w:tr>
        <w:trPr>
          <w:trHeight w:val="227"/>
        </w:trPr>
        <w:tc>
          <w:tcPr>
            <w:tcW w:w="3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72</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5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80" w:type="dxa"/>
            <w:vAlign w:val="bottom"/>
            <w:tcBorders>
              <w:bottom w:val="single" w:sz="8" w:color="auto"/>
            </w:tcBorders>
            <w:vMerge w:val="continue"/>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-1668780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-1668780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-1668780</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-1668780</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-1668780</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-1668780</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-1668780</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-1120775</wp:posOffset>
            </wp:positionV>
            <wp:extent cx="59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-1120775</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-350520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-350520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-350520</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-350520</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-350520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-350520</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-350520</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-24765</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-7620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-24765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-7620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-24765</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-7620</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-24765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-7620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-24765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-7620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and six months ended June 30, 2021.</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2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5"/>
                <w:szCs w:val="15"/>
                <w:color w:val="auto"/>
              </w:rPr>
            </w:pPr>
          </w:p>
        </w:tc>
      </w:tr>
      <w:tr>
        <w:trPr>
          <w:trHeight w:val="175"/>
        </w:trPr>
        <w:tc>
          <w:tcPr>
            <w:tcW w:w="8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5"/>
                <w:szCs w:val="15"/>
                <w:color w:val="auto"/>
              </w:rPr>
            </w:pPr>
          </w:p>
        </w:tc>
      </w:tr>
      <w:tr>
        <w:trPr>
          <w:trHeight w:val="187"/>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02"/>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266</w:t>
            </w:r>
          </w:p>
        </w:tc>
        <w:tc>
          <w:tcPr>
            <w:tcW w:w="5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89</w:t>
            </w:r>
          </w:p>
        </w:tc>
      </w:tr>
      <w:tr>
        <w:trPr>
          <w:trHeight w:val="202"/>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Cash Flows from Operating Activities: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02"/>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405</w:t>
            </w:r>
          </w:p>
        </w:tc>
      </w:tr>
      <w:tr>
        <w:trPr>
          <w:trHeight w:val="202"/>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r>
      <w:tr>
        <w:trPr>
          <w:trHeight w:val="202"/>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Inventory Fair Value Adjustment Related to the Cooper Tire Acquisition (Note 2)</w:t>
            </w:r>
          </w:p>
        </w:tc>
        <w:tc>
          <w:tcPr>
            <w:tcW w:w="28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r>
      <w:tr>
        <w:trPr>
          <w:trHeight w:val="202"/>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Transaction and Other Costs Related to the Cooper Tire Acquisition (Note 2)</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r>
      <w:tr>
        <w:trPr>
          <w:trHeight w:val="202"/>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Payments for Transaction and Other Costs Related to the Cooper Tire Acquisition</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02"/>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 for Deferred Income Taxes (Note 6)</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02"/>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Pension Curtailments and Settlements</w:t>
            </w:r>
          </w:p>
        </w:tc>
        <w:tc>
          <w:tcPr>
            <w:tcW w:w="28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r>
      <w:tr>
        <w:trPr>
          <w:trHeight w:val="202"/>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Rationalization Charges (Note 4)</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w:t>
            </w:r>
          </w:p>
        </w:tc>
      </w:tr>
      <w:tr>
        <w:trPr>
          <w:trHeight w:val="202"/>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Rationalization Payments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r>
      <w:tr>
        <w:trPr>
          <w:trHeight w:val="202"/>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(Gains) Losses on Asset Sales (Note 5)</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Expense</w:t>
            </w:r>
          </w:p>
        </w:tc>
        <w:tc>
          <w:tcPr>
            <w:tcW w:w="28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w:t>
            </w:r>
          </w:p>
        </w:tc>
      </w:tr>
      <w:tr>
        <w:trPr>
          <w:trHeight w:val="202"/>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Payments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(133 )</w:t>
            </w:r>
          </w:p>
        </w:tc>
      </w:tr>
      <w:tr>
        <w:trPr>
          <w:trHeight w:val="202"/>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02"/>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02"/>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(1,024 )</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(545 )</w:t>
            </w:r>
          </w:p>
        </w:tc>
      </w:tr>
      <w:tr>
        <w:trPr>
          <w:trHeight w:val="202"/>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(542 )</w:t>
            </w:r>
          </w:p>
        </w:tc>
      </w:tr>
      <w:tr>
        <w:trPr>
          <w:trHeight w:val="202"/>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8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672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547</w:t>
            </w:r>
          </w:p>
        </w:tc>
      </w:tr>
      <w:tr>
        <w:trPr>
          <w:trHeight w:val="202"/>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r>
      <w:tr>
        <w:trPr>
          <w:trHeight w:val="202"/>
        </w:trPr>
        <w:tc>
          <w:tcPr>
            <w:tcW w:w="8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02"/>
        </w:trPr>
        <w:tc>
          <w:tcPr>
            <w:tcW w:w="8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196"/>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(533 )</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(71 )</w:t>
            </w:r>
          </w:p>
        </w:tc>
      </w:tr>
      <w:tr>
        <w:trPr>
          <w:trHeight w:val="202"/>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02"/>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of Cooper Tire, net of cash and restricted cash acquired</w:t>
            </w:r>
          </w:p>
        </w:tc>
        <w:tc>
          <w:tcPr>
            <w:tcW w:w="28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(1,856 )</w:t>
            </w:r>
          </w:p>
        </w:tc>
      </w:tr>
      <w:tr>
        <w:trPr>
          <w:trHeight w:val="202"/>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(385 )</w:t>
            </w:r>
          </w:p>
        </w:tc>
      </w:tr>
      <w:tr>
        <w:trPr>
          <w:trHeight w:val="202"/>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Proceeds from Sale and Leaseback Transaction (Note 5)</w:t>
            </w:r>
          </w:p>
        </w:tc>
        <w:tc>
          <w:tcPr>
            <w:tcW w:w="28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 Dispositions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Securities Acquired</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02"/>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Securities Redeemed</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r>
      <w:tr>
        <w:trPr>
          <w:trHeight w:val="202"/>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Notes Receivable</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02"/>
        </w:trPr>
        <w:tc>
          <w:tcPr>
            <w:tcW w:w="8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Transactions</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r>
      <w:tr>
        <w:trPr>
          <w:trHeight w:val="196"/>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(403 )</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(2,233 )</w:t>
            </w:r>
          </w:p>
        </w:tc>
      </w:tr>
      <w:tr>
        <w:trPr>
          <w:trHeight w:val="202"/>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02"/>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28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723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522</w:t>
            </w:r>
          </w:p>
        </w:tc>
      </w:tr>
      <w:tr>
        <w:trPr>
          <w:trHeight w:val="202"/>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(446 )</w:t>
            </w:r>
          </w:p>
        </w:tc>
      </w:tr>
      <w:tr>
        <w:trPr>
          <w:trHeight w:val="202"/>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Debt Incurred</w:t>
            </w:r>
          </w:p>
        </w:tc>
        <w:tc>
          <w:tcPr>
            <w:tcW w:w="28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5,312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4,855</w:t>
            </w:r>
          </w:p>
        </w:tc>
      </w:tr>
      <w:tr>
        <w:trPr>
          <w:trHeight w:val="202"/>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Paid</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(4,327 )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(3,042 )</w:t>
            </w:r>
          </w:p>
        </w:tc>
      </w:tr>
      <w:tr>
        <w:trPr>
          <w:trHeight w:val="202"/>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Issued</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r>
      <w:tr>
        <w:trPr>
          <w:trHeight w:val="202"/>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Transactions with Minority Interests in Subsidiaries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02"/>
        </w:trPr>
        <w:tc>
          <w:tcPr>
            <w:tcW w:w="8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196"/>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1,132</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1,820</w:t>
            </w:r>
          </w:p>
        </w:tc>
      </w:tr>
      <w:tr>
        <w:trPr>
          <w:trHeight w:val="202"/>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196"/>
        </w:trPr>
        <w:tc>
          <w:tcPr>
            <w:tcW w:w="8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163</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(490 )</w:t>
            </w:r>
          </w:p>
        </w:tc>
      </w:tr>
      <w:tr>
        <w:trPr>
          <w:trHeight w:val="202"/>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1,164</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1,624</w:t>
            </w:r>
          </w:p>
        </w:tc>
      </w:tr>
      <w:tr>
        <w:trPr>
          <w:trHeight w:val="236"/>
        </w:trPr>
        <w:tc>
          <w:tcPr>
            <w:tcW w:w="8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1,327</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6221095</wp:posOffset>
            </wp:positionH>
            <wp:positionV relativeFrom="paragraph">
              <wp:posOffset>-3150235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-1857375</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-24765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2021 (the “2021 Form 10-K”).</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results for the three and six months ended June 30, 2022 are not necessarily indicative of the results expected in subsequent quarters or for the year ending December 31, 2022.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2021, the Financial Accounting Standards Board issued an accounting standards update on the disclosure of certain types of government assistance. Specifically, on an annual basis, entities will be required to make certain disclosures for transactions with a government that are accounted for by analogizing to a grant model. The standards update is effective either prospectively or retrospectively for annual periods beginning after December 15, 2021, with early adoption permitted. We are currently assessing the impact of this standards update on our disclosures in the notes to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as reported within the Consolidated Statements of Cash Flows:</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0" w:type="dxa"/>
            <w:vAlign w:val="bottom"/>
          </w:tcPr>
          <w:p>
            <w:pPr>
              <w:spacing w:after="0"/>
              <w:rPr>
                <w:sz w:val="15"/>
                <w:szCs w:val="15"/>
                <w:color w:val="auto"/>
              </w:rPr>
            </w:pPr>
          </w:p>
        </w:tc>
      </w:tr>
      <w:tr>
        <w:trPr>
          <w:trHeight w:val="187"/>
        </w:trPr>
        <w:tc>
          <w:tcPr>
            <w:tcW w:w="5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1,248</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1,030</w:t>
            </w: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4"/>
                <w:szCs w:val="24"/>
                <w:color w:val="auto"/>
                <w:vertAlign w:val="superscript"/>
              </w:rPr>
              <w:t>(1)</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104</w:t>
            </w:r>
          </w:p>
        </w:tc>
      </w:tr>
      <w:tr>
        <w:trPr>
          <w:trHeight w:val="24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1,327</w:t>
            </w: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-24765</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-7620</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 w:lineRule="exact"/>
        <w:rPr>
          <w:sz w:val="20"/>
          <w:szCs w:val="20"/>
          <w:color w:val="auto"/>
        </w:rPr>
      </w:pPr>
    </w:p>
    <w:p>
      <w:pPr>
        <w:ind w:left="1280" w:right="760" w:hanging="484"/>
        <w:spacing w:after="0" w:line="266" w:lineRule="auto"/>
        <w:tabs>
          <w:tab w:leader="none" w:pos="121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remaining Cooper Tire &amp; Rubber Company ("Cooper Tire") restricted cash acquired of $21 million and $50 million at June 30, 2022 and June 30, 2021, respectively.</w:t>
      </w:r>
    </w:p>
    <w:p>
      <w:pPr>
        <w:spacing w:after="0" w:line="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in relation to (i) accounts receivable factoring programs and (ii) change-in-control provisions of certain Cooper Tire compensation plans. The restrictions lapse when cash from factored accounts receivable is remitted to the purchaser of those receivables or as the compensation payments are made, respectively. At June 30, 2022, $65 million and $14 million were recorded in Prepaid Expenses and Other Current Assets and Other Assets in the Consolidated Balance Sheets, respectively. At June 30, 2021, $86 million and $18 million were recorded in Prepaid Expenses and Other Current Assets and Other Assets in the Consolidated Balance Sheets,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 and Adjustments</w:t>
      </w:r>
    </w:p>
    <w:p>
      <w:pPr>
        <w:spacing w:after="0" w:line="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 In the second quarter of 2021, we recorded an out of period adjustment of $8 million of income related to accrued freight charges in Americas. Additionally, in the first quarter of 2021, we recorded out of period adjustments totaling $20 million of expense, primarily related to the valuation of inventory in Americas. The adjustments related to the years, and interim periods therein, of 2016 to 2020. The adjustments did not have a material effect on any of the periods impacted.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COOPER TIRE ACQUISITION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7, 2021 (the "Closing Date"), we completed our acquisition of Cooper Tire for cash and stock consideration totaling approximately $3.1 billion (the "Merger Consideration").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Merger Consideration is allocated, as of the Closing Date, to the identifiable assets acquired and liabilities assumed of Cooper Tire, which are recognized and measured at fair value based on management’s estimates, available information and supportable assumptions that management considers reasonable.</w:t>
      </w:r>
    </w:p>
    <w:p>
      <w:pPr>
        <w:spacing w:after="0" w:line="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second quarter of 2022, we finalized our valuation of the identified assets acquired and liabilities assumed. No significant measurement period changes were recorded during the three or six months ended June 30, 2022. Principal changes since our initial measurement in the second quarter of 2021 include (i) decreasing the value attributed to customer relationships primarily to reflect updated assumptions related to customer attrition rates, (ii) updating the value attributed to trade names to reflect our long-term view of how each acquired brand fits into the overall product portfolio of the combined company and the appropriate royalty rate to value each acquired brand based on expected profitability, (iii) decreasing the value attributed to Property, Plant and Equipment primarily to reflect updated assumptions related to the estimated economic value of certain underlying assets, (iv) decreasing the value attributed to pension and other postretirement benefit liabilities primarily to reflect updated plan population data, (v) increasing the value attributed to a liability for environmental matters primarily to reflect updated estimated lifecycle remediation cost data and recording other liabilities identified during the measurement period, and (vi) a reclassification between Accounts Receivable and Accounts Payable to conform to Goodyear's classification of customer rebate and discount program liabilities. These adjustments were recorded net of adjustments to Deferred Tax Liabilities with the corresponding offset recorded to Goodwill, as applicable.</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sets forth cumulative measurement period changes since the Closing Date, as well as the final and initial allocation of the Merger Consideration to the estimated fair value of the identifiable tangible and intangible assets acquired and liabilities assumed of Cooper Tire, with the excess recorded to Goodwill as of the Closing Date: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160"/>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jc w:val="right"/>
              <w:ind w:right="892"/>
              <w:spacing w:after="0" w:line="159" w:lineRule="exact"/>
              <w:rPr>
                <w:sz w:val="20"/>
                <w:szCs w:val="20"/>
                <w:color w:val="auto"/>
              </w:rPr>
            </w:pPr>
            <w:r>
              <w:rPr>
                <w:rFonts w:ascii="Times New Roman" w:cs="Times New Roman" w:eastAsia="Times New Roman" w:hAnsi="Times New Roman"/>
                <w:sz w:val="14"/>
                <w:szCs w:val="14"/>
                <w:b w:val="1"/>
                <w:bCs w:val="1"/>
                <w:color w:val="auto"/>
              </w:rPr>
              <w:t>Final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113"/>
              <w:spacing w:after="0" w:line="15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jc w:val="right"/>
              <w:ind w:right="832"/>
              <w:spacing w:after="0" w:line="159" w:lineRule="exact"/>
              <w:rPr>
                <w:sz w:val="20"/>
                <w:szCs w:val="20"/>
                <w:color w:val="auto"/>
              </w:rPr>
            </w:pPr>
            <w:r>
              <w:rPr>
                <w:rFonts w:ascii="Times New Roman" w:cs="Times New Roman" w:eastAsia="Times New Roman" w:hAnsi="Times New Roman"/>
                <w:sz w:val="14"/>
                <w:szCs w:val="14"/>
                <w:b w:val="1"/>
                <w:bCs w:val="1"/>
                <w:color w:val="auto"/>
              </w:rPr>
              <w:t>Initial</w:t>
            </w:r>
          </w:p>
        </w:tc>
      </w:tr>
      <w:tr>
        <w:trPr>
          <w:trHeight w:val="189"/>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Period Changes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r>
      <w:tr>
        <w:trPr>
          <w:trHeight w:val="209"/>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2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18"/>
                <w:szCs w:val="18"/>
                <w:color w:val="auto"/>
              </w:rPr>
            </w:pPr>
          </w:p>
        </w:tc>
        <w:tc>
          <w:tcPr>
            <w:tcW w:w="2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8"/>
                <w:szCs w:val="18"/>
                <w:color w:val="auto"/>
              </w:rPr>
            </w:pPr>
          </w:p>
        </w:tc>
        <w:tc>
          <w:tcPr>
            <w:tcW w:w="2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1,086</w:t>
            </w:r>
          </w:p>
        </w:tc>
      </w:tr>
      <w:tr>
        <w:trPr>
          <w:trHeight w:val="216"/>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362</w:t>
            </w:r>
          </w:p>
        </w:tc>
      </w:tr>
      <w:tr>
        <w:trPr>
          <w:trHeight w:val="209"/>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4,840</w:t>
            </w:r>
          </w:p>
        </w:tc>
      </w:tr>
      <w:tr>
        <w:trPr>
          <w:trHeight w:val="216"/>
        </w:trPr>
        <w:tc>
          <w:tcPr>
            <w:tcW w:w="5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 w:type="dxa"/>
            <w:vAlign w:val="bottom"/>
          </w:tcPr>
          <w:p>
            <w:pPr>
              <w:spacing w:after="0"/>
              <w:rPr>
                <w:sz w:val="18"/>
                <w:szCs w:val="18"/>
                <w:color w:val="auto"/>
              </w:rPr>
            </w:pPr>
          </w:p>
        </w:tc>
        <w:tc>
          <w:tcPr>
            <w:tcW w:w="2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Finance Leases and Notes Payable and Overdrafts</w:t>
            </w:r>
          </w:p>
        </w:tc>
        <w:tc>
          <w:tcPr>
            <w:tcW w:w="160" w:type="dxa"/>
            <w:vAlign w:val="bottom"/>
          </w:tcPr>
          <w:p>
            <w:pPr>
              <w:spacing w:after="0"/>
              <w:rPr>
                <w:sz w:val="18"/>
                <w:szCs w:val="18"/>
                <w:color w:val="auto"/>
              </w:rPr>
            </w:pPr>
          </w:p>
        </w:tc>
        <w:tc>
          <w:tcPr>
            <w:tcW w:w="2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8"/>
                <w:szCs w:val="18"/>
                <w:color w:val="auto"/>
              </w:rPr>
            </w:pPr>
          </w:p>
        </w:tc>
        <w:tc>
          <w:tcPr>
            <w:tcW w:w="2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Minority Equity</w:t>
            </w:r>
          </w:p>
        </w:tc>
        <w:tc>
          <w:tcPr>
            <w:tcW w:w="160" w:type="dxa"/>
            <w:vAlign w:val="bottom"/>
            <w:tcBorders>
              <w:bottom w:val="single" w:sz="8" w:color="auto"/>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5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1,645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1,743</w:t>
            </w:r>
          </w:p>
        </w:tc>
      </w:tr>
      <w:tr>
        <w:trPr>
          <w:trHeight w:val="249"/>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Merger Consideration</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3,097</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-1420495</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-1420495</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-316230</wp:posOffset>
            </wp:positionV>
            <wp:extent cx="111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-316230</wp:posOffset>
            </wp:positionV>
            <wp:extent cx="1028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-24765</wp:posOffset>
            </wp:positionV>
            <wp:extent cx="1111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1111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-24765</wp:posOffset>
            </wp:positionV>
            <wp:extent cx="102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estimated value of Inventory includes adjustments totaling $245 million, comprised of $135 million primarily to adjust inventory valued on a last-in, first-out ("LIFO") basis to a current cost basis and $110 million to step-up inventory to estimated fair value. The fair value step-up was fully amortized to Cost of Goods Sold ("CGS") in 2021, including $38 million during the second quarter of 2021, as the related inventory was sold. We eliminated the LIFO reserve on Cooper Tire’s U.S. inventories as we predominately determine the value of our inventory using the first-in, first-out ("FIFO") method. To estimate the fair value of inventory, we considered the components of Cooper Tire’s inventory, as well as estimates of selling prices and selling and distribution costs that were based on Cooper Tire’s historical experience.</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value of Property, Plant and Equipment includes adjustments totaling $138 million to increase the net book value of $1,208 million to the final fair value estimate of $1,346 million. This estimate is based on a combination of cost and market approaches, including appraisals, and expectations as to the duration of time we expect to realize benefits from those assets.</w:t>
      </w:r>
    </w:p>
    <w:p>
      <w:pPr>
        <w:spacing w:after="0" w:line="6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estimated fair values of identifiable intangible assets acquired were prepared using an income valuation approach, which requires a forecast of expected future cash flows either through the use of the relief-from-royalty method or the multi-period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excess earnings method. The estimated useful lives are based on our historical experience and expectations as to the duration of time we expect to realize benefits from those assets.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values of the identifiable intangible assets acquired, their weighted average estimated useful lives and the related valuation methodology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60" w:type="dxa"/>
            <w:vAlign w:val="bottom"/>
          </w:tcPr>
          <w:p>
            <w:pPr>
              <w:spacing w:after="0"/>
              <w:rPr>
                <w:sz w:val="13"/>
                <w:szCs w:val="13"/>
                <w:color w:val="auto"/>
              </w:rPr>
            </w:pPr>
          </w:p>
        </w:tc>
      </w:tr>
      <w:tr>
        <w:trPr>
          <w:trHeight w:val="148"/>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60"/>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355"/>
              <w:spacing w:after="0" w:line="159" w:lineRule="exact"/>
              <w:rPr>
                <w:sz w:val="20"/>
                <w:szCs w:val="20"/>
                <w:color w:val="auto"/>
              </w:rPr>
            </w:pPr>
            <w:r>
              <w:rPr>
                <w:rFonts w:ascii="Times New Roman" w:cs="Times New Roman" w:eastAsia="Times New Roman" w:hAnsi="Times New Roman"/>
                <w:sz w:val="14"/>
                <w:szCs w:val="14"/>
                <w:b w:val="1"/>
                <w:bCs w:val="1"/>
                <w:color w:val="auto"/>
              </w:rPr>
              <w:t>Final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158"/>
              <w:spacing w:after="0" w:line="159" w:lineRule="exact"/>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95"/>
              <w:spacing w:after="0" w:line="15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220" w:type="dxa"/>
            <w:vAlign w:val="bottom"/>
          </w:tcPr>
          <w:p>
            <w:pPr>
              <w:spacing w:after="0"/>
              <w:rPr>
                <w:sz w:val="13"/>
                <w:szCs w:val="13"/>
                <w:color w:val="auto"/>
              </w:rPr>
            </w:pPr>
          </w:p>
        </w:tc>
        <w:tc>
          <w:tcPr>
            <w:tcW w:w="12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2760" w:type="dxa"/>
            <w:vAlign w:val="bottom"/>
          </w:tcPr>
          <w:p>
            <w:pPr>
              <w:spacing w:after="0"/>
              <w:rPr>
                <w:sz w:val="13"/>
                <w:szCs w:val="13"/>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years)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200" w:type="dxa"/>
            <w:vAlign w:val="bottom"/>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r>
      <w:tr>
        <w:trPr>
          <w:trHeight w:val="20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00" w:type="dxa"/>
            <w:vAlign w:val="bottom"/>
            <w:shd w:val="clear" w:color="auto" w:fill="CFF0FC"/>
          </w:tcPr>
          <w:p>
            <w:pPr>
              <w:spacing w:after="0"/>
              <w:rPr>
                <w:sz w:val="18"/>
                <w:szCs w:val="18"/>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Relief-from-royalty</w:t>
            </w:r>
          </w:p>
        </w:tc>
      </w:tr>
      <w:tr>
        <w:trPr>
          <w:trHeight w:val="21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(definite-lived)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 years</w:t>
            </w:r>
          </w:p>
        </w:tc>
        <w:tc>
          <w:tcPr>
            <w:tcW w:w="20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Relief-from-royalty</w:t>
            </w: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200" w:type="dxa"/>
            <w:vAlign w:val="bottom"/>
            <w:shd w:val="clear" w:color="auto" w:fill="CFF0FC"/>
          </w:tcPr>
          <w:p>
            <w:pPr>
              <w:spacing w:after="0"/>
              <w:rPr>
                <w:sz w:val="18"/>
                <w:szCs w:val="18"/>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Multi-period excess earnings</w:t>
            </w:r>
          </w:p>
        </w:tc>
      </w:tr>
      <w:tr>
        <w:trPr>
          <w:trHeight w:val="21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and other</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years</w:t>
            </w:r>
          </w:p>
        </w:tc>
        <w:tc>
          <w:tcPr>
            <w:tcW w:w="20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r>
      <w:tr>
        <w:trPr>
          <w:trHeight w:val="249"/>
        </w:trPr>
        <w:tc>
          <w:tcPr>
            <w:tcW w:w="2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1,086</w:t>
            </w: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-24765</wp:posOffset>
            </wp:positionV>
            <wp:extent cx="1454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-7620</wp:posOffset>
            </wp:positionV>
            <wp:extent cx="1454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-24765</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-7620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-24765</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-7620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Goodwill was allocated to our Americas segment. The goodwill consists of expected future economic benefits that will arise from expected future product sales, operating efficiencies and other synergies that may result from the acquisition, including income tax synergies, and is not deductible for tax purposes.</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Net sales and CGS related to Cooper Tire’s operations that have been included in our Consolidated Statements of Operations for the three months ended June 30, 2022 are $919 million and $710 million, respectively, and for the six months ended June 30, 2022 are $1,788 million and $1,429 million, respectively. Net Sales and CGS related to Cooper Tire's operations that have been included in our Consolidated Statements of Operations for both the three and six months ended June 30, 2021 are $256 million and $236 million, respectively. As a result of our ongoing integration efforts, particularly as it relates to administrative functions and financing activities, we did not present stand-alone Income before Income Taxes or Net Income for Cooper Tire for these periods.</w:t>
      </w:r>
    </w:p>
    <w:p>
      <w:pPr>
        <w:spacing w:after="0" w:line="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During the three and six months ended June 30, 2021, we incurred transaction and other costs in connection with the acquisition of Cooper Tire totaling $48 million and $55 million, respectively, including $10 million for a commitment fee related to a bridge term loan facility that was not utilized to finance the transaction and $6 million related to the post-combination settlement of certain Cooper Tire incentive compensation awards during the second quarter of 2021. In the three and six months ended June 30, 2021, $42 million and $49 million of these costs, respectively, are included in Other (Income) Expense, with the remainder included in CGS and Selling, Administrative and General Expense ("SAG") in our Consolidated Statements of Operations. There were no related transaction costs incurred during the three and six months ended June 30, 2022.</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 forma financial information</w:t>
      </w:r>
    </w:p>
    <w:p>
      <w:pPr>
        <w:spacing w:after="0" w:line="1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summarizes, on a pro forma basis, the combined results of operations of Goodyear and Cooper Tire for the three and six months ended June 30, 2021, as though the acquisition and the related financing had occurred as of January 1, 2020. The pro forma results are not necessarily indicative of either the actual consolidated results had the acquisition of Cooper Tire occurred on January 1, 2020, nor are they indicative of future consolidated operating results.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09"/>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4,563</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8,744</w:t>
            </w:r>
          </w:p>
        </w:tc>
      </w:tr>
      <w:tr>
        <w:trPr>
          <w:trHeight w:val="21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8"/>
                <w:szCs w:val="18"/>
                <w:color w:val="auto"/>
              </w:rPr>
            </w:pP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w:t>
            </w: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241</w:t>
            </w:r>
          </w:p>
        </w:tc>
      </w:tr>
    </w:tbl>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These pro forma amounts have been calculated after applying Goodyear’s accounting policies and making certain adjustments, which primarily include: (i) depreciation adjustments relating to fair value step-ups to property, plant and equipment; (ii) amortization adjustments relating to fair value estimates of acquired intangible assets; (iii) incremental interest expense associated with the $1.45 billion senior note issuance and additional borrowings under our first lien revolving credit facility used, in part, to fund the acquisition, related debt issuance costs, and fair value adjustments related to Cooper Tire's debt; (iv) CGS adjustments relating to the change from LIFO to FIFO; (v) fair value adjustments for certain Cooper Tire stock-based compensation; and (vi) transaction related costs of both Goodyear and Cooper Tire.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disaggregated net sales from contracts with customers by major source: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8"/>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8"/>
        </w:trPr>
        <w:tc>
          <w:tcPr>
            <w:tcW w:w="4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2"/>
          </w:tcPr>
          <w:p>
            <w:pPr>
              <w:jc w:val="center"/>
              <w:ind w:right="75"/>
              <w:spacing w:after="0" w:line="157"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7"/>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3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2,626</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1,301</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4,463</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3,147</w:t>
            </w:r>
          </w:p>
        </w:tc>
        <w:tc>
          <w:tcPr>
            <w:tcW w:w="220" w:type="dxa"/>
            <w:vAlign w:val="bottom"/>
            <w:gridSpan w:val="3"/>
          </w:tcPr>
          <w:p>
            <w:pPr>
              <w:spacing w:after="0"/>
              <w:rPr>
                <w:sz w:val="18"/>
                <w:szCs w:val="18"/>
                <w:color w:val="auto"/>
              </w:rPr>
            </w:pPr>
          </w:p>
        </w:tc>
        <w:tc>
          <w:tcPr>
            <w:tcW w:w="20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1,497</w:t>
            </w:r>
          </w:p>
        </w:tc>
        <w:tc>
          <w:tcPr>
            <w:tcW w:w="200" w:type="dxa"/>
            <w:vAlign w:val="bottom"/>
            <w:gridSpan w:val="3"/>
          </w:tcPr>
          <w:p>
            <w:pPr>
              <w:spacing w:after="0"/>
              <w:rPr>
                <w:sz w:val="18"/>
                <w:szCs w:val="18"/>
                <w:color w:val="auto"/>
              </w:rPr>
            </w:pPr>
          </w:p>
        </w:tc>
        <w:tc>
          <w:tcPr>
            <w:tcW w:w="2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568</w:t>
            </w:r>
          </w:p>
        </w:tc>
        <w:tc>
          <w:tcPr>
            <w:tcW w:w="200" w:type="dxa"/>
            <w:vAlign w:val="bottom"/>
            <w:gridSpan w:val="2"/>
          </w:tcPr>
          <w:p>
            <w:pPr>
              <w:spacing w:after="0"/>
              <w:rPr>
                <w:sz w:val="18"/>
                <w:szCs w:val="18"/>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5,212</w:t>
            </w:r>
          </w:p>
        </w:tc>
      </w:tr>
      <w:tr>
        <w:trPr>
          <w:trHeight w:val="20"/>
        </w:trPr>
        <w:tc>
          <w:tcPr>
            <w:tcW w:w="4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58"/>
        </w:trPr>
        <w:tc>
          <w:tcPr>
            <w:tcW w:w="4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58"/>
        </w:trPr>
        <w:tc>
          <w:tcPr>
            <w:tcW w:w="4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2"/>
          </w:tcPr>
          <w:p>
            <w:pPr>
              <w:jc w:val="center"/>
              <w:ind w:right="75"/>
              <w:spacing w:after="0" w:line="157"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7"/>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3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1,777</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1,085</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3,317</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2,256</w:t>
            </w:r>
          </w:p>
        </w:tc>
        <w:tc>
          <w:tcPr>
            <w:tcW w:w="220" w:type="dxa"/>
            <w:vAlign w:val="bottom"/>
            <w:gridSpan w:val="3"/>
          </w:tcPr>
          <w:p>
            <w:pPr>
              <w:spacing w:after="0"/>
              <w:rPr>
                <w:sz w:val="18"/>
                <w:szCs w:val="18"/>
                <w:color w:val="auto"/>
              </w:rPr>
            </w:pPr>
          </w:p>
        </w:tc>
        <w:tc>
          <w:tcPr>
            <w:tcW w:w="20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1,230</w:t>
            </w:r>
          </w:p>
        </w:tc>
        <w:tc>
          <w:tcPr>
            <w:tcW w:w="200" w:type="dxa"/>
            <w:vAlign w:val="bottom"/>
            <w:gridSpan w:val="3"/>
          </w:tcPr>
          <w:p>
            <w:pPr>
              <w:spacing w:after="0"/>
              <w:rPr>
                <w:sz w:val="18"/>
                <w:szCs w:val="18"/>
                <w:color w:val="auto"/>
              </w:rPr>
            </w:pPr>
          </w:p>
        </w:tc>
        <w:tc>
          <w:tcPr>
            <w:tcW w:w="2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493</w:t>
            </w:r>
          </w:p>
        </w:tc>
        <w:tc>
          <w:tcPr>
            <w:tcW w:w="200" w:type="dxa"/>
            <w:vAlign w:val="bottom"/>
            <w:gridSpan w:val="2"/>
          </w:tcPr>
          <w:p>
            <w:pPr>
              <w:spacing w:after="0"/>
              <w:rPr>
                <w:sz w:val="18"/>
                <w:szCs w:val="18"/>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3,979</w:t>
            </w:r>
          </w:p>
        </w:tc>
      </w:tr>
      <w:tr>
        <w:trPr>
          <w:trHeight w:val="20"/>
        </w:trPr>
        <w:tc>
          <w:tcPr>
            <w:tcW w:w="4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71"/>
        </w:trPr>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58"/>
        </w:trPr>
        <w:tc>
          <w:tcPr>
            <w:tcW w:w="4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center"/>
              <w:ind w:right="95"/>
              <w:spacing w:after="0" w:line="157"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7"/>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1,069</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8,704</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687</w:t>
            </w: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6,062</w:t>
            </w:r>
          </w:p>
        </w:tc>
        <w:tc>
          <w:tcPr>
            <w:tcW w:w="100" w:type="dxa"/>
            <w:vAlign w:val="bottom"/>
            <w:tcBorders>
              <w:bottom w:val="single" w:sz="8" w:color="auto"/>
            </w:tcBorders>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2,923</w:t>
            </w:r>
          </w:p>
        </w:tc>
        <w:tc>
          <w:tcPr>
            <w:tcW w:w="80" w:type="dxa"/>
            <w:vAlign w:val="bottom"/>
            <w:tcBorders>
              <w:bottom w:val="single" w:sz="8" w:color="auto"/>
            </w:tcBorders>
            <w:gridSpan w:val="2"/>
          </w:tcPr>
          <w:p>
            <w:pPr>
              <w:spacing w:after="0"/>
              <w:rPr>
                <w:sz w:val="18"/>
                <w:szCs w:val="18"/>
                <w:color w:val="auto"/>
              </w:rPr>
            </w:pPr>
          </w:p>
        </w:tc>
        <w:tc>
          <w:tcPr>
            <w:tcW w:w="180" w:type="dxa"/>
            <w:vAlign w:val="bottom"/>
            <w:gridSpan w:val="3"/>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1,135</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10,120</w:t>
            </w:r>
          </w:p>
        </w:tc>
      </w:tr>
      <w:tr>
        <w:trPr>
          <w:trHeight w:val="20"/>
        </w:trPr>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58"/>
        </w:trPr>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58"/>
        </w:trPr>
        <w:tc>
          <w:tcPr>
            <w:tcW w:w="4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center"/>
              <w:ind w:right="115"/>
              <w:spacing w:after="0" w:line="157"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7"/>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60" w:type="dxa"/>
            <w:vAlign w:val="bottom"/>
            <w:shd w:val="clear" w:color="auto" w:fill="CFF0FC"/>
          </w:tcPr>
          <w:p>
            <w:pPr>
              <w:spacing w:after="0"/>
              <w:rPr>
                <w:sz w:val="18"/>
                <w:szCs w:val="18"/>
                <w:color w:val="auto"/>
              </w:rPr>
            </w:pPr>
          </w:p>
        </w:tc>
        <w:tc>
          <w:tcPr>
            <w:tcW w:w="180" w:type="dxa"/>
            <w:vAlign w:val="bottom"/>
            <w:gridSpan w:val="3"/>
            <w:shd w:val="clear" w:color="auto" w:fill="CFF0FC"/>
          </w:tcPr>
          <w:p>
            <w:pPr>
              <w:spacing w:after="0"/>
              <w:rPr>
                <w:sz w:val="18"/>
                <w:szCs w:val="18"/>
                <w:color w:val="auto"/>
              </w:rPr>
            </w:pPr>
          </w:p>
        </w:tc>
        <w:tc>
          <w:tcPr>
            <w:tcW w:w="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909</w:t>
            </w:r>
          </w:p>
        </w:tc>
        <w:tc>
          <w:tcPr>
            <w:tcW w:w="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6,287</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4,043</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2,461</w:t>
            </w:r>
          </w:p>
        </w:tc>
        <w:tc>
          <w:tcPr>
            <w:tcW w:w="46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986</w:t>
            </w:r>
          </w:p>
        </w:tc>
        <w:tc>
          <w:tcPr>
            <w:tcW w:w="5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7,490</w:t>
            </w:r>
          </w:p>
        </w:tc>
      </w:tr>
      <w:tr>
        <w:trPr>
          <w:trHeight w:val="20"/>
        </w:trPr>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-4186555</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-4186555</wp:posOffset>
            </wp:positionV>
            <wp:extent cx="1282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-4186555</wp:posOffset>
            </wp:positionV>
            <wp:extent cx="1282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-2850515</wp:posOffset>
            </wp:positionV>
            <wp:extent cx="137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-2850515</wp:posOffset>
            </wp:positionV>
            <wp:extent cx="1282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-2850515</wp:posOffset>
            </wp:positionV>
            <wp:extent cx="1282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-1506220</wp:posOffset>
            </wp:positionV>
            <wp:extent cx="1282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-1506220</wp:posOffset>
            </wp:positionV>
            <wp:extent cx="1200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-1506220</wp:posOffset>
            </wp:positionV>
            <wp:extent cx="1200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3703955</wp:posOffset>
            </wp:positionH>
            <wp:positionV relativeFrom="paragraph">
              <wp:posOffset>-170815</wp:posOffset>
            </wp:positionV>
            <wp:extent cx="1282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-170815</wp:posOffset>
            </wp:positionV>
            <wp:extent cx="1200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-170815</wp:posOffset>
            </wp:positionV>
            <wp:extent cx="1200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$21 million and $23 million at June 30, 2022 and December 31, 2021, respectively. Deferred revenue included in Other Long Term Liabilities in the Consolidated Balance Sheets totaled $18 million and $21 million at June 30, 2022 and December 31, 2021, respectively. We recognize deferred revenue after we have transferred control of the goods or services to the customer and all revenue recognition criteria are met.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 of deferred revenue related to contracts with customers, and changes during the six months ended June 30, 2022:</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7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62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6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6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9"/>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COSTS ASSOCIATED WITH RATIONALIZATION PROGRAMS</w:t>
      </w:r>
    </w:p>
    <w:p>
      <w:pPr>
        <w:spacing w:after="0" w:line="1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order to maintain our global competitiveness, we have implemented rationalization actions over the past several years to reduce high-cost and excess manufacturing capacity and operating and administrative costs.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liability balance between periods: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7"/>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88</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Charges</w:t>
            </w:r>
          </w:p>
        </w:tc>
        <w:tc>
          <w:tcPr>
            <w:tcW w:w="280" w:type="dxa"/>
            <w:vAlign w:val="bottom"/>
          </w:tcPr>
          <w:p>
            <w:pPr>
              <w:spacing w:after="0"/>
              <w:rPr>
                <w:sz w:val="18"/>
                <w:szCs w:val="18"/>
                <w:color w:val="auto"/>
              </w:rPr>
            </w:pPr>
          </w:p>
        </w:tc>
        <w:tc>
          <w:tcPr>
            <w:tcW w:w="15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r>
      <w:tr>
        <w:trPr>
          <w:trHeight w:val="170"/>
        </w:trPr>
        <w:tc>
          <w:tcPr>
            <w:tcW w:w="564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Incurred, net of foreign currency translation of $(2) million and $0 million,</w:t>
            </w:r>
          </w:p>
        </w:tc>
        <w:tc>
          <w:tcPr>
            <w:tcW w:w="2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r>
      <w:tr>
        <w:trPr>
          <w:trHeight w:val="234"/>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9"/>
        </w:trPr>
        <w:tc>
          <w:tcPr>
            <w:tcW w:w="5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64</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-24765</wp:posOffset>
            </wp:positionV>
            <wp:extent cx="1200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1200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-24765</wp:posOffset>
            </wp:positionV>
            <wp:extent cx="1200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120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second quarter of 2022, we approved a plan related to the integration of Cooper Tire aimed at reducing duplicative global SAG headcount and closing redundant Cooper Tire warehouse locations in Americas in line with previously announced planned synergies. Total expected charges related to the plan are $54 million, of which $44 million represents cash charges primarily for associate severance and other exit benefits. The remainder of the charges represent primarily accelerated depreciation. The plan will result in approximately 490 job reductions. We have $19 million accrued related to this plan at June 30, 2022, which is expected to be substantially paid through 2023.</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remainder of the accrual balance at June 30, 2022 is expected to be substantially utilized in the next 12 months and includes $21 million related to plans to reduce SAG headcount, $5 million related to the permanent closure of our Gadsden, Alabama tire manufacturing facility ("Gadsden"), $5 million related to the closed Amiens, France tire manufacturing facility, and various other plans to reduce headcount and improve operating efficiency.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before Income Taxes: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214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6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5"/>
                <w:szCs w:val="15"/>
                <w:color w:val="auto"/>
              </w:rPr>
            </w:pPr>
          </w:p>
        </w:tc>
      </w:tr>
      <w:tr>
        <w:trPr>
          <w:trHeight w:val="187"/>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7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7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6040" w:type="dxa"/>
            <w:vAlign w:val="bottom"/>
            <w:tcBorders>
              <w:top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740" w:type="dxa"/>
            <w:vAlign w:val="bottom"/>
            <w:tcBorders>
              <w:top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6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7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7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740" w:type="dxa"/>
            <w:vAlign w:val="bottom"/>
          </w:tcPr>
          <w:p>
            <w:pPr>
              <w:jc w:val="right"/>
              <w:ind w:right="535"/>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w:t>
            </w:r>
          </w:p>
        </w:tc>
        <w:tc>
          <w:tcPr>
            <w:tcW w:w="10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15</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49"/>
        </w:trPr>
        <w:tc>
          <w:tcPr>
            <w:tcW w:w="6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740" w:type="dxa"/>
            <w:vAlign w:val="bottom"/>
            <w:tcBorders>
              <w:top w:val="single" w:sz="8" w:color="auto"/>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26</w:t>
            </w: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37</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-1009650</wp:posOffset>
            </wp:positionV>
            <wp:extent cx="939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-1009650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-1009650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-316230</wp:posOffset>
            </wp:positionV>
            <wp:extent cx="939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-316230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-316230</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-24765</wp:posOffset>
            </wp:positionV>
            <wp:extent cx="939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-7620</wp:posOffset>
            </wp:positionV>
            <wp:extent cx="939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-24765</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-7620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new charges for the three and six months ended June 30, 2022 and 2021 relate to future cash outflows. Net current year plan charges for the three and six months ended June 30, 2022 are primarily due to the Cooper Tire integration related plan discussed above. Net current year plan charges for the six months ended June 30, 2021 primarily relate to a plan to reduce SAG headcount in Europe, Middle East and Africa (“EMEA”).</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prior year plan charges for the three and six months ended June 30, 2022 included $4 million and $11 million, respectively, related to the permanent closure of Gadsden, $1 million and $6 million, respectively, related to the modernization of two of our tire manufacturing facilities in Germany, and reversals of $1 million and $2 million, respectively, for actions no longer needed for their originally intended purpose. Net prior year plan charges for the three and six months ended June 30, 2021 included $7 million and $21 million, respectively, related to the modernization of two of our tire manufacturing facilities in Germany, $9</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1" w:lineRule="exact"/>
        <w:rPr>
          <w:sz w:val="20"/>
          <w:szCs w:val="20"/>
          <w:color w:val="auto"/>
        </w:rPr>
      </w:pPr>
    </w:p>
    <w:p>
      <w:pPr>
        <w:jc w:val="both"/>
        <w:ind w:firstLine="52"/>
        <w:spacing w:after="0" w:line="281" w:lineRule="auto"/>
        <w:rPr>
          <w:sz w:val="20"/>
          <w:szCs w:val="20"/>
          <w:color w:val="auto"/>
        </w:rPr>
      </w:pPr>
      <w:r>
        <w:rPr>
          <w:rFonts w:ascii="Times New Roman" w:cs="Times New Roman" w:eastAsia="Times New Roman" w:hAnsi="Times New Roman"/>
          <w:sz w:val="18"/>
          <w:szCs w:val="18"/>
          <w:color w:val="auto"/>
        </w:rPr>
        <w:t>million and $17 million, respectively, related to the permanent closure of Gadsden, and $2 million and $10 million, respectively, related to various other plans to reduce headcount and improve operating efficiency.</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Ongoing rationalization plans had approximately $830 million in charges incurred prior to 2022 and approximately $60 million is expected to be incurred in future periods.</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Approximately 490 associates will be released under the new plan initiated in the second quarter of 2022, of which approximately 60 were released through June 30, 2022. In the first six months of 2022, approximately 100 associates were released under plans initiated in prior years. Approximately 550 associates remain to be released under all ongoing rationalization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OTHER (INCOME)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5"/>
                <w:szCs w:val="15"/>
                <w:color w:val="auto"/>
              </w:rPr>
            </w:pPr>
          </w:p>
        </w:tc>
      </w:tr>
      <w:tr>
        <w:trPr>
          <w:trHeight w:val="187"/>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on a favorable indirect tax ruling in Brazil</w:t>
            </w:r>
          </w:p>
        </w:tc>
        <w:tc>
          <w:tcPr>
            <w:tcW w:w="2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r>
      <w:tr>
        <w:trPr>
          <w:trHeight w:val="249"/>
        </w:trPr>
        <w:tc>
          <w:tcPr>
            <w:tcW w:w="6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(65 )</w:t>
            </w:r>
          </w:p>
        </w:tc>
        <w:tc>
          <w:tcPr>
            <w:tcW w:w="1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(60 )</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-24765</wp:posOffset>
            </wp:positionV>
            <wp:extent cx="939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-7620</wp:posOffset>
            </wp:positionV>
            <wp:extent cx="93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-7620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-24765</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-7620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For further information, refer to Note to the Consolidated Financial Statements No. 11, Pension, Savings and Other Postretirement Benefit Plans.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along with other companies, had previously filed various claims with the Brazilian tax authorities challenging the legality of the government's calculation of certain indirect taxes dating back to 2001. During the second quarter of 2021, the Brazilian Supreme Court rendered a final ruling that was favorable to companies on the remaining open aspects of these claims. As a result of the ruling, we recorded a gain in CGS of $69 million and related interest income of $48 million in Other (Income) Expense.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Financing fees and financial instruments expense consists of commitment fees and charges incurred in connection with financing transactions. Financing fees and financial instruments expense for the three and six months ended June 30, 2021 includes a $10 million charge for a commitment fee on a bridge term loan facility related to the Cooper Tire acquisition that was not utilized and was terminated upon the closing of the transaction.</w:t>
      </w:r>
    </w:p>
    <w:p>
      <w:pPr>
        <w:spacing w:after="0" w:line="6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foreign currency exchange (gains) losses include $7 million of expense in the first quarter of 2021 related to the out of period adjustments discussed in Note to the Consolidated Financial Statements No. 1, Accounting Policies.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Royalty income of $6 million and $17 million, respectively, for the three and six months ended June 30, 2022 increased compared to 2021 primarily due to an increase in chemical royalties in Americas.</w:t>
      </w:r>
    </w:p>
    <w:p>
      <w:pPr>
        <w:spacing w:after="0" w:line="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gains on asset sales for the three and six months ended June 30, 2022 include a $95 million one-time gain related to a sale and leaseback transaction for certain consumer and commercial retail locations in Americas. Cash proceeds, which were received during the second quarter of 2022, related to this transaction totaled $108 million. Leaseback terms for all locations include a 15-year initial term with up to six 5-year renewal options. We have determined it is not probable that we will exercise any of the renewal options. The transaction resulted in the recognition of Operating Lease Right-of-Use Assets totaling $57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include legal, consulting and other expenses incurred by us in connection with the Cooper Tire acquisition in 2021.</w:t>
      </w:r>
    </w:p>
    <w:p>
      <w:pPr>
        <w:spacing w:after="0" w:line="1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Other (Income) Expense also includes general and product liability expense - discontinued products, which consists of charges for claims against us related primarily to asbestos personal injury claims, net of probable insurance recoveries, and interest income.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INCOME TAXES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 the second quarter of 2022, we recorded income tax expense of $82 million on income before income taxes of $252 million. For the first six months of 2022, we recorded income tax expense of $120 million on income before income taxes of $386 million. Income tax expense for the three and six months ended June 30, 2022 includes net discrete tax expense of $14 million and $18 million, respectively. Discrete tax expense for the second quarter of 2022 includes a charge of $14 million to write off deferred tax assets related to tax loss carryforwards in the UK. Discrete tax expense for the first six months of 2022 also includes a charge of $11 million to establish a full valuation allowance on our net deferred tax assets in Russia, partially offset by a net benefit of $7 million for various other items.</w:t>
      </w:r>
    </w:p>
    <w:p>
      <w:pPr>
        <w:spacing w:after="0" w:line="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second quarter of 2021, we recorded income tax expense of $27 million on income before income taxes of $98 million. For the first six months of 2021, we recorded income tax expense of $42 million on income before income taxes of $131 million. Income tax expense for the three and six months ended June 30, 2021 includes net discrete tax benefits of $32 million and $29 million, respectively, primarily related to adjusting our deferred tax assets in England for an enacted increase in the tax rate, partially offset by net discrete charges for various other items, including the settlement of a tax audit in Poland.</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both the three and six months ended June 30, 2022 primarily relates to losses in foreign jurisdictions in which no tax benefits are recorded and the discrete items noted above. The difference between our effective tax rate and the U.S. statutory tax rate of 21% for both the three and six months ended June 30, 2021 primarily relates to the tax on a favorable indirect tax ruling in Brazil, losses in foreign jurisdictions in which no tax benefits are recorded, and the discrete items noted above.</w:t>
      </w:r>
    </w:p>
    <w:p>
      <w:pPr>
        <w:spacing w:after="0" w:line="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At both June 30, 2022 and December 31, 2021, we had approximately $1.2 billion of U.S. federal, state and local net deferred tax assets, net of valuation allowances totaling $26 million primarily for state tax loss carryforwards with limited lives. In the U.S., we have a cumulative loss for the three-year period ending June 30, 2022. However, as the three-year cumulative loss in the U.S. is driven by business disruptions created by the COVID-19 pandemic, primarily in 2020, and only include the favorable impact of the Cooper Tire acquisition since the Closing Date, we also considered other objectively verifiable information in assessing our ability to utilize our net deferred tax assets, including continued favorable overall volume trends in the tire industry and our tire volume compared to 2020 levels. In addition, the Cooper Tire acquisition has generated significant incremental domestic earnings since the Closing Date and provides opportunities for cost and other operating synergies to further improve our U.S. profitability.</w:t>
      </w:r>
    </w:p>
    <w:p>
      <w:pPr>
        <w:spacing w:after="0" w:line="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At both June 30, 2022 and December 31, 2021, our U.S. net deferred tax assets include $339 million of foreign tax credits with limited lives, net of valuation allowances of $3 million. Our earnings and forecasts of future profitability, taking into consideration recent trends, along with three significant sources of foreign income, provide us sufficient positive evidence that we will be able to utilize these net foreign tax credits which expire through 2030.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higher raw material, transportation, labor and energy costs, on our profitability, as well as the impact of tax planning strategies. These macroeconomic factors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described above provide us sufficient positive, objectively verifiable evidence to conclude that it is more likely than not that, at June 30, 2022, our U.S. net deferred tax assets, including our foreign tax credits, net of valuation allowances, will be fully utilized.</w:t>
      </w:r>
    </w:p>
    <w:p>
      <w:pPr>
        <w:spacing w:after="0" w:line="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At June 30, 2022 and December 31, 2021, we also had approximately $1.2 billion and $1.3 billion of foreign net deferred tax assets, respectively, and related valuation allowances of $1.0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$800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changes to our unrecognized tax benefits did not, and for the full year of 2022 are not expected to, have a significant impact on our financial position or results of operations.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open to examination in the United States for 2021 and in Germany from 2018 onward. Generally, for our remaining tax jurisdictions, years from 2017 onward are still open to examination.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206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6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5"/>
                <w:szCs w:val="15"/>
                <w:color w:val="auto"/>
              </w:rPr>
            </w:pPr>
          </w:p>
        </w:tc>
      </w:tr>
      <w:tr>
        <w:trPr>
          <w:trHeight w:val="187"/>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6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Goodyear net income</w:t>
            </w:r>
          </w:p>
        </w:tc>
        <w:tc>
          <w:tcPr>
            <w:tcW w:w="6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166</w:t>
            </w:r>
          </w:p>
        </w:tc>
        <w:tc>
          <w:tcPr>
            <w:tcW w:w="9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262</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6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606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66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239</w:t>
            </w:r>
          </w:p>
        </w:tc>
      </w:tr>
      <w:tr>
        <w:trPr>
          <w:trHeight w:val="196"/>
        </w:trPr>
        <w:tc>
          <w:tcPr>
            <w:tcW w:w="60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660" w:type="dxa"/>
            <w:vAlign w:val="bottom"/>
          </w:tcPr>
          <w:p>
            <w:pPr>
              <w:jc w:val="right"/>
              <w:ind w:right="476"/>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b w:val="1"/>
                <w:bCs w:val="1"/>
                <w:color w:val="auto"/>
                <w:w w:val="95"/>
              </w:rPr>
              <w:t>0.58</w:t>
            </w:r>
          </w:p>
        </w:tc>
        <w:tc>
          <w:tcPr>
            <w:tcW w:w="940" w:type="dxa"/>
            <w:vAlign w:val="bottom"/>
            <w:gridSpan w:val="2"/>
          </w:tcPr>
          <w:p>
            <w:pPr>
              <w:jc w:val="right"/>
              <w:ind w:right="6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rPr>
              <w:t>0.27</w:t>
            </w:r>
          </w:p>
        </w:tc>
        <w:tc>
          <w:tcPr>
            <w:tcW w:w="34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b w:val="1"/>
                <w:bCs w:val="1"/>
                <w:color w:val="auto"/>
              </w:rPr>
              <w:t>0.92</w:t>
            </w:r>
          </w:p>
        </w:tc>
        <w:tc>
          <w:tcPr>
            <w:tcW w:w="460" w:type="dxa"/>
            <w:vAlign w:val="bottom"/>
            <w:gridSpan w:val="2"/>
          </w:tcPr>
          <w:p>
            <w:pPr>
              <w:jc w:val="right"/>
              <w:ind w:right="15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b w:val="1"/>
                <w:bCs w:val="1"/>
                <w:color w:val="auto"/>
              </w:rPr>
              <w:t>0.33</w:t>
            </w:r>
          </w:p>
        </w:tc>
      </w:tr>
      <w:tr>
        <w:trPr>
          <w:trHeight w:val="20"/>
        </w:trPr>
        <w:tc>
          <w:tcPr>
            <w:tcW w:w="6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0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Goodyear net income</w:t>
            </w: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166</w:t>
            </w:r>
          </w:p>
        </w:tc>
        <w:tc>
          <w:tcPr>
            <w:tcW w:w="94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262</w:t>
            </w: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r>
      <w:tr>
        <w:trPr>
          <w:trHeight w:val="196"/>
        </w:trPr>
        <w:tc>
          <w:tcPr>
            <w:tcW w:w="6060" w:type="dxa"/>
            <w:vAlign w:val="bottom"/>
            <w:tcBorders>
              <w:top w:val="single" w:sz="8" w:color="CFF0FC"/>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6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239</w:t>
            </w:r>
          </w:p>
        </w:tc>
      </w:tr>
      <w:tr>
        <w:trPr>
          <w:trHeight w:val="216"/>
        </w:trPr>
        <w:tc>
          <w:tcPr>
            <w:tcW w:w="6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6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6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6"/>
        </w:trPr>
        <w:tc>
          <w:tcPr>
            <w:tcW w:w="606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660" w:type="dxa"/>
            <w:vAlign w:val="bottom"/>
            <w:tcBorders>
              <w:bottom w:val="single" w:sz="8" w:color="auto"/>
            </w:tcBorders>
            <w:shd w:val="clear" w:color="auto" w:fill="CFF0FC"/>
          </w:tcPr>
          <w:p>
            <w:pPr>
              <w:jc w:val="right"/>
              <w:ind w:right="476"/>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b w:val="1"/>
                <w:bCs w:val="1"/>
                <w:color w:val="auto"/>
                <w:w w:val="95"/>
              </w:rPr>
              <w:t>0.58</w:t>
            </w:r>
          </w:p>
        </w:tc>
        <w:tc>
          <w:tcPr>
            <w:tcW w:w="1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rPr>
              <w:t>0.27</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b w:val="1"/>
                <w:bCs w:val="1"/>
                <w:color w:val="auto"/>
              </w:rPr>
              <w:t>0.91</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b w:val="1"/>
                <w:bCs w:val="1"/>
                <w:color w:val="auto"/>
              </w:rPr>
              <w:t>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-1232535</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-1215390</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-1232535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-1215390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-1232535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-1215390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-633095</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-615950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-633095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-615950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-633095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-615950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-333375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-333375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-333375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-24765</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4559935</wp:posOffset>
            </wp:positionH>
            <wp:positionV relativeFrom="paragraph">
              <wp:posOffset>-7620</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-24765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-7620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Weighted average shares outstanding — diluted for both the three and six months ended June 30, 2022 and the three and six months ended June 30, 2021 excludes approximately 2 million equivalent shares related to options with exercise prices greater than the average market price of our common shares (i.e., "underwater" options).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BUSINESS SEGMENTS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5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5"/>
                <w:szCs w:val="15"/>
                <w:color w:val="auto"/>
              </w:rPr>
            </w:pPr>
          </w:p>
        </w:tc>
      </w:tr>
      <w:tr>
        <w:trPr>
          <w:trHeight w:val="187"/>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3,147</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2,256</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6,062</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4,043</w:t>
            </w:r>
          </w:p>
        </w:tc>
      </w:tr>
      <w:tr>
        <w:trPr>
          <w:trHeight w:val="216"/>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1,497</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1,230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2,923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2,461</w:t>
            </w: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568</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1,135</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986</w:t>
            </w:r>
          </w:p>
        </w:tc>
      </w:tr>
      <w:tr>
        <w:trPr>
          <w:trHeight w:val="249"/>
        </w:trPr>
        <w:tc>
          <w:tcPr>
            <w:tcW w:w="59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5,212</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3,979</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10,120</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7,490</w:t>
            </w:r>
          </w:p>
        </w:tc>
      </w:tr>
      <w:tr>
        <w:trPr>
          <w:trHeight w:val="196"/>
        </w:trPr>
        <w:tc>
          <w:tcPr>
            <w:tcW w:w="5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5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293</w:t>
            </w:r>
          </w:p>
        </w:tc>
        <w:tc>
          <w:tcPr>
            <w:tcW w:w="88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509</w:t>
            </w: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r>
      <w:tr>
        <w:trPr>
          <w:trHeight w:val="209"/>
        </w:trPr>
        <w:tc>
          <w:tcPr>
            <w:tcW w:w="59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364</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299</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667</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525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Rationalizations (Note 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(Note 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4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59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252</w:t>
            </w:r>
          </w:p>
        </w:tc>
        <w:tc>
          <w:tcPr>
            <w:tcW w:w="8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386</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-1874520</wp:posOffset>
            </wp:positionV>
            <wp:extent cx="939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-1857375</wp:posOffset>
            </wp:positionV>
            <wp:extent cx="939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-1874520</wp:posOffset>
            </wp:positionV>
            <wp:extent cx="939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-1857375</wp:posOffset>
            </wp:positionV>
            <wp:extent cx="939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-1874520</wp:posOffset>
            </wp:positionV>
            <wp:extent cx="939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-1857375</wp:posOffset>
            </wp:positionV>
            <wp:extent cx="939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-1301115</wp:posOffset>
            </wp:positionV>
            <wp:extent cx="939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-1301115</wp:posOffset>
            </wp:positionV>
            <wp:extent cx="939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-1301115</wp:posOffset>
            </wp:positionV>
            <wp:extent cx="939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-170815</wp:posOffset>
            </wp:positionV>
            <wp:extent cx="93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-170815</wp:posOffset>
            </wp:positionV>
            <wp:extent cx="939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-170815</wp:posOffset>
            </wp:positionV>
            <wp:extent cx="939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Rationalizations, as described in Note to the Consolidated Financial Statements No. 4, Costs Associated with Rationalization Programs, and net (gains) losses on asset sales, as described in Note to the Consolidated Financial Statements No. 5, Other (Income) Expense, were not charged to the strategic business units ("SBUs") for performance evaluation purposes but were attributable to the SBUs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6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5"/>
                <w:szCs w:val="15"/>
                <w:color w:val="auto"/>
              </w:rPr>
            </w:pPr>
          </w:p>
        </w:tc>
      </w:tr>
      <w:tr>
        <w:trPr>
          <w:trHeight w:val="187"/>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9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0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21</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32</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62</w:t>
            </w:r>
          </w:p>
        </w:tc>
      </w:tr>
      <w:tr>
        <w:trPr>
          <w:trHeight w:val="196"/>
        </w:trPr>
        <w:tc>
          <w:tcPr>
            <w:tcW w:w="6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49"/>
        </w:trPr>
        <w:tc>
          <w:tcPr>
            <w:tcW w:w="60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26</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37</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156"/>
        </w:trPr>
        <w:tc>
          <w:tcPr>
            <w:tcW w:w="6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6"/>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02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Net (Gains) Losses on Asset Sales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(95 )</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(98 )</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-889635</wp:posOffset>
            </wp:positionV>
            <wp:extent cx="939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-872490</wp:posOffset>
            </wp:positionV>
            <wp:extent cx="939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-889635</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-872490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-889635</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-872490</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-581660</wp:posOffset>
            </wp:positionV>
            <wp:extent cx="939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-564515</wp:posOffset>
            </wp:positionV>
            <wp:extent cx="939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-581660</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-564515</wp:posOffset>
            </wp:positionV>
            <wp:extent cx="8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-581660</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-564515</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-24765</wp:posOffset>
            </wp:positionV>
            <wp:extent cx="939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-7620</wp:posOffset>
            </wp:positionV>
            <wp:extent cx="939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-170815</wp:posOffset>
            </wp:positionV>
            <wp:extent cx="939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-7620</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-170815</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-170815</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FINANCING ARRANGEMENTS AND DERIVATIVE FINANCIAL INSTRUMENTS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we had total credit arrangements of $11,475 million, of which $3,210 million were unused. At that date, approximately 27% of our debt was at variable interest rates averaging 4.07%.</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June 30, 2022, we had short term committed and uncommitted credit arrangements totaling $826 million, of which $294 million were unused. These arrangements are available primarily to certain of our foreign subsidiaries through various banks at quoted market interest rates.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80" w:type="dxa"/>
            <w:vAlign w:val="bottom"/>
          </w:tcPr>
          <w:p>
            <w:pPr>
              <w:spacing w:after="0"/>
              <w:rPr>
                <w:sz w:val="15"/>
                <w:szCs w:val="15"/>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r>
      <w:tr>
        <w:trPr>
          <w:trHeight w:val="209"/>
        </w:trPr>
        <w:tc>
          <w:tcPr>
            <w:tcW w:w="6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380" w:type="dxa"/>
            <w:vAlign w:val="bottom"/>
            <w:shd w:val="clear" w:color="auto" w:fill="CFF0FC"/>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8"/>
                <w:szCs w:val="18"/>
                <w:color w:val="auto"/>
              </w:rPr>
            </w:pPr>
          </w:p>
        </w:tc>
      </w:tr>
      <w:tr>
        <w:trPr>
          <w:trHeight w:val="249"/>
        </w:trPr>
        <w:tc>
          <w:tcPr>
            <w:tcW w:w="6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1380" w:type="dxa"/>
            <w:vAlign w:val="bottom"/>
            <w:tcBorders>
              <w:bottom w:val="single" w:sz="8" w:color="auto"/>
            </w:tcBorders>
            <w:shd w:val="clear" w:color="auto" w:fill="CFF0FC"/>
          </w:tcPr>
          <w:p>
            <w:pPr>
              <w:jc w:val="right"/>
              <w:ind w:right="1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519</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406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196"/>
        </w:trPr>
        <w:tc>
          <w:tcPr>
            <w:tcW w:w="68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interest rate</w:t>
            </w:r>
          </w:p>
        </w:tc>
        <w:tc>
          <w:tcPr>
            <w:tcW w:w="1380" w:type="dxa"/>
            <w:vAlign w:val="bottom"/>
          </w:tcPr>
          <w:p>
            <w:pPr>
              <w:spacing w:after="0"/>
              <w:rPr>
                <w:sz w:val="17"/>
                <w:szCs w:val="17"/>
                <w:color w:val="auto"/>
              </w:rPr>
            </w:pPr>
          </w:p>
        </w:tc>
        <w:tc>
          <w:tcPr>
            <w:tcW w:w="7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4.46 %</w:t>
            </w:r>
          </w:p>
        </w:tc>
        <w:tc>
          <w:tcPr>
            <w:tcW w:w="340" w:type="dxa"/>
            <w:vAlign w:val="bottom"/>
          </w:tcPr>
          <w:p>
            <w:pPr>
              <w:spacing w:after="0"/>
              <w:rPr>
                <w:sz w:val="17"/>
                <w:szCs w:val="17"/>
                <w:color w:val="auto"/>
              </w:rPr>
            </w:pPr>
          </w:p>
        </w:tc>
        <w:tc>
          <w:tcPr>
            <w:tcW w:w="18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2.78 %</w:t>
            </w:r>
          </w:p>
        </w:tc>
      </w:tr>
      <w:tr>
        <w:trPr>
          <w:trHeight w:val="216"/>
        </w:trPr>
        <w:tc>
          <w:tcPr>
            <w:tcW w:w="68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380" w:type="dxa"/>
            <w:vAlign w:val="bottom"/>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8"/>
                <w:szCs w:val="18"/>
                <w:color w:val="auto"/>
              </w:rPr>
            </w:pPr>
          </w:p>
        </w:tc>
      </w:tr>
      <w:tr>
        <w:trPr>
          <w:trHeight w:val="216"/>
        </w:trPr>
        <w:tc>
          <w:tcPr>
            <w:tcW w:w="6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13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1380" w:type="dxa"/>
            <w:vAlign w:val="bottom"/>
            <w:tcBorders>
              <w:bottom w:val="single" w:sz="8" w:color="auto"/>
            </w:tcBorders>
          </w:tcPr>
          <w:p>
            <w:pPr>
              <w:jc w:val="right"/>
              <w:ind w:right="1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316</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343</w:t>
            </w:r>
          </w:p>
        </w:tc>
        <w:tc>
          <w:tcPr>
            <w:tcW w:w="14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88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interest rate</w:t>
            </w:r>
          </w:p>
        </w:tc>
        <w:tc>
          <w:tcPr>
            <w:tcW w:w="13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5.45 %</w:t>
            </w:r>
          </w:p>
        </w:tc>
        <w:tc>
          <w:tcPr>
            <w:tcW w:w="34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5.25 %</w:t>
            </w:r>
          </w:p>
        </w:tc>
      </w:tr>
      <w:tr>
        <w:trPr>
          <w:trHeight w:val="209"/>
        </w:trPr>
        <w:tc>
          <w:tcPr>
            <w:tcW w:w="6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1380" w:type="dxa"/>
            <w:vAlign w:val="bottom"/>
            <w:tcBorders>
              <w:top w:val="single" w:sz="8" w:color="auto"/>
              <w:bottom w:val="single" w:sz="8" w:color="auto"/>
            </w:tcBorders>
          </w:tcPr>
          <w:p>
            <w:pPr>
              <w:jc w:val="right"/>
              <w:ind w:right="1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835</w:t>
            </w:r>
          </w:p>
        </w:tc>
        <w:tc>
          <w:tcPr>
            <w:tcW w:w="1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749</w:t>
            </w:r>
          </w:p>
        </w:tc>
        <w:tc>
          <w:tcPr>
            <w:tcW w:w="140" w:type="dxa"/>
            <w:vAlign w:val="bottom"/>
            <w:tcBorders>
              <w:top w:val="single" w:sz="8" w:color="CFF0FC"/>
            </w:tcBorders>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-1052830</wp:posOffset>
            </wp:positionV>
            <wp:extent cx="939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-1035685</wp:posOffset>
            </wp:positionV>
            <wp:extent cx="939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7043420</wp:posOffset>
            </wp:positionH>
            <wp:positionV relativeFrom="paragraph">
              <wp:posOffset>-1052830</wp:posOffset>
            </wp:positionV>
            <wp:extent cx="939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7043420</wp:posOffset>
            </wp:positionH>
            <wp:positionV relativeFrom="paragraph">
              <wp:posOffset>-1035685</wp:posOffset>
            </wp:positionV>
            <wp:extent cx="939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-478790</wp:posOffset>
            </wp:positionV>
            <wp:extent cx="939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7043420</wp:posOffset>
            </wp:positionH>
            <wp:positionV relativeFrom="paragraph">
              <wp:posOffset>-478790</wp:posOffset>
            </wp:positionV>
            <wp:extent cx="939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-170815</wp:posOffset>
            </wp:positionV>
            <wp:extent cx="939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7043420</wp:posOffset>
            </wp:positionH>
            <wp:positionV relativeFrom="paragraph">
              <wp:posOffset>-170815</wp:posOffset>
            </wp:positionV>
            <wp:extent cx="939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we had long term credit arrangements totaling $10,649 million, of which $2,916 million were unused.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left="368"/>
              <w:spacing w:after="0" w:line="15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328"/>
              <w:spacing w:after="0" w:line="15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9.5% due 2025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gridSpan w:val="3"/>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 due 2026</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4.875% due 2027</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7.625% due 2027</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 due 2028</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2.75% Euro Notes due 2028</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due 2029</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5.25% due April 2031</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5.25% due July 2031</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5.625% due 2033</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 lien revolving credit facility due 2026</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2.48 %</w:t>
            </w:r>
          </w:p>
        </w:tc>
        <w:tc>
          <w:tcPr>
            <w:tcW w:w="920" w:type="dxa"/>
            <w:vAlign w:val="bottom"/>
            <w:shd w:val="clear" w:color="auto" w:fill="CFF0FC"/>
          </w:tcPr>
          <w:p>
            <w:pPr>
              <w:spacing w:after="0"/>
              <w:rPr>
                <w:sz w:val="18"/>
                <w:szCs w:val="18"/>
                <w:color w:val="auto"/>
              </w:rPr>
            </w:pPr>
          </w:p>
        </w:tc>
        <w:tc>
          <w:tcPr>
            <w:tcW w:w="1700" w:type="dxa"/>
            <w:vAlign w:val="bottom"/>
            <w:gridSpan w:val="3"/>
            <w:shd w:val="clear" w:color="auto" w:fill="CFF0F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European revolving credit facility due 2024</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3.10 %</w:t>
            </w:r>
          </w:p>
        </w:tc>
        <w:tc>
          <w:tcPr>
            <w:tcW w:w="920" w:type="dxa"/>
            <w:vAlign w:val="bottom"/>
          </w:tcPr>
          <w:p>
            <w:pPr>
              <w:spacing w:after="0"/>
              <w:rPr>
                <w:sz w:val="18"/>
                <w:szCs w:val="18"/>
                <w:color w:val="auto"/>
              </w:rPr>
            </w:pPr>
          </w:p>
        </w:tc>
        <w:tc>
          <w:tcPr>
            <w:tcW w:w="1700" w:type="dxa"/>
            <w:vAlign w:val="bottom"/>
            <w:gridSpan w:val="3"/>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1.31 %</w:t>
            </w:r>
          </w:p>
        </w:tc>
        <w:tc>
          <w:tcPr>
            <w:tcW w:w="92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3.26 %</w:t>
            </w:r>
          </w:p>
        </w:tc>
        <w:tc>
          <w:tcPr>
            <w:tcW w:w="92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Chinese credit facilities</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jc w:val="right"/>
              <w:ind w:right="51"/>
              <w:spacing w:after="0" w:line="162" w:lineRule="exact"/>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8"/>
                <w:szCs w:val="18"/>
                <w:color w:val="auto"/>
              </w:rPr>
              <w:t>4.25 %</w:t>
            </w:r>
          </w:p>
        </w:tc>
        <w:tc>
          <w:tcPr>
            <w:tcW w:w="920" w:type="dxa"/>
            <w:vAlign w:val="bottom"/>
          </w:tcPr>
          <w:p>
            <w:pPr>
              <w:spacing w:after="0"/>
              <w:rPr>
                <w:sz w:val="14"/>
                <w:szCs w:val="14"/>
                <w:color w:val="auto"/>
              </w:rPr>
            </w:pPr>
          </w:p>
        </w:tc>
        <w:tc>
          <w:tcPr>
            <w:tcW w:w="540" w:type="dxa"/>
            <w:vAlign w:val="bottom"/>
          </w:tcPr>
          <w:p>
            <w:pPr>
              <w:jc w:val="right"/>
              <w:ind w:right="31"/>
              <w:spacing w:after="0" w:line="162" w:lineRule="exact"/>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8"/>
                <w:szCs w:val="18"/>
                <w:color w:val="auto"/>
              </w:rPr>
              <w:t>4.34 %</w:t>
            </w:r>
          </w:p>
        </w:tc>
        <w:tc>
          <w:tcPr>
            <w:tcW w:w="0" w:type="dxa"/>
            <w:vAlign w:val="bottom"/>
          </w:tcPr>
          <w:p>
            <w:pPr>
              <w:spacing w:after="0"/>
              <w:rPr>
                <w:sz w:val="1"/>
                <w:szCs w:val="1"/>
                <w:color w:val="auto"/>
              </w:rPr>
            </w:pPr>
          </w:p>
        </w:tc>
      </w:tr>
      <w:tr>
        <w:trPr>
          <w:trHeight w:val="270"/>
        </w:trPr>
        <w:tc>
          <w:tcPr>
            <w:tcW w:w="460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6"/>
                <w:szCs w:val="26"/>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6.91 %</w:t>
            </w:r>
          </w:p>
        </w:tc>
        <w:tc>
          <w:tcPr>
            <w:tcW w:w="9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8"/>
              </w:rPr>
              <w:t>7,678</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8"/>
              </w:rPr>
              <w:t>6,791</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8"/>
              </w:rPr>
              <w:t>7,628</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8"/>
              </w:rPr>
              <w:t>6,736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8"/>
              </w:rPr>
              <w:t>7,885</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8"/>
              </w:rPr>
              <w:t>6,991</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8"/>
              </w:rPr>
              <w:t>7,569</w:t>
            </w:r>
          </w:p>
        </w:tc>
        <w:tc>
          <w:tcPr>
            <w:tcW w:w="1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8"/>
              </w:rPr>
              <w:t>6,648</w:t>
            </w: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-1566545</wp:posOffset>
            </wp:positionV>
            <wp:extent cx="71323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-24765</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-7620</wp:posOffset>
            </wp:positionV>
            <wp:extent cx="85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are weighted average interest rates primarily related to various foreign credit facilities with customary terms and conditions.</w:t>
      </w:r>
    </w:p>
    <w:p>
      <w:pPr>
        <w:spacing w:after="0" w:line="49" w:lineRule="exact"/>
        <w:rPr>
          <w:rFonts w:ascii="Times New Roman" w:cs="Times New Roman" w:eastAsia="Times New Roman" w:hAnsi="Times New Roman"/>
          <w:sz w:val="18"/>
          <w:szCs w:val="18"/>
          <w:color w:val="auto"/>
        </w:rPr>
      </w:pPr>
    </w:p>
    <w:p>
      <w:pPr>
        <w:ind w:left="760" w:right="80" w:hanging="752"/>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financing additions of $22 million and $14 million during the six month period ended June 30, 2022 and the twelve months ended December 31, 2021, respectively.</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we had $5,551 million of outstanding notes, compared to $5,591 million at December 31,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LIBOR plus 125 basis points.</w:t>
      </w:r>
    </w:p>
    <w:p>
      <w:pPr>
        <w:spacing w:after="0" w:line="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June 30, 2022, our borrowing base, and therefore our availability, under this facility was $108 million below the facility's stated amount of $2.75 billion.</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Available Cash (as defined in the facility) plus the availability under the facility is greater than $750 million, amounts drawn under the facility will bear interest, at our option, at (i) 125 basis points over LIBOR or (ii) 25 basis points over an alternative base rate (the higher of (a) the prime rate, (b) the federal funds effective rate or the overnight bank funding rate plus 50 basis points or (c) LIBOR plus 100 basis points). If Available Cash plus the availability under the facility is equal to or less than $750 million, then amounts drawn under the facility will bear interest, at our option, at (i) 150 basis points over LIBOR or (ii) 50 basis points over an alternative base rate. Undrawn amounts under the facility will be subject to an annual commitment fee of 25 basis points.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we had $570 million of borrowings and $3 million of letters of credit issued under the revolving credit facility. At December 31, 2021, we had no borrowings and $19 million of letters of credit issued under the revolving credit facility.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2024</w:t>
      </w:r>
    </w:p>
    <w:p>
      <w:pPr>
        <w:spacing w:after="0" w:line="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amended and restated European revolving credit facility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Amounts drawn under this facility will bear interest at LIBOR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2018. The facility also has customary defaults, including a cross-default to material indebtedness of Goodyear and our subsidiaries.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June 30, 2022, there were no borrowings outstanding under the German tranche, $310 million (€298 million) of borrowings outstanding under the all-borrower tranche and no letters of credit outstanding under the European revolving credit facility. At December 31, 2021, we had no borrowings and no letters of credit outstanding under the European revolving credit facility.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2021 through October 19, 2022, the designated maximum amount of the facility is €300 million.</w:t>
      </w:r>
    </w:p>
    <w:p>
      <w:pPr>
        <w:spacing w:after="0" w:line="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19, 2022.</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June 30, 2022, the amounts available and utilized under this program totaled $246 million (€237 million). At December 31, 2021, the amounts available and utilized under this program totaled $279 million (€246 million). The program does not qualify for sale accounting, and accordingly, these amounts are included in Long Term Debt and Finance Leases.</w:t>
      </w:r>
    </w:p>
    <w:p>
      <w:pPr>
        <w:spacing w:after="0" w:line="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a description of the collateral securing the credit facilities described above as well as the covenants applicable to them, refer to Note to the Consolidated Financial Statements No. 16, Financing Arrangements and Derivative Financial Instruments, in our 2021 Form 10-K.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June 30, 2022, the gross amount of receivables sold was $597 million, compared to $605 million at December 31,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June 30, 2022, the amounts available and utilized under this facility were $200 million. At December 31, 2021, the amounts available and utilized under this facility were $200 million and $158 million, respectively. The facility ultimately matures on November 22, 2024, has covenants relating to the Mexican and U.S. subsidiary, and has customary representations and warranties and defaults relating to the Mexican and U.S. subsidiary’s ability to perform its respective obligations under the facility.</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Chinese subsidiary has several financing arrangements in China. At June 30, 2022 and December 31, 2021, the amounts available under these facilities were $812 million and $958 million, respectively. At June 30, 2022, the amount utilized under these facilities was $358 million, of which $64 million represented notes payable and $294 million represented long term debt. At June 30, 2022, $154 million of the long term debt was due within one year. At December 31, 2021, the amount utilized under these facilities was $365 million, of which $32 million represented notes payable and $333 million represented long term debt. At December 31, 2021, $124 million of the long term debt was due within one year. The facilities contain covenants relating to the Chinese subsidiary and have customary representations and warranties and defaults relating to the Chinese subsidiary’s ability to perform its obligations under the facilities. Certain of the facilities can only be used to finance the expansion of one of our manufacturing facilities in China and, at June 30, 2022 and December 31, 2021, the unused amounts available under these facilities were $86 million and $81 million, respectively. Following the Cooper Tire acquisition, three of Cooper Tire's Chinese credit facilities remain outstanding. At June 30, 2022, the amounts available and utilized under these facilities were $45 million and $7 million, respectively. At December 31, 2021, the amounts available and utilized under these facilities were $75 million and $5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transactions resulting primarily from trade purchases and sales, equipment acquisitions, intercompany loans and royalty agreements. Contracts hedging short term trade receivables and payables normally have no hedging designation.</w:t>
      </w:r>
    </w:p>
    <w:p>
      <w:pPr>
        <w:spacing w:after="0" w:line="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44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440" w:type="dxa"/>
            <w:vAlign w:val="bottom"/>
          </w:tcPr>
          <w:p>
            <w:pPr>
              <w:jc w:val="right"/>
              <w:ind w:right="12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At June 30, 2022 and December 31, 2021, these outstanding foreign currency derivatives had notional amounts of $1,228 million and $993 million, respectively, and were primarily related to intercompany loans. Other (Income) Expense included net transaction gains on derivatives of $24 million and $34 million for the three and six months ended June 30, 2022, respectively. Other (Income) Expense included net transaction losses on derivatives of $14 million and net transaction gains on derivatives of $41 million for the three and six months ended June 30, 2021, respectively. These amounts were substantially offset in Other (Income) Expense by the effect of changing exchange rates on the underlying currency exposures.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fair values for foreign currency hedge contracts that meet the criteria to be accounted for as cash flow hedging instruments: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20" w:type="dxa"/>
            <w:vAlign w:val="bottom"/>
          </w:tcPr>
          <w:p>
            <w:pPr>
              <w:spacing w:after="0"/>
              <w:rPr>
                <w:sz w:val="15"/>
                <w:szCs w:val="15"/>
                <w:color w:val="auto"/>
              </w:rPr>
            </w:pPr>
          </w:p>
        </w:tc>
        <w:tc>
          <w:tcPr>
            <w:tcW w:w="146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4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r>
      <w:tr>
        <w:trPr>
          <w:trHeight w:val="216"/>
        </w:trPr>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460" w:type="dxa"/>
            <w:vAlign w:val="bottom"/>
          </w:tcPr>
          <w:p>
            <w:pPr>
              <w:jc w:val="right"/>
              <w:ind w:right="128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2022 and December 31, 2021, these outstanding foreign currency derivatives had notional amounts of $70 million and $63 million, respectively, and primarily related to U.S. dollar denominated intercompany transactions. Based on our current forecasts, we believe that it is probable that the underlying hedge transactions will occur within an appropriate time frame in order to continue to qualify for cash flow hedge accounting treatment.</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0" w:type="dxa"/>
            <w:vAlign w:val="bottom"/>
          </w:tcPr>
          <w:p>
            <w:pPr>
              <w:spacing w:after="0"/>
              <w:rPr>
                <w:sz w:val="15"/>
                <w:szCs w:val="15"/>
                <w:color w:val="auto"/>
              </w:rPr>
            </w:pPr>
          </w:p>
        </w:tc>
        <w:tc>
          <w:tcPr>
            <w:tcW w:w="2120" w:type="dxa"/>
            <w:vAlign w:val="bottom"/>
            <w:gridSpan w:val="4"/>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6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5"/>
                <w:szCs w:val="15"/>
                <w:color w:val="auto"/>
              </w:rPr>
            </w:pPr>
          </w:p>
        </w:tc>
      </w:tr>
      <w:tr>
        <w:trPr>
          <w:trHeight w:val="187"/>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55"/>
        </w:trPr>
        <w:tc>
          <w:tcPr>
            <w:tcW w:w="60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8"/>
                <w:szCs w:val="18"/>
                <w:color w:val="auto"/>
              </w:rPr>
              <w:t>Amount of gains (losses) deferred to Accumulated Other Comprehensive Loss</w:t>
            </w:r>
          </w:p>
        </w:tc>
        <w:tc>
          <w:tcPr>
            <w:tcW w:w="74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r>
      <w:tr>
        <w:trPr>
          <w:trHeight w:val="243"/>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("AOCL")</w:t>
            </w:r>
          </w:p>
        </w:tc>
        <w:tc>
          <w:tcPr>
            <w:tcW w:w="74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  $</w:t>
            </w:r>
          </w:p>
        </w:tc>
        <w:tc>
          <w:tcPr>
            <w:tcW w:w="9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CGS</w:t>
            </w:r>
          </w:p>
        </w:tc>
        <w:tc>
          <w:tcPr>
            <w:tcW w:w="740" w:type="dxa"/>
            <w:vAlign w:val="bottom"/>
          </w:tcPr>
          <w:p>
            <w:pPr>
              <w:spacing w:after="0"/>
              <w:rPr>
                <w:sz w:val="20"/>
                <w:szCs w:val="20"/>
                <w:color w:val="auto"/>
              </w:rPr>
            </w:pPr>
          </w:p>
        </w:tc>
        <w:tc>
          <w:tcPr>
            <w:tcW w:w="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net amount of deferred gains at June 30, 2022 that are expected to be reclassified to earnings within the next twelve months is $2 million.</w:t>
      </w:r>
    </w:p>
    <w:p>
      <w:pPr>
        <w:spacing w:after="0" w:line="1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FAIR VALUE MEASUREMENTS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Sheets at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5"/>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 Carrying Value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center"/>
              <w:ind w:left="9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4"/>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4"/>
                <w:szCs w:val="14"/>
                <w:color w:val="auto"/>
              </w:rPr>
            </w:pPr>
          </w:p>
        </w:tc>
        <w:tc>
          <w:tcPr>
            <w:tcW w:w="60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8</w:t>
            </w:r>
          </w:p>
        </w:tc>
        <w:tc>
          <w:tcPr>
            <w:tcW w:w="7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-753110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-753110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-753110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-753110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-753110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-753110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-753110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-170815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-170815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-170815</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-170815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-170815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-170815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-170815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 June 30, 2022 and December 31,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Pr>
          <w:p>
            <w:pPr>
              <w:spacing w:after="0"/>
              <w:rPr>
                <w:sz w:val="15"/>
                <w:szCs w:val="15"/>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040" w:type="dxa"/>
            <w:vAlign w:val="bottom"/>
            <w:shd w:val="clear" w:color="auto" w:fill="CFF0FC"/>
          </w:tcPr>
          <w:p>
            <w:pPr>
              <w:ind w:left="20"/>
              <w:spacing w:after="0" w:line="209"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4"/>
                <w:szCs w:val="24"/>
                <w:b w:val="1"/>
                <w:bCs w:val="1"/>
                <w:color w:val="auto"/>
                <w:vertAlign w:val="superscript"/>
              </w:rPr>
              <w:t>(1)</w:t>
            </w:r>
          </w:p>
        </w:tc>
        <w:tc>
          <w:tcPr>
            <w:tcW w:w="1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340" w:type="dxa"/>
            <w:vAlign w:val="bottom"/>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5,682</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5,781</w:t>
            </w:r>
          </w:p>
        </w:tc>
      </w:tr>
      <w:tr>
        <w:trPr>
          <w:trHeight w:val="216"/>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3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5,081</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6,149</w:t>
            </w:r>
          </w:p>
        </w:tc>
      </w:tr>
      <w:tr>
        <w:trPr>
          <w:trHeight w:val="216"/>
        </w:trPr>
        <w:tc>
          <w:tcPr>
            <w:tcW w:w="7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0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4"/>
                <w:szCs w:val="24"/>
                <w:b w:val="1"/>
                <w:bCs w:val="1"/>
                <w:color w:val="auto"/>
                <w:vertAlign w:val="superscript"/>
              </w:rPr>
              <w:t>(1)</w:t>
            </w:r>
          </w:p>
        </w:tc>
        <w:tc>
          <w:tcPr>
            <w:tcW w:w="1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340" w:type="dxa"/>
            <w:vAlign w:val="bottom"/>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1,946</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955</w:t>
            </w:r>
          </w:p>
        </w:tc>
      </w:tr>
      <w:tr>
        <w:trPr>
          <w:trHeight w:val="216"/>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3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1,887</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955</w:t>
            </w:r>
          </w:p>
        </w:tc>
      </w:tr>
    </w:tbl>
    <w:p>
      <w:pPr>
        <w:spacing w:after="0" w:line="36" w:lineRule="exact"/>
        <w:rPr>
          <w:sz w:val="20"/>
          <w:szCs w:val="20"/>
          <w:color w:val="auto"/>
        </w:rPr>
      </w:pPr>
    </w:p>
    <w:p>
      <w:pPr>
        <w:jc w:val="both"/>
        <w:ind w:left="760" w:hanging="752"/>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Notes Payable and Overdrafts of $519 million and $406 million at June 30, 2022 and December 31, 2021, respectively, of which $222 million and $227 million, respectively, are at fixed rates and $297 million and $179 million, respectively, are at variable rates. The carrying value of Notes Payable and Overdrafts approximates fair value due to the short term nature of the facilities.</w:t>
      </w:r>
    </w:p>
    <w:p>
      <w:pPr>
        <w:spacing w:after="0" w:line="6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Long term debt with fair values of $4,899 million and $5,905 million at June 30, 2022 and December 31, 2021, respectively, were estimated using quoted Level 1 market prices. The carrying value of the remaining debt was based upon internal estimates of fair value derived from market prices for similar debt.</w:t>
      </w:r>
    </w:p>
    <w:p>
      <w:pPr>
        <w:spacing w:after="0" w:line="145" w:lineRule="exact"/>
        <w:rPr>
          <w:sz w:val="20"/>
          <w:szCs w:val="20"/>
          <w:color w:val="auto"/>
        </w:rPr>
      </w:pPr>
    </w:p>
    <w:p>
      <w:pPr>
        <w:ind w:right="4420"/>
        <w:spacing w:after="0" w:line="38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11. PENSION, SAVINGS AND OTHER POSTRETIREMENT BENEFIT PLANS </w:t>
      </w:r>
      <w:r>
        <w:rPr>
          <w:rFonts w:ascii="Times New Roman" w:cs="Times New Roman" w:eastAsia="Times New Roman" w:hAnsi="Times New Roman"/>
          <w:sz w:val="18"/>
          <w:szCs w:val="18"/>
          <w:color w:val="auto"/>
        </w:rPr>
        <w:t>We provide employees with defined benefit pension or defined contribution savings plans. Defined benefit pension cost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left="717"/>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8"/>
        </w:trPr>
        <w:tc>
          <w:tcPr>
            <w:tcW w:w="4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4"/>
          </w:tcPr>
          <w:p>
            <w:pPr>
              <w:jc w:val="center"/>
              <w:ind w:right="272"/>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jc w:val="center"/>
              <w:ind w:right="272"/>
              <w:spacing w:after="0" w:line="157"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4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4"/>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5"/>
                <w:szCs w:val="15"/>
                <w:color w:val="auto"/>
              </w:rPr>
            </w:pPr>
          </w:p>
        </w:tc>
      </w:tr>
      <w:tr>
        <w:trPr>
          <w:trHeight w:val="187"/>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1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r>
      <w:tr>
        <w:trPr>
          <w:trHeight w:val="20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1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r>
      <w:tr>
        <w:trPr>
          <w:trHeight w:val="249"/>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16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628"/>
        </w:trPr>
        <w:tc>
          <w:tcPr>
            <w:tcW w:w="4540" w:type="dxa"/>
            <w:vAlign w:val="bottom"/>
          </w:tcPr>
          <w:p>
            <w:pPr>
              <w:spacing w:after="0"/>
              <w:rPr>
                <w:sz w:val="24"/>
                <w:szCs w:val="24"/>
                <w:color w:val="auto"/>
              </w:rPr>
            </w:pP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8"/>
        </w:trPr>
        <w:tc>
          <w:tcPr>
            <w:tcW w:w="454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-504825</wp:posOffset>
            </wp:positionV>
            <wp:extent cx="857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-487680</wp:posOffset>
            </wp:positionV>
            <wp:extent cx="85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-504825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-487680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-504825</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-487680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Non-U.S.</w:t>
            </w:r>
          </w:p>
        </w:tc>
        <w:tc>
          <w:tcPr>
            <w:tcW w:w="920" w:type="dxa"/>
            <w:vAlign w:val="bottom"/>
            <w:tcBorders>
              <w:bottom w:val="single" w:sz="8" w:color="auto"/>
            </w:tcBorders>
          </w:tcPr>
          <w:p>
            <w:pPr>
              <w:spacing w:after="0"/>
              <w:rPr>
                <w:sz w:val="16"/>
                <w:szCs w:val="16"/>
                <w:color w:val="auto"/>
              </w:rPr>
            </w:pPr>
          </w:p>
        </w:tc>
      </w:tr>
      <w:tr>
        <w:trPr>
          <w:trHeight w:val="158"/>
        </w:trPr>
        <w:tc>
          <w:tcPr>
            <w:tcW w:w="6000" w:type="dxa"/>
            <w:vAlign w:val="bottom"/>
          </w:tcPr>
          <w:p>
            <w:pPr>
              <w:spacing w:after="0"/>
              <w:rPr>
                <w:sz w:val="13"/>
                <w:szCs w:val="13"/>
                <w:color w:val="auto"/>
              </w:rPr>
            </w:pPr>
          </w:p>
        </w:tc>
        <w:tc>
          <w:tcPr>
            <w:tcW w:w="2140" w:type="dxa"/>
            <w:vAlign w:val="bottom"/>
            <w:gridSpan w:val="4"/>
          </w:tcPr>
          <w:p>
            <w:pPr>
              <w:jc w:val="center"/>
              <w:ind w:left="279"/>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4"/>
          </w:tcPr>
          <w:p>
            <w:pPr>
              <w:jc w:val="center"/>
              <w:ind w:right="253"/>
              <w:spacing w:after="0" w:line="157"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6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5"/>
                <w:szCs w:val="15"/>
                <w:color w:val="auto"/>
              </w:rPr>
            </w:pPr>
          </w:p>
        </w:tc>
      </w:tr>
      <w:tr>
        <w:trPr>
          <w:trHeight w:val="187"/>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40" w:type="dxa"/>
            <w:vAlign w:val="bottom"/>
            <w:tcBorders>
              <w:top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40" w:type="dxa"/>
            <w:vAlign w:val="bottom"/>
          </w:tcPr>
          <w:p>
            <w:pPr>
              <w:spacing w:after="0"/>
              <w:rPr>
                <w:sz w:val="18"/>
                <w:szCs w:val="18"/>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740" w:type="dxa"/>
            <w:vAlign w:val="bottom"/>
          </w:tcPr>
          <w:p>
            <w:pPr>
              <w:spacing w:after="0"/>
              <w:rPr>
                <w:sz w:val="18"/>
                <w:szCs w:val="18"/>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6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74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r>
      <w:tr>
        <w:trPr>
          <w:trHeight w:val="203"/>
        </w:trPr>
        <w:tc>
          <w:tcPr>
            <w:tcW w:w="6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740" w:type="dxa"/>
            <w:vAlign w:val="bottom"/>
          </w:tcPr>
          <w:p>
            <w:pPr>
              <w:jc w:val="right"/>
              <w:ind w:right="539"/>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35"/>
              <w:spacing w:after="0" w:line="203" w:lineRule="exact"/>
              <w:rPr>
                <w:sz w:val="20"/>
                <w:szCs w:val="20"/>
                <w:color w:val="auto"/>
              </w:rPr>
            </w:pPr>
            <w:r>
              <w:rPr>
                <w:rFonts w:ascii="Times New Roman" w:cs="Times New Roman" w:eastAsia="Times New Roman" w:hAnsi="Times New Roman"/>
                <w:sz w:val="18"/>
                <w:szCs w:val="18"/>
                <w:b w:val="1"/>
                <w:bCs w:val="1"/>
                <w:color w:val="auto"/>
              </w:rPr>
              <w:t>11</w:t>
            </w:r>
          </w:p>
        </w:tc>
        <w:tc>
          <w:tcPr>
            <w:tcW w:w="980" w:type="dxa"/>
            <w:vAlign w:val="bottom"/>
            <w:gridSpan w:val="2"/>
          </w:tcPr>
          <w:p>
            <w:pPr>
              <w:jc w:val="right"/>
              <w:ind w:right="63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ind w:right="37"/>
              <w:spacing w:after="0" w:line="203" w:lineRule="exact"/>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ind w:right="33"/>
              <w:spacing w:after="0" w:line="203" w:lineRule="exact"/>
              <w:rPr>
                <w:sz w:val="20"/>
                <w:szCs w:val="20"/>
                <w:color w:val="auto"/>
              </w:rPr>
            </w:pPr>
            <w:r>
              <w:rPr>
                <w:rFonts w:ascii="Times New Roman" w:cs="Times New Roman" w:eastAsia="Times New Roman" w:hAnsi="Times New Roman"/>
                <w:sz w:val="18"/>
                <w:szCs w:val="18"/>
                <w:b w:val="1"/>
                <w:bCs w:val="1"/>
                <w:color w:val="auto"/>
              </w:rPr>
              <w:t>33</w:t>
            </w:r>
          </w:p>
        </w:tc>
      </w:tr>
      <w:tr>
        <w:trPr>
          <w:trHeight w:val="20"/>
        </w:trPr>
        <w:tc>
          <w:tcPr>
            <w:tcW w:w="6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-179070</wp:posOffset>
            </wp:positionV>
            <wp:extent cx="939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-179070</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and first six months of 2022 and 2021, pension settlement charges of $18 million and $19 million, respectively, were recorded in Other (Income) Expense. The settlement charges resulted from total lump sum payments exceeding annual service and interest cost of the applicable plans.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2022, we communicated the termination of a Cooper Tire U.S. salaried defined benefit pension plan, which was frozen in 2009, to applicable participants. The termination of the plan, which had $416 million in assets and $403 million in estimated obligations on a termination accounting basis as of June 30, 2022, is expected to be completed in the first half of 2023.</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provide certain U.S. employees and employees at certain non-U.S. subsidiaries with health care benefits or life insurance benefits upon retirement. Other postretirement benefits expense for the three months ended June 30, 2022 and 2021 was $4 million and $1 million, respectively, and for the six months ended June 30, 2022 and 2021 was $8 million and $3 million, respectively.</w:t>
      </w:r>
    </w:p>
    <w:p>
      <w:pPr>
        <w:spacing w:after="0" w:line="101"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We expect to contribute $25 million to $50 million to our funded non-U.S. pension plans in 2022. For the three and six months ended June 30, 2022, we contributed $8 million and $17 million, respectively, to our non-U.S. plans.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expense recognized for our contributions to defined contribution savings plans for the three months ended June 30, 2022 and 2021 was $31 million and $27 million, respectively, and for the six months ended June 30, 2022 and 2021 was $66 million and $55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STOCK COMPENSATION PLANS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Stock based awards are made pursuant to stock compensation plans that are approved by our shareholders. The 2022 Performance Plan was adopted by our shareholders on April 11, 2022 and will expire on February 28, 2032 unless earlier terminated. The 2022 Performance Plan replaced the 2017 Performance Plan, which was terminated on April 11, 2022, except with respect to outstanding awards.</w:t>
      </w:r>
    </w:p>
    <w:p>
      <w:pPr>
        <w:spacing w:after="0" w:line="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Board of Directors granted 0.6 million restricted stock units and 0.4 million performance share units during the six months ended June 30, 2022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$15.66 for restricted stock units and $15.60 for performance share units granted during the six months ended June 30, 2022.</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recognized stock-based compensation expense of $8 million and $13 million during the three and six months ended June 30, 2022, respectively. At June 30, 2022, unearned compensation cost related to the unvested portion of all stock-based awards was approximately $39 million and is expected to be recognized over the remaining vesting period of the respective grants, through the first quarter of 2025. We recognized stock-based compensation of $7 million and $11 million during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recorded liabilities totaling $80 million at both June 30, 2022 and December 31, 2021 for anticipated costs related to various environmental matters, primarily the remediation of numerous waste disposal sites and certain properties sold by us. Of these amounts, $19 million and $21 million were included in Other Current Liabilities at June 30, 2022 and December 31, 2021,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$195 million and $194 million for anticipated costs related to workers’ compensation at June 30, 2022 and December 31, 2021, respectively. Of these amounts, $34 million and $38 million were included in Current Liabilities as part of Compensation</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and Benefits at June 30, 2022 and December 31, 2021,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June 30, 2022 and December 31, 2021, the liability was discounted using a risk-free rate of return. At June 30, 2022, we estimate that it is reasonably possible that the liability could exceed our recorded amounts by approximately $25 million.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recorded liabilities totaling $407 million and $390 million, including related legal fees expected to be incurred, for potential product liability and other tort claims, including asbestos claims, at June 30, 2022 and December 31, 2021, respectively. Of these amounts, $38 million and $41 million were included in Other Current Liabilities at June 30, 2022 and December 31, 2021, respectively. The amounts recorded were estimated based on an assessment of potential liability using an analysis of available information with respect to pending claims, historical experience and, where available, recent and current trends. Based upon that assessment, at June 30, 2022,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$1 million and within Other Assets of $19 million for Sumitomo Rubber Industries, Ltd.'s ("SRI") obligation to indemnify us for certain product liability claims related to products manufactured by a formerly consolidated joint venture entity, subject to certain caps and restrictions.</w:t>
      </w:r>
    </w:p>
    <w:p>
      <w:pPr>
        <w:spacing w:after="0" w:line="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156,200 claims by defending, obtaining the dismissal thereof, or entering into a settlement. The sum of our accrued asbestos-related liability and gross payments to date, including legal costs, by us and our insurers totaled approximately $569 million through June 30, 2022 and $560 million through December 31, 2021.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period</w:t>
            </w: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38,200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38,700</w:t>
            </w: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240" w:type="dxa"/>
            <w:vAlign w:val="bottom"/>
          </w:tcPr>
          <w:p>
            <w:pPr>
              <w:spacing w:after="0"/>
              <w:rPr>
                <w:sz w:val="18"/>
                <w:szCs w:val="18"/>
                <w:color w:val="auto"/>
              </w:rPr>
            </w:pP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2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(1,500 )</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period</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38,200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38,200</w:t>
            </w:r>
          </w:p>
        </w:tc>
      </w:tr>
      <w:tr>
        <w:trPr>
          <w:trHeight w:val="20"/>
        </w:trPr>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6"/>
        </w:trPr>
        <w:tc>
          <w:tcPr>
            <w:tcW w:w="7060" w:type="dxa"/>
            <w:vAlign w:val="bottom"/>
            <w:tcBorders>
              <w:bottom w:val="single" w:sz="8" w:color="CFF0FC"/>
            </w:tcBorders>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color w:val="auto"/>
              </w:rPr>
              <w:t>Payments</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-333375</wp:posOffset>
            </wp:positionV>
            <wp:extent cx="1111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-24765</wp:posOffset>
            </wp:positionV>
            <wp:extent cx="1111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-7620</wp:posOffset>
            </wp:positionV>
            <wp:extent cx="1111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payments made during the period by us and our insurers for asbestos litigation defense and claim resolution.</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$132 million and $131 million at June 30, 2022 and December 31, 2021,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$77 million at both June 30, 2022 and December 31, 2021. We expect that approximately 60% of asbestos claim related losses would be recoverable through insurance during the ten-year period covered by the estimated liability. Of these amounts, $12 million was included in Current Assets as part of Accounts Receivable at both June 30, 2022 and December 31, 2021.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at December 31, 2021, we had approximately $540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p>
      <w:pPr>
        <w:spacing w:after="0" w:line="1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$34 million at both June 30, 2022 and December 31, 2021. We issue guarantees to financial institutions or other entities on behalf of certain of our affiliates, lessors or customers. We generally do not require collateral in connection with the issuance of these guarantees.</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June 30, 2022, this guarantee amount has been reduced to $20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We are unable to estimate the extent to which our lessors’, customers’ or SRI's assets would be adequate to recover any payments made by us under the related guarantees.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of up to $100 million. At June 30, 2022, $25 million was drawn on this commitment. At December 31, 2021, no funds were drawn on this commitment.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CAPITAL STOCK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six month of 2022, we did not repurchase any shares from employees.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AOCL, by component, for the six months ended June 30, 2022 and 2021, after tax and minority interest.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3"/>
            <w:vMerge w:val="restart"/>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6"/>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3"/>
          </w:tcPr>
          <w:p>
            <w:pPr>
              <w:jc w:val="center"/>
              <w:ind w:right="281"/>
              <w:spacing w:after="0" w:line="15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6"/>
          </w:tcPr>
          <w:p>
            <w:pPr>
              <w:jc w:val="center"/>
              <w:ind w:right="440"/>
              <w:spacing w:after="0" w:line="15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385"/>
              <w:spacing w:after="0" w:line="15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3"/>
          </w:tcPr>
          <w:p>
            <w:pPr>
              <w:jc w:val="center"/>
              <w:ind w:right="281"/>
              <w:spacing w:after="0" w:line="151"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6"/>
          </w:tcPr>
          <w:p>
            <w:pPr>
              <w:jc w:val="center"/>
              <w:ind w:right="440"/>
              <w:spacing w:after="0" w:line="151"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5"/>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80" w:type="dxa"/>
            <w:vAlign w:val="bottom"/>
          </w:tcPr>
          <w:p>
            <w:pPr>
              <w:spacing w:after="0"/>
              <w:rPr>
                <w:sz w:val="16"/>
                <w:szCs w:val="16"/>
                <w:color w:val="auto"/>
              </w:rPr>
            </w:pPr>
          </w:p>
        </w:tc>
        <w:tc>
          <w:tcPr>
            <w:tcW w:w="1200" w:type="dxa"/>
            <w:vAlign w:val="bottom"/>
            <w:gridSpan w:val="3"/>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(1,402 )</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(2,565 )</w:t>
            </w:r>
          </w:p>
        </w:tc>
        <w:tc>
          <w:tcPr>
            <w:tcW w:w="12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(3,963 )</w:t>
            </w:r>
          </w:p>
        </w:tc>
        <w:tc>
          <w:tcPr>
            <w:tcW w:w="0" w:type="dxa"/>
            <w:vAlign w:val="bottom"/>
          </w:tcPr>
          <w:p>
            <w:pPr>
              <w:spacing w:after="0"/>
              <w:rPr>
                <w:sz w:val="1"/>
                <w:szCs w:val="1"/>
                <w:color w:val="auto"/>
              </w:rPr>
            </w:pPr>
          </w:p>
        </w:tc>
      </w:tr>
      <w:tr>
        <w:trPr>
          <w:trHeight w:val="216"/>
        </w:trPr>
        <w:tc>
          <w:tcPr>
            <w:tcW w:w="51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170"/>
        </w:trPr>
        <w:tc>
          <w:tcPr>
            <w:tcW w:w="5100" w:type="dxa"/>
            <w:vAlign w:val="bottom"/>
            <w:gridSpan w:val="4"/>
            <w:shd w:val="clear" w:color="auto" w:fill="CFF0FC"/>
          </w:tcPr>
          <w:p>
            <w:pPr>
              <w:ind w:left="120"/>
              <w:spacing w:after="0" w:line="170"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1"/>
        </w:trPr>
        <w:tc>
          <w:tcPr>
            <w:tcW w:w="4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gridSpan w:val="4"/>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(1,571 )</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(2,490 )</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(4,057 )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left="121"/>
              <w:spacing w:after="0" w:line="149"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125"/>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gridSpan w:val="3"/>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(1,284 )</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(2,856 )</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(4,135 )</w:t>
            </w:r>
          </w:p>
        </w:tc>
        <w:tc>
          <w:tcPr>
            <w:tcW w:w="0" w:type="dxa"/>
            <w:vAlign w:val="bottom"/>
          </w:tcPr>
          <w:p>
            <w:pPr>
              <w:spacing w:after="0"/>
              <w:rPr>
                <w:sz w:val="1"/>
                <w:szCs w:val="1"/>
                <w:color w:val="auto"/>
              </w:rPr>
            </w:pPr>
          </w:p>
        </w:tc>
      </w:tr>
      <w:tr>
        <w:trPr>
          <w:trHeight w:val="170"/>
        </w:trPr>
        <w:tc>
          <w:tcPr>
            <w:tcW w:w="4100" w:type="dxa"/>
            <w:vAlign w:val="bottom"/>
          </w:tcPr>
          <w:p>
            <w:pPr>
              <w:ind w:left="120"/>
              <w:spacing w:after="0" w:line="170"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0"/>
        </w:trPr>
        <w:tc>
          <w:tcPr>
            <w:tcW w:w="4100" w:type="dxa"/>
            <w:vAlign w:val="bottom"/>
            <w:shd w:val="clear" w:color="auto" w:fill="CFF0FC"/>
          </w:tcPr>
          <w:p>
            <w:pPr>
              <w:ind w:left="120"/>
              <w:spacing w:after="0" w:line="170"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4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68</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1"/>
        </w:trPr>
        <w:tc>
          <w:tcPr>
            <w:tcW w:w="4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gridSpan w:val="3"/>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(1,282 )</w:t>
            </w:r>
          </w:p>
        </w:tc>
        <w:tc>
          <w:tcPr>
            <w:tcW w:w="920" w:type="dxa"/>
            <w:vAlign w:val="bottom"/>
            <w:gridSpan w:val="2"/>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(2,772 )</w:t>
            </w: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(4,043 )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-1651635</wp:posOffset>
            </wp:positionV>
            <wp:extent cx="857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-1651635</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-1651635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-170815</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-170815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-170815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-170815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2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16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9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92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20" w:type="dxa"/>
            <w:vAlign w:val="bottom"/>
          </w:tcPr>
          <w:p>
            <w:pPr>
              <w:spacing w:after="0"/>
              <w:rPr>
                <w:sz w:val="13"/>
                <w:szCs w:val="13"/>
                <w:color w:val="auto"/>
              </w:rPr>
            </w:pPr>
          </w:p>
        </w:tc>
        <w:tc>
          <w:tcPr>
            <w:tcW w:w="3020" w:type="dxa"/>
            <w:vAlign w:val="bottom"/>
          </w:tcPr>
          <w:p>
            <w:pPr>
              <w:ind w:left="320"/>
              <w:spacing w:after="0" w:line="157" w:lineRule="exact"/>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87"/>
        </w:trPr>
        <w:tc>
          <w:tcPr>
            <w:tcW w:w="422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160" w:type="dxa"/>
            <w:vAlign w:val="bottom"/>
          </w:tcPr>
          <w:p>
            <w:pPr>
              <w:spacing w:after="0"/>
              <w:rPr>
                <w:sz w:val="16"/>
                <w:szCs w:val="16"/>
                <w:color w:val="auto"/>
              </w:rPr>
            </w:pPr>
          </w:p>
        </w:tc>
        <w:tc>
          <w:tcPr>
            <w:tcW w:w="176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120" w:type="dxa"/>
            <w:vAlign w:val="bottom"/>
          </w:tcPr>
          <w:p>
            <w:pPr>
              <w:spacing w:after="0"/>
              <w:rPr>
                <w:sz w:val="16"/>
                <w:szCs w:val="16"/>
                <w:color w:val="auto"/>
              </w:rPr>
            </w:pPr>
          </w:p>
        </w:tc>
        <w:tc>
          <w:tcPr>
            <w:tcW w:w="30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155"/>
        </w:trPr>
        <w:tc>
          <w:tcPr>
            <w:tcW w:w="4100" w:type="dxa"/>
            <w:vAlign w:val="bottom"/>
            <w:tcBorders>
              <w:top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1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gains and losses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21"/>
                <w:szCs w:val="21"/>
                <w:color w:val="auto"/>
              </w:rPr>
            </w:pPr>
          </w:p>
        </w:tc>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color w:val="auto"/>
              </w:rPr>
              <w:t>Immediate recognition of prior service cost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and unrecognized gains and losses due to</w:t>
            </w:r>
          </w:p>
        </w:tc>
        <w:tc>
          <w:tcPr>
            <w:tcW w:w="160" w:type="dxa"/>
            <w:vAlign w:val="bottom"/>
          </w:tcPr>
          <w:p>
            <w:pPr>
              <w:spacing w:after="0"/>
              <w:rPr>
                <w:sz w:val="16"/>
                <w:szCs w:val="16"/>
                <w:color w:val="auto"/>
              </w:rPr>
            </w:pPr>
          </w:p>
        </w:tc>
        <w:tc>
          <w:tcPr>
            <w:tcW w:w="680" w:type="dxa"/>
            <w:vAlign w:val="bottom"/>
            <w:vMerge w:val="restart"/>
          </w:tcPr>
          <w:p>
            <w:pPr>
              <w:jc w:val="right"/>
              <w:ind w:right="57"/>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6"/>
                <w:szCs w:val="16"/>
                <w:color w:val="auto"/>
              </w:rPr>
            </w:pPr>
          </w:p>
        </w:tc>
        <w:tc>
          <w:tcPr>
            <w:tcW w:w="3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(Income) Expense /</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curtailments, settlements and divestitures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0" w:type="dxa"/>
            <w:vAlign w:val="bottom"/>
          </w:tcPr>
          <w:p>
            <w:pPr>
              <w:spacing w:after="0"/>
              <w:rPr>
                <w:sz w:val="1"/>
                <w:szCs w:val="1"/>
                <w:color w:val="auto"/>
              </w:rPr>
            </w:pPr>
          </w:p>
        </w:tc>
      </w:tr>
      <w:tr>
        <w:trPr>
          <w:trHeight w:val="155"/>
        </w:trPr>
        <w:tc>
          <w:tcPr>
            <w:tcW w:w="422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8"/>
                <w:szCs w:val="18"/>
                <w:color w:val="auto"/>
              </w:rPr>
              <w:t>Unrecognized net actuarial losses and</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prior service costs, before tax</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FF0FC"/>
          </w:tcPr>
          <w:p>
            <w:pPr>
              <w:spacing w:after="0"/>
              <w:rPr>
                <w:sz w:val="21"/>
                <w:szCs w:val="21"/>
                <w:color w:val="auto"/>
              </w:rPr>
            </w:pPr>
          </w:p>
        </w:tc>
        <w:tc>
          <w:tcPr>
            <w:tcW w:w="3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09"/>
        </w:trPr>
        <w:tc>
          <w:tcPr>
            <w:tcW w:w="4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18"/>
                <w:szCs w:val="18"/>
                <w:color w:val="auto"/>
              </w:rPr>
            </w:pPr>
          </w:p>
        </w:tc>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derivative (gains) losses, before tax</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FF0FC"/>
            </w:tcBorders>
            <w:shd w:val="clear" w:color="auto" w:fill="CFF0FC"/>
          </w:tcPr>
          <w:p>
            <w:pPr>
              <w:spacing w:after="0"/>
              <w:rPr>
                <w:sz w:val="18"/>
                <w:szCs w:val="18"/>
                <w:color w:val="auto"/>
              </w:rPr>
            </w:pPr>
          </w:p>
        </w:tc>
        <w:tc>
          <w:tcPr>
            <w:tcW w:w="3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w:t>
            </w:r>
          </w:p>
        </w:tc>
        <w:tc>
          <w:tcPr>
            <w:tcW w:w="0" w:type="dxa"/>
            <w:vAlign w:val="bottom"/>
          </w:tcPr>
          <w:p>
            <w:pPr>
              <w:spacing w:after="0"/>
              <w:rPr>
                <w:sz w:val="1"/>
                <w:szCs w:val="1"/>
                <w:color w:val="auto"/>
              </w:rPr>
            </w:pPr>
          </w:p>
        </w:tc>
      </w:tr>
      <w:tr>
        <w:trPr>
          <w:trHeight w:val="209"/>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37</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60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-170815</wp:posOffset>
            </wp:positionV>
            <wp:extent cx="857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-170815</wp:posOffset>
            </wp:positionV>
            <wp:extent cx="857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-170815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-170815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2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gridSpan w:val="3"/>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Minority Shareholders</w:t>
            </w:r>
          </w:p>
        </w:tc>
        <w:tc>
          <w:tcPr>
            <w:tcW w:w="60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0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600" w:type="dxa"/>
            <w:vAlign w:val="bottom"/>
          </w:tcPr>
          <w:p>
            <w:pPr>
              <w:spacing w:after="0"/>
              <w:rPr>
                <w:sz w:val="18"/>
                <w:szCs w:val="18"/>
                <w:color w:val="auto"/>
              </w:rPr>
            </w:pPr>
          </w:p>
        </w:tc>
        <w:tc>
          <w:tcPr>
            <w:tcW w:w="8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00" w:type="dxa"/>
            <w:vAlign w:val="bottom"/>
            <w:vMerge w:val="restart"/>
          </w:tcPr>
          <w:p>
            <w:pPr>
              <w:jc w:val="right"/>
              <w:ind w:right="199"/>
              <w:spacing w:after="0"/>
              <w:rPr>
                <w:sz w:val="20"/>
                <w:szCs w:val="20"/>
                <w:color w:val="auto"/>
              </w:rPr>
            </w:pPr>
            <w:r>
              <w:rPr>
                <w:rFonts w:ascii="Times New Roman" w:cs="Times New Roman" w:eastAsia="Times New Roman" w:hAnsi="Times New Roman"/>
                <w:sz w:val="18"/>
                <w:szCs w:val="18"/>
                <w:color w:val="auto"/>
              </w:rPr>
              <w:t>25</w:t>
            </w: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0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per share amounts are diluted and refer to Goodyear net income.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Goodyear Tire &amp; Rubber Company is one of the world’s leading manufacturers of tires, with one of the most recognizable brand names in the world and operations in most regions of the world. We have a broad global footprint with 57 manufacturing facilities in 23 countries, including the United States. We operate our business through three operating segments representing our regional tire businesses: Americas; Europe, Middle East and Africa (“EMEA”); and Asia Pacific.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Results of Operations</w:t>
      </w:r>
    </w:p>
    <w:p>
      <w:pPr>
        <w:spacing w:after="0" w:line="1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During the second quarter and first six months of 2022, our operating results significantly improved compared to 2021 despite a continued difficult macroeconomic environment, including the strengthening of the U.S. dollar against most foreign currencies, as we continue to realize the benefits of our acquisition of Cooper Tire &amp; Rubber Company ("Cooper Tire") on June 7, 2021 (the "Closing Date"). While we experienced continued recovery from the impacts of the COVID-19 pandemic, our results for the second quarter and first six months of 2022 were still negatively influenced by the direct and indirect macroeconomic effects of the ongoing pandemic. Our global businesses are experiencing varying stages of recovery, as ongoing national and local efforts in certain countries to contain the spread of COVID-19 and its related variants, including renewed stay-at-home orders and other restrictions on mobility, continue to impact economic conditions. Increased demand for consumer products and supply chain disruptions as a result of the pandemic and other global events, including port congestion and container shortages, has led to inflationary cost pressures, including higher costs for certain raw materials, higher transportation costs and higher energy costs. Also, shortages of certain automobile parts, such as semiconductors, continue to affect OE manufacturers’ ability to produce consumer and commercial vehicles consistently.</w:t>
      </w:r>
    </w:p>
    <w:p>
      <w:pPr>
        <w:spacing w:after="0" w:line="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Currently, most of our global tire manufacturing facilities are operating at or near full capacity to meet current demand, as well as to increase the level of our finished goods inventory as we continue to restock in order to fulfill anticipated near-term demand. Earlier in the second quarter of 2022, some of our facilities, including our facilities in Pulandian and Kunshan, China, had to temporarily shut down or limit production as a result of renewed stay-at-home orders or other events. Additionally, we continue to experience increased labor-related costs and manufacturing inefficiencies associated with the ongoing tight labor supply, particularly in the U.S. Our decisions to change production levels in the future will be based on an evaluation of market demand signals and inventory and supply levels, as well as the availability of sufficient qualified labor and our ability to continue to safeguard the health of our associates.</w:t>
      </w:r>
    </w:p>
    <w:p>
      <w:pPr>
        <w:spacing w:after="0" w:line="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monitor the pandemic on a local basis, taking actions to protect the health and wellbeing of our associates, customers and communities, which remain our top priority. We also continue to follow guidance from the Centers for Disease Control and Prevention, which include preventative measures at our facilities, as appropriate.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30, 2022, we reached a tentative agreement with the United Steelworkers ("USW") on a new four-year master labor contract covering nearly 5,900 workers at four plants in the United States. The tentative agreement is subject to a ratification vote by USW members at the plants covered by the contract.</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While it remains challenging to operate our business in Ukraine, we were able to resume shipments of tires into the country on a limited basis during the second quarter of 2022. In addition, we previously suspended all shipments of tires to Russia during the first quarter of 2022. Goodyear’s sales in Ukraine and Russia represented 0.3% and 1.2%, respectively, of our total 2021 net sales of $17.5 billion. We do not have manufacturing operations in either Ukraine or Russia, and we continue to take numerous actions to ensure continuity of supply for raw materials used in manufacturing, some of which are sourced from the impacted area. These actions include increasing our safety stocks when possible, identifying substitutes where appropriate and building alternate supplier relationships where necessary. Nonetheless, the ongoing conflict has aggravated the already challenging macroeconomic trends discussed above, including global supply chain disruptions, higher costs for certain raw materials and higher transportation and energy costs. The situation continues to be very dynamic, and we are continually assessing all potential impacts on our associates and business.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results for the second quarter of 2022 include a 21.5% increase in tire unit shipments compared to 2021, reflecting the addition of the operating results of Cooper Tire and continued recovery from the impacts of the COVID-19 pandemic. In the second quarter of 2022, we incurred approximately $262 million of additional costs related to inflation and other cost pressures, primarily higher transportation and energy costs.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sales in the second quarter of 2022 were $5,212 million, compared to $3,979 million in the second quarter of 2021. Net sales increased in 2022 primarily due to the addition of an incremental $663 million of net sales from Cooper Tire, global improvements in price and product mix, higher tire volume in EMEA and Asia Pacific, partially offset by lower tire volume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legacy business in Americas, and higher sales in other tire-related businesses, driven by higher aviation sales, primarily in Americas and EMEA, increased retail sales in Americas and growth in EMEA's Fleet Solutions. These increases were partially offset by unfavorable foreign currency translation, primarily in EMEA, driven by the weakening of the euro and Turkish lira.</w:t>
      </w:r>
    </w:p>
    <w:p>
      <w:pPr>
        <w:spacing w:after="0" w:line="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the second quarter of 2022, Goodyear net income was $166 million, or $0.58 per share, compared to $67 million, or $0.27 per share, in the second quarter of 2021. The increase in Goodyear net income was primarily due to an increase in Other Income driven by a one-time gain in the second quarter of 2022 for a sale and leaseback transaction involving certain consumer and commercial retail properties in Americas and higher segment operating income. These increases were partially offset by higher U.S. and Foreign Tax Expense reflecting higher pre-tax earnings and higher interest expense. Additionally, our results in the second quarter of 2021 included the impact of a severe winter storm in the U.S. estimated to negatively impact earnings by $27 million ($22 million after-tax and minority).</w:t>
      </w:r>
    </w:p>
    <w:p>
      <w:pPr>
        <w:spacing w:after="0" w:line="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Total segment operating income for the second quarter of 2022 was $364 million, compared to $299 million in the second quarter of 2021. The increase was primarily due to global improvements in price and product mix of $560 million, which more than offset higher raw material costs of $419 million, higher tire volume of $43 million in EMEA and Asia Pacific, partially offset by lower tire volume in our legacy business in Americas, and increased earnings in other-tire related businesses of $19 million, driven by higher aviation sales in Americas and EMEA. These increases were partially offset by increased conversion costs of $100 million, higher transportation and import duty costs of $58 million and higher Selling, Administrative and General Expense ("SAG") of $37 million, all driven by the inflationary cost trends discussed above, as well as a favorable indirect tax ruling in Brazil of $69 million ($45 million after-tax and minority) in 2021 related to prior periods and a favorable out of period adjustment of $8 million ($6 million after-tax and minority) in 2021 related to accrued freight charges in Americas. The remainder of the change was driven by the addition of Cooper Tire's operating results. Refer to "Results of Operations — Segment Information" for additional information.</w:t>
      </w:r>
    </w:p>
    <w:p>
      <w:pPr>
        <w:spacing w:after="0" w:line="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Net sales in the first six months of 2022 were $10,120 million, compared to $7,490 million in the first six months of 2021. Net sales increased in 2022 primarily due to the addition of an incremental $1,532 million of net sales from Cooper Tire, global improvements in price and product mix, higher tire volume in EMEA and Asia Pacific, partially offset by lower tire volume in our legacy business in Americas, and higher sales in other tire-related businesses, driven by increased third-party chemical sales in Americas, higher aviation sales, primarily in Americas and EMEA, growth in EMEA's Fleet Solutions, and increased retail sales in Americas. These increases were partially offset by unfavorable foreign currency translation, primarily in EMEA, driven by the weakening of the euro and Turkish lira.</w:t>
      </w:r>
    </w:p>
    <w:p>
      <w:pPr>
        <w:spacing w:after="0" w:line="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the first six months of 2022, Goodyear net income was $262 million, or $0.91 per share, compared to $79 million, or $0.32 per share, in the first six months of 2021. The increase in Goodyear net income was primarily due to higher segment operating income, an increase in Other Income driven by the one-time gain in the second quarter of 2022 for the sale and leaseback transaction in Americas, and lower rationalization expense. These increases were partially offset by higher U.S. and Foreign Tax Expense reflecting higher pre-tax earnings and higher interest expense. Additionally, our results in the first half of 2021 included the impact of a severe winter storm in the U.S. estimated to negatively impact earnings by $50 million ($40 million after-tax and minority).</w:t>
      </w:r>
    </w:p>
    <w:p>
      <w:pPr>
        <w:spacing w:after="0" w:line="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Total segment operating income for the first six months of 2022 was $667 million, compared to $525 million in the first six months of 2021. The increase was primarily due to global improvements in price and product mix of $1,071 million, which more than offset higher raw material costs of $797 million, higher tire volume of $71 million in EMEA and Asia Pacific, partially offset by lower tire volume in our legacy business in Americas, and higher earnings in other tire-related businesses of $28 million, primarily driven by higher aviation sales in Americas and EMEA. These increases were partially offset by increased conversion costs of $168 million, higher transportation and import duty costs of $124 million and higher SAG of $83 million, all driven by the inflationary cost trends discussed above, as well as the favorable indirect tax ruling in Brazil of $69 million in 2021, of which $66 million ($43 million after-tax and minority) related to prior periods. The remainder of the change was driven by the addition of Cooper Tire's operating results. Refer to "Results of Operations — Segment Information" for additional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At June 30, 2022, we had $1,248 million of cash and cash equivalents as well as $3,210 million of unused availability under our various credit agreements, compared to $1,088 million and $4,345 million, respectively, at December 31, 2021. The increase in cash and cash equivalents of $160 million was primarily due to net borrowings of $1,129 million and cash proceeds of $108 million received from the sale and leaseback transaction in Americas, partially offset by cash used by operating activities of $533 million and capital expenditures of $511 million. Cash used by operating activities reflects cash used for working capital of $1,242 million and rationalization payments of $59 million, partially offset by net income for the period of $266 million, which includes non-cash charges for depreciation and amortization of $481 million, a non-cash gain of $95 million on the sale and leaseback transaction in Americas, and the impact of other non-cash changes to various assets and liabilities on the Balance Sheet.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second quarter of 2022, consumer replacement tire industry volume exceeded pre-pandemic levels in the Americas and in Europe, while the Asia Pacific industry remained below 2019 levels given continuing impacts related to the COVID-19 pandemic. Globally, OE manufacturers continue to be affected by shortages of components and materials, which are limiting vehicle production. In addition, the conflict in Ukraine has exacerbated continuing supply chain challenges and increases in the cost of certain raw materials, as well as in energy and transportation costs.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the third quarter of 2022, we expect continued volume growth in EMEA and Asia Pacific. We expect our raw material costs to increase approximately $1.0 billion in the second half of 2022 compared to 2021, including Cooper Tire, with approximately $600 million of those increases occurring in the third quarter of 2022. We anticipate price and product mix to continue to more than offset raw material costs in the third quarter of 2022, with a similar net impact on our earnings that we experienced in the first and second quarters. Natural and synthetic rubber prices and other commodity prices historically have been volatile, and our raw material costs could change based on future cost fluctuations and changes in foreign exchange rates. We continue to focus on price and product mix, to substitute lower cost materials where possible, to work to identify additional substitution opportunities, to reduce the amount of material required in each tire, and to pursue alternative raw materials to minimize the impact of higher raw material costs.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higher raw material costs, we expect the impact of other inflationary cost pressures to continue to persist, particularly with respect to transportation, labor and energy costs with increases in the third quarter of 2022 compared to 2021 being similar to the levels we experienced in the second quarter of 2022. We continue to focus on actions to offset costs other than raw materials through cost savings initiatives, further price actions and improvements in product mix.</w:t>
      </w:r>
    </w:p>
    <w:p>
      <w:pPr>
        <w:spacing w:after="0" w:line="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expect our operating results to be negatively impacted by foreign currency translation by $25 million to $30 million in the third quarter of 2022 due to the strength of the U.S. dollar at current spot rates.</w:t>
      </w:r>
    </w:p>
    <w:p>
      <w:pPr>
        <w:spacing w:after="0" w:line="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2022, we expect to reinvest approximately $300 million in working capital to rebuild inventory levels to meet customer demand and support service levels. We expect our capital expenditures to be between $1.1 billion and $1.2 billion. Our capital expenditures in 2022 will be focused on projects to modernize certain of our manufacturing facilities and expand others to address supply constraints and growing demand, in addition to capital expenditures sustaining our facilities.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Refer to “Item 1A. Risk Factors” in our Form 10-K for the year ended December 31, 2021 (the "2021 Form 10-K") and our Quarterly Report on Form 10-Q for the quarterly period ended March 31, 2022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and 2021</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second quarter of 2022 were $5,212 million, increasing $1,233 million, or 31.0%, from $3,979 million in the second quarter of 2021. Goodyear net income was $166 million, or $0.58 per share, in the second quarter of 2022, compared to $67 million, or $0.27 per share, in the second quarter of 2021.</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sales increased in the second quarter of 2022, primarily due to the addition of an incremental $663 million of net sales from Cooper Tire, global improvements in price and product mix of $539 million, higher tire volume of $193 million in EMEA and Asia Pacific, partially offset by lower tire volume in our legacy business in Americas, and higher sales in other tire-related businesses of $47 million, driven by higher aviation sales, primarily in Americas and EMEA, increased retail sales in Americas and growth in EMEA's Fleet Solutions. These increases were partially offset by unfavorable foreign currency translation of $207 million, primarily in EMEA, driven by the weakening of the euro and Turkish lira.</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Worldwide tire unit sales in the second quarter of 2022 were 45.6 million units, increasing 8.1 million units, or 21.5%, from 37.5 million units in the second quarter of 2021. Replacement tire volume increased globally by 6.6 million units, or 22.6%, driven by the addition of Cooper Tire's units. OE tire volume increased globally by 1.5 million units, or 17.5%, reflecting continued recovery from the COVID-19 pandemic and the addition of Cooper Tire's units, despite ongoing challenges to vehicle production as a result of global supply chain disruptions, including shortages of key manufacturing components, such as semiconductors.</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 of Goods Sold ("CGS") in the second quarter of 2022 was $4,172 million, increasing $1,094 million, or 35.5%, from $3,078 million in the second quarter of 2021. CGS increased primarily due to the addition of an incremental $474 million of CGS from Cooper Tire, higher raw material costs of $419 million, higher tire volume of $150 million in EMEA and Asia Pacific, partially offset by lower tire volume in our legacy business in Americas, higher conversion costs of $100 million, driven by inflation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higher energy costs, the favorable indirect tax ruling in Brazil of $69 million in 2021, and higher transportation and import duty costs of $58 million. These increases were partially offset by foreign currency translation of $176 million, primarily in EMEA, driven by the weakening of the euro and Turkish lira. CGS in the second quarter of 2022 included a gain of $14 million ($11 million after-tax and minority) due to a reduction in U.S. duty rates on certain commercial tires that were imported during 2020. CGS in the second quarter of 2021 included $38 million ($29 million after-tax and minority) of amortization expense related to a fair value adjustment to the Closing Date inventory of Cooper Tire that was acquired by Goodyear.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CGS in the second quarter of 2022 and 2021 included pension expense of $6 million and $5 million, respectively. CGS in the second quarter of 2021 included $25 million of incremental year-over-year savings from rationalization plans. CGS was 80.0% of sales in the second quarter of 2022, compared to 77.4% in the second quarter of 2021.</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SAG in the second quarter of 2022 was $717 million, increasing $59 million, or 9.0%, from $658 million in the second quarter of 2021. SAG increased primarily due to the addition of Cooper Tire's operating results. SAG also included increases related to higher wages and benefits of $12 million and $27 million of other net cost increases reflecting the inflationary cost pressures discussed above, partially offset by foreign currency translation of $34 million, primarily in EMEA, driven by the weakening of the euro and Turkish lira.</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SAG in the second quarter of 2022 and 2021 included pension expense of $4 million and $5 million, respectively. SAG in the second quarter of 2022 included $1 million of incremental year-over-year savings from rationalization plans, compared to $3 million in 2021. SAG was 13.8% of sales in the second quarter of 2022, compared to 16.5% in the second quarter of 2021.</w:t>
      </w:r>
    </w:p>
    <w:p>
      <w:pPr>
        <w:spacing w:after="0" w:line="6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SAG and CGS in the second quarter of 2021 included a total of $6 million ($4 million after-tax and minority) of transaction costs related to the Cooper Tire acquisition.</w:t>
      </w:r>
    </w:p>
    <w:p>
      <w:pPr>
        <w:spacing w:after="0" w:line="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recorded net rationalization charges of $26 million ($20 million after-tax and minority) in the second quarter of 2022, primarily related to a current year plan to reduce duplicative global SAG headcount and close redundant warehouse locations in Americas as part of our ongoing Cooper Tire integration efforts, in line with previously announced planned synergies. We recorded $18 million ($16 million after-tax and minority) of net rationalization charges in the second quarter of 2021 primarily related to the permanent closure of our Gadsden, Alabama tire manufacturing facility ("Gadsden") and the modernization of two of our tire manufacturing facilities in Germany. For further information, refer to Note to the Consolidated Financial Statements No. 4, Costs Associated with Rationalization Programs.</w:t>
      </w:r>
    </w:p>
    <w:p>
      <w:pPr>
        <w:spacing w:after="0" w:line="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Interest expense in the second quarter of 2022 was $110 million, increasing $13 million, or 13.4%, from $97 million in the second quarter of 2021. Interest expense in the second quarter of 2021 included a $5 million ($4 million after-tax and minority) charge related to the redemption of our $1.0 billion 5.125% senior notes due 2023. The average interest rate was 5.25% in the second quarter of 2022, compared to 5.51% in the second quarter of 2021. The average debt balance was $8,387 million in the second quarter of 2022, compared to $7,037 million in the second quarter of 2021. The increase in average debt is primarily due to additional borrowings that were used to partially fund the Cooper Tire acquisition in the second quarter of 2021 and support our working capital requirements in 2022.</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Other (Income) Expense in the second quarter of 2022 was $65 million of income, compared to $30 million of expense in the second quarter of 2021. Other (Income) Expense for the second quarter of 2022 includes a gain on asset sales of $95 million ($71 million after-tax and minority) related to the sale and leaseback transaction in Americas and pension settlement charges of $18 million ($13 million after-tax and minority). Other (Income) Expense for the second quarter of 2021 includes $48 million ($32 million after-tax and minority) of interest income related to the favorable indirect tax ruling in Brazil, $42 million ($35 million after-tax and minority) of transaction and other costs related to the Cooper Tire acquisition, and pension settlement charges of $19 million ($14 million after-tax and minority).</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second quarter of 2022, we recorded income tax expense of $82 million on income before income taxes of $252 million. Income tax expense for the three months ended June 30, 2022 includes net discrete tax expense of $14 million ($14 million after minority interest), primarily related to the write off of deferred tax assets for tax loss carryforwards in the UK.</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second quarter of 2021, we recorded income tax expense of $27 million on income before income taxes of $98 million. Income tax expense for the three months ended June 30, 2021 includes a net discrete tax benefit of $32 million ($32 million after minority interest), primarily related to adjusting our deferred tax assets in England for an enacted increase in the tax rate, partially offset by a net discrete charge for various other items, including the settlement of a tax audit in Poland.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income taxes, refer to Note to the Consolidated Financial Statements No. 6,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Minority shareholders’ net income in both the second quarter of 2022 and 2021 was $4 million.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and 2021</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sales in the first six months of 2022 were $10,120 million, increasing $2,630 million, or 35.1%, from $7,490 million in the first six months of 2021. Goodyear net income was $262 million, or $0.91 per share, in the first six months of 2022, compared to $79 million, or $0.32 per share, in the first six months of 2021.</w:t>
      </w:r>
    </w:p>
    <w:p>
      <w:pPr>
        <w:spacing w:after="0" w:line="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Net sales increased in the first six months of 2022, primarily due to the addition of an incremental $1,532 million of net sales from Cooper Tire, global improvements in price and product mix of $1,048 million, higher tire volume of $296 million in EMEA and Asia Pacific, partially offset by lower tire volume in our legacy business in Americas, and higher sales in other tire-related businesses of $149 million, driven by increased third-party chemical sales in Americas, higher aviation sales, primarily in Americas and EMEA, growth in EMEA's Fleet Solutions and increased retail sales in Americas. These increases were partially offset by unfavorable foreign currency translation of $393 million, primarily in EMEA, driven by the weakening of the euro and Turkish lira.</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Worldwide tire unit sales in the first six months of 2022 were 90.6 million units, increasing 18.1 million units, or 25.0%, from 72.5 million units in the first six months of 2021. Replacement tire volume increased globally by 15.8 million units, or 28.6%, driven by the addition of Cooper Tire's units. OE tire volume increased by 2.3 million units, or 13.2%, primarily in Asia Pacific and Americas, reflecting continued recovery from the COVID-19 pandemic and the addition of Cooper Tire's units, despite ongoing challenges to vehicle production as a result of global supply chain disruptions, including shortages of key manufacturing components, such as semiconductors.</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CGS in the first six months of 2022 was $8,138 million, increasing $2,309 million, or 39.6%, from $5,829 million in the first six months of 2021. CGS increased primarily due to the addition of an incremental $1,193 million of CGS from Cooper Tire, higher raw material costs of $797 million, higher tire volume of $225 million in EMEA and Asia Pacific, partially offset by lower tire volume in our legacy business in Americas, higher conversion costs of $168 million, driven by inflation and higher energy costs, higher transportation and import duty costs of $124 million, higher costs in other tire-related businesses of $121 million, driven by increased third-party chemical sales and retail sales in Americas as well as growth in EMEA's Fleet Solutions, and the favorable indirect tax ruling in Brazil of $69 million in 2021. These increases were partially offset by foreign currency translation of $322 million, primarily in EMEA, driven by the weakening of the euro and Turkish lira. CGS in the first six months of 2022 included a gain of $14 million ($11 million after-tax and minority) due to a reduction in U.S. duty rates on certain commercial tires that were imported during 2020. CGS in the first six months of 2021 included $38 million ($29 million after-tax and minority) of amortization expense related to a fair value adjustment to the Closing Date inventory of Cooper Tire that was acquired by Goodyear.</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CGS in the first six months of 2022 and 2021 included pension expense of $11 million and $9 million, respectively. CGS in the first six months of 2022 included $1 million of incremental year-over-year savings from rationalization plans, compared to $57 million in 2021. CGS was 80.4% of sales in the first six months of 2022, compared to 77.8% in the first six months of 2021.</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SAG in the first six months of 2022 was $1,405 million, increasing $183 million, or 15.0%, from $1,222 million in the first six months of 2021. SAG increased primarily due to the addition of Cooper Tire's operating results. SAG also included increases related to higher wages and benefits of $42 million, including the impact of higher incentive compensation, and $64 million of other net cost increases reflecting the inflationary cost pressures discussed above, partially offset by foreign currency translation of $62 million, primarily in EMEA, driven by the weakening of the euro and Turkish lira.</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SAG in the first six months of 2022 and 2021 included pension expense of $8 million and $9 million, respectively. SAG in the first six months of 2022 included $2 million of incremental year-over-year savings from rationalization plans, compared to $5 million in 2021. SAG was 13.9% of sales in the first six months of 2022, compared to 16.3% in the first six months of 2021.</w:t>
      </w:r>
    </w:p>
    <w:p>
      <w:pPr>
        <w:spacing w:after="0" w:line="6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SAG and CGS in the first six months of 2021 included a total of $6 million ($4 million after-tax and minority) of transaction costs related to the Cooper Tire acquisition.</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recorded net rationalization charges of $37 million ($29 million after-tax and minority) in the first six months of 2022 and $68 million ($61 million after-tax and minority) in the first six months of 2021. Net rationalization charges in the first six months of 2022 primarily related to the plan to reduce duplicative global SAG headcount and close redundant warehouse locations in Americas as part of our ongoing Cooper Tire integration efforts. Net rationalization charges in the first six months of 2021 primarily related to the modernization of two of our tire manufacturing facilities in Germany, a plan to reduce SAG headcount in EMEA, and the permanent closure of Gadsden. For further information, refer to Note to the Consolidated Financial Statements No. 4, Costs Associated with Rationalization Programs.</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in the first six months of 2022 was $214 million, increasing $38 million, or 21.6%, from $176 million in the first six months of 2021. Interest expense in the first six months of 2021 included a $5 million ($4 million after-tax and minority) charge related to the redemption of our $1.0 billion 5.125% senior notes due 2023. The average interest rate was 5.26% in the first six months of 2022 compared to 5.38% in the first six months of 2021. The average debt balance was $8,135 million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first six months of 2022 compared to $6,542 million in the first six months of 2021. The increase in average debt is primarily due to additional borrowings that were used to partially fund the Cooper Tire acquisition in the second quarter of 2021 and support our working capital requirements in 2022.</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Other (Income) Expense in the first six months of 2022 was $60 million of income, compared to $64 million of expense in the first six months of 2021. Other (Income) Expense for the first six months of 2022 includes net gains on asset sales of $98 million ($75 million after-tax and minority), primarily related to the sale and leaseback transaction in Americas and pension settlement charges of $18 million ($13 million after-tax and minority). Other (Income) Expense for the first six months of 2021 includes $49 million ($41 million after-tax and minority) of transaction and other costs related to the Cooper Tire acquisition, $48 million ($32 million after-tax and minority) of interest income related to the favorable indirect tax ruling in Brazil, pension settlement charges of $19 million ($14 million after-tax and minority) and an out of period adjustment of $7 million ($7 million after-tax and minority) of expense related to foreign currency exchange in Americas. The remainder of the change was driven by a $7 million increase in royalty income, primarily due to an increase in chemical royalties in Americas.</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first six months of 2022, we recorded income tax expense of $120 million on income before income taxes of $386 million. Income tax expense for the six months ended June 30, 2022 includes net discrete tax expense of $18 million ($18 million after minority interest), including charges of $14 million to write off deferred tax assets related to tax loss carryforwards in the UK and $11 million to establish a full valuation allowance on our net deferred tax assets in Russia, partially offset by a net benefit of $7 million for various other items.</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first six months of 2021, we recorded income tax expense of $42 million on income before income taxes of $131 million. Income tax expense for the six months ended June 30, 2021 includes a net discrete tax benefit of $29 million ($29 million after minority interest), primarily related to adjusting our deferred tax assets in England for an enacted increase in the tax rate, partially offset by a net discrete charge for various other items, including the settlement of a tax audit in Poland.</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six months ended June 30, 2022 primarily relates to losses in foreign jurisdictions in which no tax benefits are recorded and the discrete items noted above. The difference between our effective tax rate and the U.S. statutory rate of 21% for the six months ended June 30, 2021 primarily relates to the tax on the favorable indirect tax ruling in Brazil, losses in foreign jurisdictions in which no tax benefits are recorded, and the discrete items noted above.</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At both June 30, 2022 and December 31, 2021, we had approximately $1.2 billion of U.S. federal, state and local net deferred tax assets, net of valuation allowances totaling $26 million primarily for state tax loss carryforwards with limited lives. In the U.S., we have a cumulative loss for the three-year period ending June 30, 2022. However, as the three-year cumulative loss in the U.S. is driven by business disruptions created by the COVID-19 pandemic, primarily in 2020, and only include the favorable impact of the Cooper Tire acquisition since the Closing Date, we also considered other objectively verifiable information in assessing our ability to utilize our net deferred tax assets, including continued favorable overall volume trends in the tire industry and our tire volume compared to 2020 levels. In addition, the Cooper Tire acquisition has generated significant incremental domestic earnings since the Closing Date and provides opportunities for cost and other operating synergies to further improve our U.S. profitability.</w:t>
      </w:r>
    </w:p>
    <w:p>
      <w:pPr>
        <w:spacing w:after="0" w:line="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At both June 30, 2022 and December 31, 2021, our U.S. net deferred tax assets include $339 million of foreign tax credits with limited lives, net of valuation allowances of $3 million. Our earnings and forecasts of future profitability, taking into consideration recent trends, along with three significant sources of foreign income, provide us sufficient positive evidence that we will be able to utilize these net foreign tax credits which expire through 2030.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higher raw material, transportation, labor and energy costs, on our profitability, as well as the impact of tax planning strategies. These macroeconomic factors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June 30, 2022, our U.S. net deferred tax assets, including our foreign tax credits, net of valuation allowances, will be fully utilized.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91"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18"/>
          <w:szCs w:val="18"/>
          <w:color w:val="auto"/>
        </w:rPr>
        <w:t>At June 30, 2022 and December 31, 2021, we also had approximately $1.2 billion and $1.3 billion of foreign net deferred tax assets, respectively, and related valuation allowances of $1.0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$800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9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including our foreign tax credits, refer to Note to the Consolidated Financial Statements No. 6, Income Taxes.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Minority shareholders’ net income in the first six months of 2022 was $4 million, compared to $10 million in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21"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 Since the Closing Date, Cooper Tire's operating results have been incorporated into each of our SBUs. We discuss the impact of Cooper Tire's net sales and operating income separately within each SBU for periods presented that are not fully comparable.</w:t>
      </w:r>
    </w:p>
    <w:p>
      <w:pPr>
        <w:spacing w:after="0" w:line="81"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and certain other items.</w:t>
      </w:r>
    </w:p>
    <w:p>
      <w:pPr>
        <w:spacing w:after="0" w:line="72"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Total segment operating income for the second quarter of 2022 was $364 million, an increase of $65 million, or 21.7%, from $299 million in the second quarter of 2021. Total segment operating margin in the second quarter of 2022 was 7.0%, compared to 7.5% in the second quarter of 2021. Total segment operating income for the first six months of 2022 was $667 million, an increase of $142 million, or 27.0%, from $525 million in the first six months of 2021. Total segment operating margin in the first six months of 2022 was 6.6%, compared to 7.0% in the first six months of 2021.</w:t>
      </w:r>
    </w:p>
    <w:p>
      <w:pPr>
        <w:spacing w:after="0" w:line="81"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8, Business Segments, for further information and for a reconciliation of total segment operating income to Income before Income Taxes.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31"/>
        </w:trPr>
        <w:tc>
          <w:tcPr>
            <w:tcW w:w="3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1"/>
                <w:szCs w:val="11"/>
                <w:color w:val="auto"/>
              </w:rPr>
            </w:pPr>
          </w:p>
        </w:tc>
      </w:tr>
      <w:tr>
        <w:trPr>
          <w:trHeight w:val="187"/>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6"/>
                <w:szCs w:val="16"/>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22.4 %</w:t>
            </w:r>
          </w:p>
        </w:tc>
        <w:tc>
          <w:tcPr>
            <w:tcW w:w="16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3,147</w:t>
            </w:r>
          </w:p>
        </w:tc>
        <w:tc>
          <w:tcPr>
            <w:tcW w:w="60" w:type="dxa"/>
            <w:vAlign w:val="bottom"/>
          </w:tcPr>
          <w:p>
            <w:pPr>
              <w:spacing w:after="0"/>
              <w:rPr>
                <w:sz w:val="18"/>
                <w:szCs w:val="18"/>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2,256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891</w:t>
            </w:r>
          </w:p>
        </w:tc>
        <w:tc>
          <w:tcPr>
            <w:tcW w:w="12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39.5 % $</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6,062</w:t>
            </w:r>
          </w:p>
        </w:tc>
        <w:tc>
          <w:tcPr>
            <w:tcW w:w="80" w:type="dxa"/>
            <w:vAlign w:val="bottom"/>
          </w:tcPr>
          <w:p>
            <w:pPr>
              <w:spacing w:after="0"/>
              <w:rPr>
                <w:sz w:val="18"/>
                <w:szCs w:val="18"/>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  4,043</w:t>
            </w:r>
          </w:p>
        </w:tc>
        <w:tc>
          <w:tcPr>
            <w:tcW w:w="12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  2,019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49.9 %</w:t>
            </w: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293</w:t>
            </w:r>
          </w:p>
        </w:tc>
        <w:tc>
          <w:tcPr>
            <w:tcW w:w="60" w:type="dxa"/>
            <w:vAlign w:val="bottom"/>
          </w:tcPr>
          <w:p>
            <w:pPr>
              <w:spacing w:after="0"/>
              <w:rPr>
                <w:sz w:val="18"/>
                <w:szCs w:val="18"/>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60</w:t>
            </w:r>
          </w:p>
        </w:tc>
        <w:tc>
          <w:tcPr>
            <w:tcW w:w="11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25.8 %</w:t>
            </w:r>
          </w:p>
        </w:tc>
        <w:tc>
          <w:tcPr>
            <w:tcW w:w="16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18"/>
                <w:szCs w:val="18"/>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46.7 %</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8.6 %</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and 2021</w:t>
      </w:r>
    </w:p>
    <w:p>
      <w:pPr>
        <w:spacing w:after="0" w:line="107"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Americas unit sales in the second quarter of 2022 increased 4.3 million units, or 22.4%, to 23.3 million units. Replacement tire volume increased 3.8 million units, or 24.4%, primarily due to the addition of Cooper Tire's units, partially offset by a decrease in our consumer business in the United States. OE tire volume increased 0.5 million units, or 12.5%, driven by our consumer business in the United States and Canada and by the addition of Cooper Tire's units.</w:t>
      </w:r>
    </w:p>
    <w:p>
      <w:pPr>
        <w:spacing w:after="0" w:line="81"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8"/>
          <w:szCs w:val="18"/>
          <w:color w:val="auto"/>
        </w:rPr>
        <w:t>Net sales in the second quarter of 2022 were $3,147 million, increasing $891 million, or 39.5%, from $2,256 million in the second quarter of 2021. The increase in net sales was primarily due to an incremental $599 million of net sales from Cooper Tire, favorable price and product mix of $319 million, driven by price increases, higher sales in other tire-related businesses of $29 million, primarily due to higher aviation, retail and third-party chemical sales, and favorable foreign currency translation of $24 million, primarily related to a stronger Brazilian real. These increases were partially offset by lower tire volume in our legacy</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business of $81 million. We estimate that the severe winter storm in the U.S. negatively impacted Americas net sales in the second quarter of 2021 by approximately $11 million.</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Operating income in the second quarter of 2022 was $293 million, increasing $60 million, or 25.8%, from $233 million in the second quarter of 2021. The increase in operating income was due to improvements in price and product mix of $311 million, which more than offset higher raw material costs of $183 million, and higher earnings in other tire-related businesses of $6 million. These increases were partially offset by the favorable indirect tax ruling in Brazil of $69 million in 2021, higher conversion costs of $52 million, driven by inflation, increased transportation and import duty costs of $47 million, lower tire volume in our legacy business of $23 million, and a favorable out of period adjustment of $8 million in 2021 related to accrued freight charges. The remainder of the change was driven by the addition of Cooper Tire's operating results. We estimate that the severe winter storm in the U.S. as well as a national strike in Colombia negatively impacted Americas operating income in the second quarter of 2021 by approximately $24 million and $4 million ($4 million after-tax and minority), respectively.</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 the second quarter of 2022 excluded net rationalization charges of $11 million and net gains on asset sales of $95 million, primarily related to the sale and leaseback transaction for certain consumer and commercial retail locations in the United States. Operating income in the second quarter of 2021 excluded net rationalization charges of $8 million.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and 2021</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Americas unit sales in the first six months of 2022 increased 11.0 million units, or 32.0%, to 45.5 million units. Replacement tire volume increased 10.4 million units, or 37.6%, primarily due to the addition of Cooper Tire's units, partially offset by a decrease in our consumer business in the United States. OE tire volume increased 0.6 million units, or 8.5%, despite the ongoing negative impacts to vehicle production as a result of global supply chain disruptions, including shortages of key manufacturing components, such as semiconductors, and was driven by our consumer business in Canada and the United States, as well as the addition of Cooper Tire's units.</w:t>
      </w:r>
    </w:p>
    <w:p>
      <w:pPr>
        <w:spacing w:after="0" w:line="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Net sales in the first six months of 2022 were $6,062 million, increasing $2,019 million, or 49.9%, from $4,043 million in the first six months of 2021. The increase in net sales was primarily due to the addition of an incremental $1,355 million of net sales from Cooper Tire, favorable price and product mix of $650 million, driven by price increases, higher sales in other tire-related businesses of $101 million, primarily due to higher chemical, aviation and retail sales, and favorable foreign currency translation of $20 million, primarily related to a stronger Brazilian real. These increases were partially offset by lower tire volume in our legacy business of $107 million. We estimate that the severe winter storm in the U.S. negatively impacted Americas net sales for the first six months of 2021 by approximately $35 million.</w:t>
      </w:r>
    </w:p>
    <w:p>
      <w:pPr>
        <w:spacing w:after="0" w:line="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Operating income in the first six months of 2022 was $509 million, increasing $162 million, or 46.7%, from $347 million in the first six months of 2021. The increase in operating income was due to improvements in price and product mix of $633 million, which more than offset higher raw material costs of $387 million, higher earnings in other tire-related businesses of $13 million, and the net impact of out of period adjustments in 2021 totaling $6 million ($6 million after-tax and minority) of expense primarily related to inventory and accrued freight charges. These increases were partially offset by increased transportation and import duty costs of $101 million, the favorable indirect tax ruling in Brazil of $69 million in 2021, higher conversion costs of $66 million, driven by inflation, lower tire volume in our legacy business of $30 million, and higher SAG of $24 million, primarily due to higher wages and benefits and inflation. The remainder of the change was driven by the addition of Cooper Tire's operating results. We estimate that the severe winter storm in the U.S. as well as a national strike in Colombia negatively impacted Americas operating income in 2021 by approximately $41 million and $4 million ($4 million after-tax and minority), respectively.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first six months of 2022 excluded net rationalization charges of $18 million and net gains on asset sales of $98 million, primarily related to the sale and leaseback transaction. Operating income in the first six months of 2021 excluded net rationalization charges of $18 million.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Europe, Middle East and Africa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r>
      <w:tr>
        <w:trPr>
          <w:trHeight w:val="187"/>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20.8 %</w:t>
            </w:r>
          </w:p>
        </w:tc>
        <w:tc>
          <w:tcPr>
            <w:tcW w:w="14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17.5 %</w:t>
            </w: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1,497</w:t>
            </w:r>
          </w:p>
        </w:tc>
        <w:tc>
          <w:tcPr>
            <w:tcW w:w="60" w:type="dxa"/>
            <w:vAlign w:val="bottom"/>
          </w:tcPr>
          <w:p>
            <w:pPr>
              <w:spacing w:after="0"/>
              <w:rPr>
                <w:sz w:val="18"/>
                <w:szCs w:val="18"/>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   1,230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267</w:t>
            </w:r>
          </w:p>
        </w:tc>
        <w:tc>
          <w:tcPr>
            <w:tcW w:w="12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21.7 % $</w:t>
            </w: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tcPr>
          <w:p>
            <w:pPr>
              <w:spacing w:after="0"/>
              <w:rPr>
                <w:sz w:val="18"/>
                <w:szCs w:val="18"/>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  2,461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462</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18.8 %</w:t>
            </w: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8"/>
                <w:szCs w:val="18"/>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20.9 %</w:t>
            </w:r>
          </w:p>
        </w:tc>
        <w:tc>
          <w:tcPr>
            <w:tcW w:w="14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and 2021</w:t>
      </w:r>
    </w:p>
    <w:p>
      <w:pPr>
        <w:spacing w:after="0" w:line="107"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EMEA unit sales in the second quarter of 2022 increased 2.5 million units, or 20.8%, to 14.5 million units. Replacement tire volume increased 2.3 million units, or 25.2%, primarily in our consumer business, reflecting increased industry demand due to continued recovery from the COVID-19 pandemic, our ongoing initiative to align distribution in Europe and the addition of Cooper Tire’s units. OE tire volume increased 0.2 million units, or 7.0%, reflecting increased demand from improved vehicle production and share gains driven by new consumer fitments. Overall, shortages of certain automobile parts, such as semiconductors, continue to affect OE manufacturers' ability to produce consumer and commercial vehicles consistently.</w:t>
      </w:r>
    </w:p>
    <w:p>
      <w:pPr>
        <w:spacing w:after="0" w:line="85"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Net sales in the second quarter of 2022 were $1,497 million, increasing $267 million, or 21.7%, from $1,230 million in the second quarter of 2021. Net sales increased primarily due to improvements in price and product mix of $206 million, driven by price increases, higher tire volume of $205 million, the addition of an incremental $43 million of net sales from Cooper Tire, and higher sales in other tire-related businesses of $23 million, primarily due to growth in Fleet Solutions and an increase in aviation sales. These increases were partially offset by unfavorable foreign currency translation of $207 million, driven by a weaker euro and Turkish lira.</w:t>
      </w:r>
    </w:p>
    <w:p>
      <w:pPr>
        <w:spacing w:after="0" w:line="72"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Operating income in the second quarter of 2022 was $52 million, increasing $9 million, or 20.9%, from $43 million in the second quarter of 2021. The increase in operating income was primarily due to improvements in price and product mix of $217 million, which more than offset higher raw material costs of $182 million, higher tire volume of $50 million and higher earnings in other tire related businesses of $12 million. These increases were partially offset by higher conversion costs of $44 million, reflecting higher energy costs and other inflationary cost pressures, higher SAG of $33 million, driven by inflation, and higher transportation costs of $9 million.</w:t>
      </w:r>
    </w:p>
    <w:p>
      <w:pPr>
        <w:spacing w:after="0" w:line="8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in the second quarter of 2022 excluded net rationalization charges of $9 million. Operating income in the second quarter of 2021 excluded net rationalization charges of $7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and 2021</w:t>
      </w:r>
    </w:p>
    <w:p>
      <w:pPr>
        <w:spacing w:after="0" w:line="121"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EMEA unit sales in the first six months of 2022 increased 4.3 million units, or 17.5%, to 29.0 million units. Replacement tire volume increased 4.4 million units, or 23.8%, primarily in our consumer business, reflecting increased industry demand due to continued recovery from the COVID-19 pandemic, our ongoing initiative to align distribution in Europe and the addition of Cooper Tire’s units. OE tire volume decreased 0.1 million units, or 1.7%, reflecting the negative impact on vehicle production of global supply chain disruptions, including shortages of key manufacturing components, such as semiconductors, partially offset by share gains driven by new consumer fitments.</w:t>
      </w:r>
    </w:p>
    <w:p>
      <w:pPr>
        <w:spacing w:after="0" w:line="72"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Net sales in the first six months of 2022 were $2,923 million, increasing $462 million, or 18.8%, from $2,461 million in the first six months of 2021. Net sales increased primarily due to improvements in price and product mix of $370 million, driven by price increases, higher tire volume of $308 million, the addition of an incremental $105 million of net sales from Cooper Tire, and higher sales in other tire-related businesses of $54 million, primarily due to growth in Fleet Solutions and an increase in aviation, motorcycle and retread sales. These increases were partially offset by unfavorable foreign currency translation of $373 million, driven by a weaker euro and Turkish lira.</w:t>
      </w:r>
    </w:p>
    <w:p>
      <w:pPr>
        <w:spacing w:after="0" w:line="85"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18"/>
          <w:szCs w:val="18"/>
          <w:color w:val="auto"/>
        </w:rPr>
        <w:t>Operating income in the first six months of 2022 was $111 million, decreasing $6 million, or 5.1%, from $117 million in the first six months of 2021. The decrease in operating income was primarily due to higher conversion costs of $93 million, reflecting higher energy costs and other inflationary cost pressures, higher SAG of $59 million, primarily related to higher inflation, wages and benefits and advertising costs, higher transportation costs of $20 million, and unfavorable foreign currency translation of $11 million, driven by a weaker euro and Turkish lira. These decreases were partially offset by improvements in price and product mix of $383 million, which more than offset higher raw material costs of $309 million, higher tire volume of $78 million, higher earnings in other tire-related businesses of $13 million, and $9 million of expense in 2021 related to inventory revaluations. The remainder of the change was driven by the addition of Cooper Tire’s operating results.</w:t>
      </w:r>
    </w:p>
    <w:p>
      <w:pPr>
        <w:spacing w:after="0" w:line="7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Operating income in the first six months of 2022 excluded net rationalization charges of $14 million. Operating income in the first six months of 2021 excluded net rationalization charges of $44 million.</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Asia Pacific</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r>
      <w:tr>
        <w:trPr>
          <w:trHeight w:val="187"/>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160" w:type="dxa"/>
            <w:vAlign w:val="bottom"/>
          </w:tcPr>
          <w:p>
            <w:pPr>
              <w:spacing w:after="0"/>
              <w:rPr>
                <w:sz w:val="18"/>
                <w:szCs w:val="18"/>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19.9 %</w:t>
            </w:r>
          </w:p>
        </w:tc>
        <w:tc>
          <w:tcPr>
            <w:tcW w:w="16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20.7 %</w:t>
            </w: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75</w:t>
            </w: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15.2 % $</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1,135</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149</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15.1 %</w:t>
            </w: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8"/>
                <w:szCs w:val="18"/>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(17.4 )%</w:t>
            </w:r>
          </w:p>
        </w:tc>
        <w:tc>
          <w:tcPr>
            <w:tcW w:w="16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and 2021</w:t>
      </w:r>
    </w:p>
    <w:p>
      <w:pPr>
        <w:spacing w:after="0" w:line="10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Asia Pacific unit sales in the second quarter of 2022 increased 1.3 million units, or 19.9%, to 7.8 million units. OE tire volume increased 0.8 million units, or 38.3%. Replacement tire volume increased 0.5 million units, or 10.4%. These increases primarily related to our consumer business in India and the addition of Cooper Tire’s units, partially offset by decreases in China as a result of renewed COVID-19 stay-at-home orders earlier in the quarter.</w:t>
      </w:r>
    </w:p>
    <w:p>
      <w:pPr>
        <w:spacing w:after="0" w:line="61"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Net sales in the second quarter of 2022 were $568 million, increasing $75 million, or 15.2%, from $493 million in the second quarter of 2021. Net sales increased due to higher tire volume of $69 million, the addition of an incremental $21 million of net sales from Cooper Tire, and favorable price and product mix of $14 million, driven by price increases. These increases were partially offset by unfavorable foreign currency translation of $24 million, primarily related to the weakening of the Japanese yen and Australian dollar.</w:t>
      </w:r>
    </w:p>
    <w:p>
      <w:pPr>
        <w:spacing w:after="0" w:line="68"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Operating income in the second quarter of 2022 was $19 million, decreasing $4 million, or 17.4%, from $23 million in the second quarter of 2021. The decrease in operating income was primarily due to higher raw material costs of $54 million, higher conversion costs of $4 million, driven by the stay-at-home orders in China and higher energy costs, partially offset by higher production volume due to business growth in India, Japan and Malaysia, and higher SAG of $3 million, primarily due to inflation. These decreases were partially offset by favorable price and product mix of $32 million, higher tire volume of $16 million and the addition of Cooper Tire's operating results.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 the second quarter of 2022 excluded net rationalization charges of $1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and 2021</w:t>
      </w:r>
    </w:p>
    <w:p>
      <w:pPr>
        <w:spacing w:after="0" w:line="10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Asia Pacific unit sales in the first six months of 2022 increased 2.8 million units, or 20.7%, to 16.1 million units. OE tire volume increased 1.8 million units, or 40.3%. Replacement tire volume increased 1.0 million units, or 10.7%. These increases primarily related to the addition of Cooper Tire’s units and our consumer business in India.</w:t>
      </w:r>
    </w:p>
    <w:p>
      <w:pPr>
        <w:spacing w:after="0" w:line="61"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Net sales in the first six months of 2022 were $1,135 million, increasing $149 million, or 15.1%, from $986 million in the first six months of 2021. Net sales increased due to higher tire volume of $95 million, the addition of an incremental $72 million of net sales from Cooper Tire, and favorable price and product mix of $28 million, driven by price increases. These increases were partially offset by unfavorable foreign currency translation of $40 million, primarily related to the weakening of the Japanese yen and Australian dollar.</w:t>
      </w:r>
    </w:p>
    <w:p>
      <w:pPr>
        <w:spacing w:after="0" w:line="81"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Operating income in the first six months of 2022 was $47 million, decreasing $14 million, or 23.0%, from $61 million in the first six months of 2021. The decrease in operating income was primarily due to higher raw material costs of $101 million and higher conversion costs of $9 million, driven by the stay-at-home orders in China and higher energy costs, partially offset by higher production volume due to business growth in India, Japan and Malaysia. These decreases were partially offset by favorable price and product mix of $55 million, higher tire volume of $23 million and the addition of Cooper Tire's operating results.</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At June 30, 2022, we had $1,248 million in cash and cash equivalents, compared to $1,088 million at December 31, 2021. For the six months ended June 30, 2022, net cash used by operating activities was $533 million, reflecting cash used for working capital of $1,242 million and rationalization payments of $59 million, partially offset by net income for the period of $266 million, which includes non-cash charges for depreciation and amortization of $481 million, a non-cash gain of $95 million on the sale and leaseback transaction in Americas, and the impact of other non-cash changes to various assets and liabilities on the Balance Sheet. Net cash used by investing activities was $403 million, primarily representing capital expenditures of $511 million, partially offset by cash proceeds of $108 million received from the sale and leaseback transaction in Americas. Cash provided by financing activities was $1,132 million, primarily due to net borrowings of $1,129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we had $3,210 million of unused availability under our various credit agreements, compared to $4,345 million at December 31, 2021.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unused availability under our credit facilities at those dates: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2,069</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2,314</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11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908</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11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 term credit arrangements</w:t>
            </w: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560</w:t>
            </w:r>
          </w:p>
        </w:tc>
      </w:tr>
      <w:tr>
        <w:trPr>
          <w:trHeight w:val="249"/>
        </w:trPr>
        <w:tc>
          <w:tcPr>
            <w:tcW w:w="76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3,210</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4,345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-24765</wp:posOffset>
            </wp:positionV>
            <wp:extent cx="12001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1200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2022 cash flow needs to include capital expenditures of $1.1 billion to $1.2 billion. We also expect interest expense to be $450 million to $475 million; rationalization payments to be approximately $100 million; income tax payments to be $150 million to $200 million, excluding one-time items; and contributions to our funded pension plans to be $25 million to $50 million. We expect working capital to be a use of cash for the full year of 2022 of approximately $300 million.</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June 30, 2022, approximately $910 million of net assets, including approximately $246 million of cash and cash equivalents, were subject to such requirements.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requirements we must comply with to transfer funds out of China, South Africa, Serbia and Argentina have not adversely impacted our ability to make transfers out of those countries.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1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used by operating activities was $533 million in the first six months of 2022, compared to net cash used by operating activities of $71 million in the first six months of 2021. The $462 million increase in net cash used by operating activities was primarily due to a net increase in cash used for working capital of $702 million, partially offset by higher earnings in our SBUs of $142 million, lower cash payments for rationalizations of $64 million, and a $31 million decrease in cash payments for transaction and other costs related to the Cooper Tire acquisition.</w:t>
      </w:r>
    </w:p>
    <w:p>
      <w:pPr>
        <w:spacing w:after="0" w:line="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net increase in cash used for working capital reflects increases in cash used for Accounts Receivable of $479 million and Inventory of $348 million, partially offset by an increase in cash provided by Accounts Payable - Trade of $125 million. These changes were driven by higher sales volume, the impact of current year inflationary cost pressures on our manufacturing operations and pricing, an increase in finished goods inventory as we continue to restock in order to meet anticipated near-term demand and the incremental working capital of Cooper Tire.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1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Net cash used by investing activities was $403 million in the first six months of 2022, compared to $2,233 million in the first six months of 2021. Net cash used by investing activities in the first six months of 2021 includes the payment of $1,856 million for the cash portion of the purchase price related to the Cooper Tire acquisition, net of cash and restricted cash acquired. Capital expenditures were $511 million in the first six months of 2022, including $98 million related to Cooper Tire, compared to $385 million in the first six months of 2021, including $17 million related to Cooper Tire. Beyond expenditures required to sustain our facilities, capital expenditures in 2022 and 2021 primarily related to the modernization and expansion of tire manufacturing facilities around the world. Net cash provided by investing activities in the first six months of 2022 also includes $108 million of cash proceeds related to the sale and leaseback transaction in Americas.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$1,132 million in the first six months of 2022, compared to net cash provided by financing activities of $1,820 million in the first six months of 2021. Financing activities in the first six months of 2022 included net borrowings of $1,129 million. Financing activities in the first six months of 2021 included net borrowings of $1,889 million, partially offset by $73 million of debt-related costs and other financing transactions.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Sources</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aggregate, we had total credit arrangements of $11,475 million available at June 30, 2022, of which $3,210 million were unused, compared to $11,628 million available at December 31, 2021, of which $4,345 million were unused. At June 30, 2022, we had long term credit arrangements totaling $10,649 million, of which $2,916 million were unused, compared to $10,624 million and $3,785 million, respectively, at December 31, 2021. At June 30, 2022, we had short term committed and uncommitted credit arrangements totaling $826 million, of which $294 million were unused, compared to $1,004 million and $560 million, respectively, at December 31, 2021. The continued availability of the short term uncommitted arrangements is at the discretion of the relevant lender and may be terminated at any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we had $5,551 million of outstanding notes compared to $5,591 million at December 31,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 Based on our current liquidity, amounts drawn under this facility bear interest at LIBOR plus 125 basis points, and undrawn amounts under the facility will be subject to an annual commitment fee of 25 basis points.</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June 30, 2022, our borrowing base, and therefore our availability, under this facility was $108 million below the facility's stated amount of $2.75 billion.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 June 30, 2022, we had $570 million of borrowings and $3 million of letters of credit issued under the revolving credit facility. At December 31, 2021, we had no borrowings and $19 million of letters of credit issued under the revolving credit facility.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2024</w:t>
      </w:r>
    </w:p>
    <w:p>
      <w:pPr>
        <w:spacing w:after="0" w:line="1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amended and restated European revolving credit facility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Amounts drawn under this facility will bear interest at LIBOR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 Subject to the consent of the lenders whose commitments are to be increased, we may request that the facility be increased by up to €200 million.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2022, there were no borrowings outstanding under the German tranche, $310 million (€298 million) of borrowings outstanding under the all-borrower tranche and no letters of credit outstanding under the European revolving credit facility. At December 31, 2021, we had no borrowings and no letters of credit outstanding under the European revolving credit facility.</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2018 under the European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2021 through October 19, 2022, the designated maximum amount of the facility is €300 million.</w:t>
      </w:r>
    </w:p>
    <w:p>
      <w:pPr>
        <w:spacing w:after="0" w:line="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19, 2022.</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2022, the amounts available and utilized under this program totaled $246 million (€237 million). At December 31, 2021, the amounts available and utilized under this program totaled $279 million (€246 million). The program does not qualify for sale accounting, and accordingly, these amounts are included in Long Term Debt and Finance Leases.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June 30, 2022, the gross amount of receivables sold was $597 million, compared to $605 million at December 31, 2021.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we had $230 million in letters of credit issued under bilateral letter of credit agreements and other foreign credit facilities.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We have entered into payment processing agreements with several financial institutions. Under these agreements, the financial institution acts as our paying agent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w:t>
      </w:r>
      <w:r>
        <w:rPr>
          <w:rFonts w:ascii="Times New Roman" w:cs="Times New Roman" w:eastAsia="Times New Roman" w:hAnsi="Times New Roman"/>
          <w:sz w:val="18"/>
          <w:szCs w:val="18"/>
          <w:color w:val="252525"/>
        </w:rPr>
        <w:t>Our obligations to our suppliers, including the amounts due and scheduled payment dates, are not impacted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by our suppliers' decisions to sell their receivables under the programs. Agreements for such supplier financing programs totaled up to </w:t>
      </w:r>
      <w:r>
        <w:rPr>
          <w:rFonts w:ascii="Times New Roman" w:cs="Times New Roman" w:eastAsia="Times New Roman" w:hAnsi="Times New Roman"/>
          <w:sz w:val="18"/>
          <w:szCs w:val="18"/>
          <w:color w:val="000000"/>
        </w:rPr>
        <w:t>$810</w:t>
      </w:r>
      <w:r>
        <w:rPr>
          <w:rFonts w:ascii="Times New Roman" w:cs="Times New Roman" w:eastAsia="Times New Roman" w:hAnsi="Times New Roman"/>
          <w:sz w:val="18"/>
          <w:szCs w:val="18"/>
          <w:color w:val="252525"/>
        </w:rPr>
        <w:t xml:space="preserve"> million and $630 million at </w:t>
      </w:r>
      <w:r>
        <w:rPr>
          <w:rFonts w:ascii="Times New Roman" w:cs="Times New Roman" w:eastAsia="Times New Roman" w:hAnsi="Times New Roman"/>
          <w:sz w:val="18"/>
          <w:szCs w:val="18"/>
          <w:color w:val="000000"/>
        </w:rPr>
        <w:t>June 30, 2022 and</w:t>
      </w:r>
      <w:r>
        <w:rPr>
          <w:rFonts w:ascii="Times New Roman" w:cs="Times New Roman" w:eastAsia="Times New Roman" w:hAnsi="Times New Roman"/>
          <w:sz w:val="18"/>
          <w:szCs w:val="18"/>
          <w:color w:val="252525"/>
        </w:rPr>
        <w:t xml:space="preserve"> December 31, 2021, respectively. </w:t>
      </w:r>
      <w:r>
        <w:rPr>
          <w:rFonts w:ascii="Times New Roman" w:cs="Times New Roman" w:eastAsia="Times New Roman" w:hAnsi="Times New Roman"/>
          <w:sz w:val="18"/>
          <w:szCs w:val="18"/>
          <w:color w:val="242424"/>
        </w:rPr>
        <w:t>The increase from December 31, 2021 is primarily due to the overall increase in our</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242424"/>
        </w:rPr>
        <w:t>accounts payable base as a result of the Cooper Tire acquisition.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March 5, 2021, the ICE Benchmark Administration, the administrator of LIBOR (“IBA”), confirmed its previously announced plans to cease publication of USD LIBOR on December 31, 2021 for the one week and two month USD LIBOR tenors, and on June 30, 2023 for all other USD LIBOR tenors. In addition, the IBA ceased publication of all tenors of euro and Swiss franc LIBOR and most tenors of Japanese yen and British pound LIBOR on December 31, 2021. In the United States, efforts to identify a set of alternative U.S. dollar reference interest rates include proposals by the Alternative Reference Rates Committee that has been convened by the Federal Reserve Board and the Federal Reserve Bank of New York to encourage market participants' use of the Secured Overnight Financing Rate, known as SOFR. Additionally, the International Swaps and Derivatives Association, Inc. published amendments to its definition book to incorporate new benchmark fallbacks for derivative contracts that reference certain interbank offered rates, including LIBOR. We cannot currently predict the effect of the discontinuation of, or other changes to, LIBOR or any establishment of alternative reference rates in the United States, the United Kingdom, the European Union or elsewhere on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We have identified and evaluated our financing obligations and other contracts that refer to LIBOR and expect to be able to transition those obligations and contracts to an alternative reference rate upon the discontinuation of LIBOR. Our first lien revolving credit facility and our European revolving credit facility, which constitute the most significant of our LIBOR-based debt obligations, contain "fallback" provisions that address the potential discontinuation of LIBOR and facilitate the adoption of an alternate rate of interest. We have not issued any long term floating rate notes. Our first lien revolving credit facility also contains express provisions for the use, at our option, of an alternative base rate (the higher of (a) the prime rate, (b) the federal funds effective rate or the overnight bank funding rate plus 50 basis points or (c) LIBOR plus 100 basis points). We do not believe that the discontinuation of LIBOR, or its replacement with an alternative reference rate or rates, will have a material impact on our results of operations, financial position or liquidity.</w:t>
      </w:r>
    </w:p>
    <w:p>
      <w:pPr>
        <w:spacing w:after="0" w:line="90"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2021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Note to the Consolidated Financial Statements No. 9, Financing Arrangements and Derivative Financial Instruments, in this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first lien revolving credit facility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June 30, 2022, our unused availability under this facility of $2,069 million, plus our Available Cash of $342 million, totaled $2,411 million, which is in excess of $275 million.</w:t>
      </w:r>
    </w:p>
    <w:p>
      <w:pPr>
        <w:spacing w:after="0" w:line="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June 30, 2022, we were in compliance with this financial covenant.</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liquidity requirements will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pay a quarterly dividend on our common stock.</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six months of 2022, we did not repurchase any shares from employees.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restrictions imposed by our credit facilities and indentures are not expected to significantly affect our ability to pay dividends or repurchase our capital stock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restrictions on asset sales and sale and leaseback transactions imposed by our material indebtedness have not affected our ability to divest non-core businesses or assets, and those divestitures have not affected our ability to comply with those restrictions.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Quarterly Report on Form 10-Q and are generally holding or operating companies, have guaranteed our obligations under the $800 million outstanding principal amount of 9.5% senior notes due 2025,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9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81"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103"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68"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03"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81"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81"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Summarized Balance Sheets</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660" w:type="dxa"/>
            <w:vAlign w:val="bottom"/>
          </w:tcPr>
          <w:p>
            <w:pPr>
              <w:spacing w:after="0"/>
              <w:rPr>
                <w:sz w:val="11"/>
                <w:szCs w:val="11"/>
                <w:color w:val="auto"/>
              </w:rPr>
            </w:pPr>
          </w:p>
        </w:tc>
        <w:tc>
          <w:tcPr>
            <w:tcW w:w="13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jc w:val="right"/>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6"/>
                <w:szCs w:val="16"/>
                <w:color w:val="auto"/>
              </w:rPr>
            </w:pPr>
          </w:p>
        </w:tc>
        <w:tc>
          <w:tcPr>
            <w:tcW w:w="19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660" w:type="dxa"/>
            <w:vAlign w:val="bottom"/>
            <w:shd w:val="clear" w:color="auto" w:fill="CFF0FC"/>
          </w:tcPr>
          <w:p>
            <w:pPr>
              <w:ind w:left="20"/>
              <w:spacing w:after="0" w:line="209" w:lineRule="exact"/>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4"/>
                <w:szCs w:val="24"/>
                <w:color w:val="auto"/>
                <w:vertAlign w:val="superscript"/>
              </w:rPr>
              <w:t>(1)</w:t>
            </w:r>
          </w:p>
        </w:tc>
        <w:tc>
          <w:tcPr>
            <w:tcW w:w="1320" w:type="dxa"/>
            <w:vAlign w:val="bottom"/>
            <w:tcBorders>
              <w:top w:val="single" w:sz="8" w:color="auto"/>
            </w:tcBorders>
            <w:shd w:val="clear" w:color="auto" w:fill="CFF0FC"/>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32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ind w:right="13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20" w:type="dxa"/>
            <w:vAlign w:val="bottom"/>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900" w:type="dxa"/>
            <w:vAlign w:val="bottom"/>
            <w:gridSpan w:val="2"/>
          </w:tcPr>
          <w:p>
            <w:pPr>
              <w:jc w:val="right"/>
              <w:ind w:right="13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00" w:type="dxa"/>
            <w:vAlign w:val="bottom"/>
            <w:shd w:val="clear" w:color="auto" w:fill="CFF0FC"/>
          </w:tcPr>
          <w:p>
            <w:pPr>
              <w:spacing w:after="0"/>
              <w:rPr>
                <w:sz w:val="18"/>
                <w:szCs w:val="18"/>
                <w:color w:val="auto"/>
              </w:rPr>
            </w:pPr>
          </w:p>
        </w:tc>
      </w:tr>
    </w:tbl>
    <w:p>
      <w:pPr>
        <w:spacing w:after="0" w:line="36" w:lineRule="exact"/>
        <w:rPr>
          <w:sz w:val="20"/>
          <w:szCs w:val="20"/>
          <w:color w:val="auto"/>
        </w:rPr>
      </w:pPr>
    </w:p>
    <w:p>
      <w:pPr>
        <w:ind w:left="760" w:hanging="752"/>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receivables due from Non-Guarantor Subsidiaries of $1,492 million and $1,618 million as of June 30, 2022 and December 31, 2021, respectively.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4060" w:type="dxa"/>
            <w:vAlign w:val="bottom"/>
            <w:tcBorders>
              <w:bottom w:val="single" w:sz="8" w:color="auto"/>
            </w:tcBorders>
            <w:gridSpan w:val="4"/>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Summarized Statements of Operations</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620" w:type="dxa"/>
            <w:vAlign w:val="bottom"/>
          </w:tcPr>
          <w:p>
            <w:pPr>
              <w:spacing w:after="0"/>
              <w:rPr>
                <w:sz w:val="11"/>
                <w:szCs w:val="11"/>
                <w:color w:val="auto"/>
              </w:rPr>
            </w:pPr>
          </w:p>
        </w:tc>
        <w:tc>
          <w:tcPr>
            <w:tcW w:w="16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40" w:type="dxa"/>
            <w:vAlign w:val="bottom"/>
            <w:shd w:val="clear" w:color="auto" w:fill="CFF0FC"/>
          </w:tcPr>
          <w:p>
            <w:pPr>
              <w:jc w:val="right"/>
              <w:ind w:right="14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4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16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1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(122 )</w:t>
            </w:r>
          </w:p>
        </w:tc>
        <w:tc>
          <w:tcPr>
            <w:tcW w:w="16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(93 )</w:t>
            </w:r>
          </w:p>
        </w:tc>
      </w:tr>
      <w:tr>
        <w:trPr>
          <w:trHeight w:val="249"/>
        </w:trPr>
        <w:tc>
          <w:tcPr>
            <w:tcW w:w="6620" w:type="dxa"/>
            <w:vAlign w:val="bottom"/>
            <w:tcBorders>
              <w:bottom w:val="single" w:sz="8" w:color="CFF0FC"/>
            </w:tcBorders>
            <w:shd w:val="clear" w:color="auto" w:fill="CFF0FC"/>
          </w:tcPr>
          <w:p>
            <w:pPr>
              <w:ind w:left="20"/>
              <w:spacing w:after="0" w:line="209" w:lineRule="exact"/>
              <w:rPr>
                <w:sz w:val="20"/>
                <w:szCs w:val="20"/>
                <w:color w:val="auto"/>
              </w:rPr>
            </w:pPr>
            <w:r>
              <w:rPr>
                <w:rFonts w:ascii="Times New Roman" w:cs="Times New Roman" w:eastAsia="Times New Roman" w:hAnsi="Times New Roman"/>
                <w:sz w:val="18"/>
                <w:szCs w:val="18"/>
                <w:color w:val="auto"/>
              </w:rPr>
              <w:t>Income before Income Taxes</w:t>
            </w:r>
            <w:r>
              <w:rPr>
                <w:rFonts w:ascii="Times New Roman" w:cs="Times New Roman" w:eastAsia="Times New Roman" w:hAnsi="Times New Roman"/>
                <w:sz w:val="24"/>
                <w:szCs w:val="24"/>
                <w:color w:val="auto"/>
                <w:vertAlign w:val="superscript"/>
              </w:rPr>
              <w:t>(2)</w:t>
            </w:r>
          </w:p>
        </w:tc>
        <w:tc>
          <w:tcPr>
            <w:tcW w:w="1640" w:type="dxa"/>
            <w:vAlign w:val="bottom"/>
            <w:tcBorders>
              <w:top w:val="single" w:sz="8" w:color="auto"/>
              <w:bottom w:val="single" w:sz="8" w:color="auto"/>
            </w:tcBorders>
            <w:shd w:val="clear" w:color="auto" w:fill="CFF0FC"/>
          </w:tcPr>
          <w:p>
            <w:pPr>
              <w:jc w:val="right"/>
              <w:ind w:right="14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0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top w:val="single" w:sz="8" w:color="auto"/>
              <w:bottom w:val="single" w:sz="8" w:color="auto"/>
            </w:tcBorders>
            <w:shd w:val="clear" w:color="auto" w:fill="CFF0FC"/>
          </w:tcPr>
          <w:p>
            <w:pPr>
              <w:jc w:val="right"/>
              <w:ind w:right="14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shd w:val="clear" w:color="auto" w:fill="CFF0FC"/>
          </w:tcPr>
          <w:p>
            <w:pPr>
              <w:jc w:val="right"/>
              <w:ind w:right="14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4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FF0FC"/>
          </w:tcPr>
          <w:p>
            <w:pPr>
              <w:spacing w:after="0"/>
              <w:rPr>
                <w:sz w:val="18"/>
                <w:szCs w:val="18"/>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w:t>
            </w:r>
          </w:p>
        </w:tc>
        <w:tc>
          <w:tcPr>
            <w:tcW w:w="1640" w:type="dxa"/>
            <w:vAlign w:val="bottom"/>
          </w:tcPr>
          <w:p>
            <w:pPr>
              <w:jc w:val="right"/>
              <w:ind w:right="145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tcPr>
          <w:p>
            <w:pPr>
              <w:spacing w:after="0"/>
              <w:rPr>
                <w:sz w:val="20"/>
                <w:szCs w:val="20"/>
                <w:color w:val="auto"/>
              </w:rPr>
            </w:pPr>
          </w:p>
        </w:tc>
        <w:tc>
          <w:tcPr>
            <w:tcW w:w="1680" w:type="dxa"/>
            <w:vAlign w:val="bottom"/>
          </w:tcPr>
          <w:p>
            <w:pPr>
              <w:jc w:val="right"/>
              <w:ind w:right="14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-447675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-430530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-447675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-430530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both"/>
        <w:ind w:left="760" w:hanging="752"/>
        <w:spacing w:after="0" w:line="25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intercompany transactions with Non-Guarantor Subsidiaries of $233 million for the six months ended June 30, 2022, primarily from royalties, intercompany product sales, dividends and interest, and $588 million for the year ended December 31, 2021, primarily from royalties, dividends, interest and intercompany product sales.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104"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and uncertainties regarding our acquisition of Cooper Tire and our ability to achieve the expected benefits of such acquisition;</w:t>
      </w:r>
    </w:p>
    <w:p>
      <w:pPr>
        <w:spacing w:after="0" w:line="10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financial condition and liquidity may be adversely impacted by the COVID-19 pandemic, and that impact may be material;</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 increases may materially adversely affect our operating results and financial condition;</w:t>
      </w:r>
    </w:p>
    <w:p>
      <w:pPr>
        <w:spacing w:after="0" w:line="103"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experiencing inflationary cost pressures, including with respect to wages, benefits, transportation and energy costs, that may materially adversely affect our operating results and financial condition;</w:t>
      </w:r>
    </w:p>
    <w:p>
      <w:pPr>
        <w:spacing w:after="0" w:line="53"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tariffs, trade agreements or trade restrictions may materially adversely affect our operating results;</w:t>
      </w:r>
    </w:p>
    <w:p>
      <w:pPr>
        <w:spacing w:after="0" w:line="103"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our strategic initiatives, our operating results, financial condition and liquidity may be materially adversely affected;</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03"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4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67"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10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6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4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91" w:lineRule="exact"/>
        <w:rPr>
          <w:sz w:val="20"/>
          <w:szCs w:val="20"/>
          <w:color w:val="auto"/>
        </w:rPr>
      </w:pPr>
    </w:p>
    <w:p>
      <w:pPr>
        <w:ind w:left="760" w:hanging="378"/>
        <w:spacing w:after="0" w:line="28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4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0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0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 between Russia and Ukraine, acts of terror, political unrest, public health concerns, labor disputes or natural disasters.</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June 30, 2022, approximately 27% of our debt was at variable interest rates averaging 4.07%.</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June 30,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26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5,682</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42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5,081</w:t>
            </w: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4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5,314</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 forma information assumes a 100 basis point decrease in market interest rates at June 30, 2022, and reflects the estimated fair value of fixed rate debt outstanding at that date under that assumption. The sensitivity of our fixed rate debt to changes in interest rates was determined using current market pricing models.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Risk</w:t>
      </w:r>
    </w:p>
    <w:p>
      <w:pPr>
        <w:spacing w:after="0" w:line="1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foreign currency contract information at June 30,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410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4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4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7/22-6/23</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June 30, 2022,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 at June 30, 2022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5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 (liability):</w:t>
            </w:r>
          </w:p>
        </w:tc>
        <w:tc>
          <w:tcPr>
            <w:tcW w:w="45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45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18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9,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June 30, 2022 (the end of the period covered by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7, 2021, we completed the acquisition of Cooper Tire, which operated under its own set of systems and internal controls. Subsequent to the acquisition, we began the process of integrating certain of Cooper Tire's systems and processes with our systems and internal controls over financial reporting. There were no changes in our internal control over financial reporting during the period covered by this report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reported in our Form 10-K for the year ended December 31, 2021, we were one of numerous defendants in legal proceedings in certain state and federal courts involving approximately 38,200 claimants relating to their alleged exposure to materials containing asbestos in products allegedly manufactured by us or asbestos materials present in our facilities. During the first six months of 2022, approximately 500 claims were filed against us and approximately 500 were settled or dismissed. The amounts expended on asbestos defense and claim resolution by us and our insurers during the first six months of 2022 was $8 million. At June 30, 2022, there were approximately 38,200 asbestos claims pending against us. The plaintiffs are seeking unspecified actual and punitive damages and other relief. Refer to Note to the Consolidated Financial Statements No. 13, Commitments and Contingent Liabilities, for additional information on asbestos litigation.</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Reference is made to Item 3 of Part I of our 2021 Form 10-K and to Item 1 of Part II of our Quarterly Report on Form 10-Q for the quarterly period ended March 31, 2022 for additional discussion of legal proceedings.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Refer to “Item 1A. Risk Factors” in our 2021 Form 10-K and our Quarterly Report on Form 10-Q for the quarterly period ended March 31, 2022 for a discussion of our risk factors.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154305</wp:posOffset>
            </wp:positionV>
            <wp:extent cx="190944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8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 the Quarter Ended June 30, 2022</w:t>
      </w: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37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520" w:type="dxa"/>
            <w:vAlign w:val="bottom"/>
            <w:gridSpan w:val="3"/>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20" w:type="dxa"/>
            <w:vAlign w:val="bottom"/>
            <w:gridSpan w:val="3"/>
          </w:tcPr>
          <w:p>
            <w:pPr>
              <w:jc w:val="center"/>
              <w:ind w:right="2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2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8"/>
        </w:trPr>
        <w:tc>
          <w:tcPr>
            <w:tcW w:w="2520" w:type="dxa"/>
            <w:vAlign w:val="bottom"/>
            <w:gridSpan w:val="3"/>
          </w:tcPr>
          <w:p>
            <w:pPr>
              <w:jc w:val="center"/>
              <w:ind w:right="20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Item</w:t>
            </w:r>
          </w:p>
        </w:tc>
        <w:tc>
          <w:tcPr>
            <w:tcW w:w="5600" w:type="dxa"/>
            <w:vAlign w:val="bottom"/>
            <w:gridSpan w:val="3"/>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2400" w:type="dxa"/>
            <w:vAlign w:val="bottom"/>
            <w:gridSpan w:val="2"/>
          </w:tcPr>
          <w:p>
            <w:pPr>
              <w:jc w:val="center"/>
              <w:ind w:right="2200"/>
              <w:spacing w:after="0" w:line="159"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5600" w:type="dxa"/>
            <w:vAlign w:val="bottom"/>
            <w:gridSpan w:val="3"/>
            <w:vMerge w:val="continue"/>
          </w:tcPr>
          <w:p>
            <w:pPr>
              <w:spacing w:after="0"/>
              <w:rPr>
                <w:sz w:val="13"/>
                <w:szCs w:val="13"/>
                <w:color w:val="auto"/>
              </w:rPr>
            </w:pPr>
          </w:p>
        </w:tc>
        <w:tc>
          <w:tcPr>
            <w:tcW w:w="2680" w:type="dxa"/>
            <w:vAlign w:val="bottom"/>
            <w:gridSpan w:val="2"/>
          </w:tcPr>
          <w:p>
            <w:pPr>
              <w:jc w:val="center"/>
              <w:ind w:left="2108"/>
              <w:spacing w:after="0" w:line="159"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60" w:hanging="691"/>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94" w:lineRule="exact"/>
        <w:rPr>
          <w:sz w:val="20"/>
          <w:szCs w:val="20"/>
          <w:color w:val="auto"/>
        </w:rPr>
      </w:pPr>
    </w:p>
    <w:p>
      <w:pPr>
        <w:ind w:left="960" w:right="1060" w:hanging="701"/>
        <w:spacing w:after="0" w:line="250" w:lineRule="auto"/>
        <w:tabs>
          <w:tab w:leader="none" w:pos="960" w:val="left"/>
        </w:tabs>
        <w:numPr>
          <w:ilvl w:val="0"/>
          <w:numId w:val="12"/>
        </w:numPr>
        <w:rPr>
          <w:rFonts w:ascii="Times New Roman" w:cs="Times New Roman" w:eastAsia="Times New Roman" w:hAnsi="Times New Roman"/>
          <w:sz w:val="18"/>
          <w:szCs w:val="18"/>
          <w:u w:val="single" w:color="auto"/>
          <w:color w:val="0000FF"/>
        </w:rPr>
      </w:pPr>
      <w:hyperlink r:id="rId377">
        <w:r>
          <w:rPr>
            <w:rFonts w:ascii="Times New Roman" w:cs="Times New Roman" w:eastAsia="Times New Roman" w:hAnsi="Times New Roman"/>
            <w:sz w:val="18"/>
            <w:szCs w:val="18"/>
            <w:u w:val="single" w:color="auto"/>
            <w:color w:val="0000FF"/>
          </w:rPr>
          <w:t>2022 Performance Plan of the Company (incorporated by reference,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377">
        <w:r>
          <w:rPr>
            <w:rFonts w:ascii="Times New Roman" w:cs="Times New Roman" w:eastAsia="Times New Roman" w:hAnsi="Times New Roman"/>
            <w:sz w:val="18"/>
            <w:szCs w:val="18"/>
            <w:u w:val="single" w:color="auto"/>
            <w:color w:val="0000FF"/>
          </w:rPr>
          <w:t>on Form 8-K, filed April 15, 2022, File No. 1-1927).</w:t>
        </w:r>
      </w:hyperlink>
    </w:p>
    <w:p>
      <w:pPr>
        <w:spacing w:after="0" w:line="54" w:lineRule="exact"/>
        <w:rPr>
          <w:rFonts w:ascii="Times New Roman" w:cs="Times New Roman" w:eastAsia="Times New Roman" w:hAnsi="Times New Roman"/>
          <w:sz w:val="18"/>
          <w:szCs w:val="18"/>
          <w:u w:val="single" w:color="auto"/>
          <w:color w:val="0000FF"/>
        </w:rPr>
      </w:pPr>
    </w:p>
    <w:p>
      <w:pPr>
        <w:ind w:left="960" w:right="1060" w:hanging="706"/>
        <w:spacing w:after="0" w:line="250" w:lineRule="auto"/>
        <w:tabs>
          <w:tab w:leader="none" w:pos="960" w:val="left"/>
        </w:tabs>
        <w:numPr>
          <w:ilvl w:val="0"/>
          <w:numId w:val="12"/>
        </w:numPr>
        <w:rPr>
          <w:rFonts w:ascii="Times New Roman" w:cs="Times New Roman" w:eastAsia="Times New Roman" w:hAnsi="Times New Roman"/>
          <w:sz w:val="18"/>
          <w:szCs w:val="18"/>
          <w:u w:val="single" w:color="auto"/>
          <w:color w:val="0000FF"/>
        </w:rPr>
      </w:pPr>
      <w:hyperlink r:id="rId378">
        <w:r>
          <w:rPr>
            <w:rFonts w:ascii="Times New Roman" w:cs="Times New Roman" w:eastAsia="Times New Roman" w:hAnsi="Times New Roman"/>
            <w:sz w:val="18"/>
            <w:szCs w:val="18"/>
            <w:u w:val="single" w:color="auto"/>
            <w:color w:val="0000FF"/>
          </w:rPr>
          <w:t>Form of Non-Qualified Stock Option Grant Agreement (incorporated by reference, filed as Exhibit 10.1 to the Company's</w:t>
        </w:r>
      </w:hyperlink>
      <w:r>
        <w:rPr>
          <w:rFonts w:ascii="Times New Roman" w:cs="Times New Roman" w:eastAsia="Times New Roman" w:hAnsi="Times New Roman"/>
          <w:sz w:val="18"/>
          <w:szCs w:val="18"/>
          <w:u w:val="single" w:color="auto"/>
          <w:color w:val="0000FF"/>
        </w:rPr>
        <w:t xml:space="preserve"> </w:t>
      </w:r>
      <w:hyperlink r:id="rId378">
        <w:r>
          <w:rPr>
            <w:rFonts w:ascii="Times New Roman" w:cs="Times New Roman" w:eastAsia="Times New Roman" w:hAnsi="Times New Roman"/>
            <w:sz w:val="18"/>
            <w:szCs w:val="18"/>
            <w:u w:val="single" w:color="auto"/>
            <w:color w:val="0000FF"/>
          </w:rPr>
          <w:t>Current Report on Form 8-K, filed June 10, 2022, File No. 1-1927).</w:t>
        </w:r>
      </w:hyperlink>
    </w:p>
    <w:p>
      <w:pPr>
        <w:spacing w:after="0" w:line="54" w:lineRule="exact"/>
        <w:rPr>
          <w:rFonts w:ascii="Times New Roman" w:cs="Times New Roman" w:eastAsia="Times New Roman" w:hAnsi="Times New Roman"/>
          <w:sz w:val="18"/>
          <w:szCs w:val="18"/>
          <w:u w:val="single" w:color="auto"/>
          <w:color w:val="0000FF"/>
        </w:rPr>
      </w:pPr>
    </w:p>
    <w:p>
      <w:pPr>
        <w:ind w:left="960" w:right="1060" w:hanging="701"/>
        <w:spacing w:after="0" w:line="250" w:lineRule="auto"/>
        <w:tabs>
          <w:tab w:leader="none" w:pos="960" w:val="left"/>
        </w:tabs>
        <w:numPr>
          <w:ilvl w:val="0"/>
          <w:numId w:val="12"/>
        </w:numPr>
        <w:rPr>
          <w:rFonts w:ascii="Times New Roman" w:cs="Times New Roman" w:eastAsia="Times New Roman" w:hAnsi="Times New Roman"/>
          <w:sz w:val="18"/>
          <w:szCs w:val="18"/>
          <w:u w:val="single" w:color="auto"/>
          <w:color w:val="0000FF"/>
        </w:rPr>
      </w:pPr>
      <w:hyperlink r:id="rId379">
        <w:r>
          <w:rPr>
            <w:rFonts w:ascii="Times New Roman" w:cs="Times New Roman" w:eastAsia="Times New Roman" w:hAnsi="Times New Roman"/>
            <w:sz w:val="18"/>
            <w:szCs w:val="18"/>
            <w:u w:val="single" w:color="auto"/>
            <w:color w:val="0000FF"/>
          </w:rPr>
          <w:t>Form of Non-Qualified Stock Option with tandem Stock Appreciation Right Grant Agreement (incorporated by reference,</w:t>
        </w:r>
      </w:hyperlink>
      <w:r>
        <w:rPr>
          <w:rFonts w:ascii="Times New Roman" w:cs="Times New Roman" w:eastAsia="Times New Roman" w:hAnsi="Times New Roman"/>
          <w:sz w:val="18"/>
          <w:szCs w:val="18"/>
          <w:u w:val="single" w:color="auto"/>
          <w:color w:val="0000FF"/>
        </w:rPr>
        <w:t xml:space="preserve"> </w:t>
      </w:r>
      <w:hyperlink r:id="rId379">
        <w:r>
          <w:rPr>
            <w:rFonts w:ascii="Times New Roman" w:cs="Times New Roman" w:eastAsia="Times New Roman" w:hAnsi="Times New Roman"/>
            <w:sz w:val="18"/>
            <w:szCs w:val="18"/>
            <w:u w:val="single" w:color="auto"/>
            <w:color w:val="0000FF"/>
          </w:rPr>
          <w:t>filed as Exhibit 10.2 to the Company's Current Report on Form 8-K, filed June 10, 2022, File No. 1-1927).</w:t>
        </w:r>
      </w:hyperlink>
    </w:p>
    <w:p>
      <w:pPr>
        <w:spacing w:after="0" w:line="54" w:lineRule="exact"/>
        <w:rPr>
          <w:rFonts w:ascii="Times New Roman" w:cs="Times New Roman" w:eastAsia="Times New Roman" w:hAnsi="Times New Roman"/>
          <w:sz w:val="18"/>
          <w:szCs w:val="18"/>
          <w:u w:val="single" w:color="auto"/>
          <w:color w:val="0000FF"/>
        </w:rPr>
      </w:pPr>
    </w:p>
    <w:p>
      <w:pPr>
        <w:ind w:left="960" w:right="1060" w:hanging="706"/>
        <w:spacing w:after="0" w:line="250" w:lineRule="auto"/>
        <w:tabs>
          <w:tab w:leader="none" w:pos="960" w:val="left"/>
        </w:tabs>
        <w:numPr>
          <w:ilvl w:val="0"/>
          <w:numId w:val="12"/>
        </w:numPr>
        <w:rPr>
          <w:rFonts w:ascii="Times New Roman" w:cs="Times New Roman" w:eastAsia="Times New Roman" w:hAnsi="Times New Roman"/>
          <w:sz w:val="18"/>
          <w:szCs w:val="18"/>
          <w:u w:val="single" w:color="auto"/>
          <w:color w:val="0000FF"/>
        </w:rPr>
      </w:pPr>
      <w:hyperlink r:id="rId380">
        <w:r>
          <w:rPr>
            <w:rFonts w:ascii="Times New Roman" w:cs="Times New Roman" w:eastAsia="Times New Roman" w:hAnsi="Times New Roman"/>
            <w:sz w:val="18"/>
            <w:szCs w:val="18"/>
            <w:u w:val="single" w:color="auto"/>
            <w:color w:val="0000FF"/>
          </w:rPr>
          <w:t>Form of Performance Share Grant Agreement (incorporated by reference, filed as Exhibit 10.3 to the Company's Current</w:t>
        </w:r>
      </w:hyperlink>
      <w:r>
        <w:rPr>
          <w:rFonts w:ascii="Times New Roman" w:cs="Times New Roman" w:eastAsia="Times New Roman" w:hAnsi="Times New Roman"/>
          <w:sz w:val="18"/>
          <w:szCs w:val="18"/>
          <w:u w:val="single" w:color="auto"/>
          <w:color w:val="0000FF"/>
        </w:rPr>
        <w:t xml:space="preserve"> </w:t>
      </w:r>
      <w:hyperlink r:id="rId380">
        <w:r>
          <w:rPr>
            <w:rFonts w:ascii="Times New Roman" w:cs="Times New Roman" w:eastAsia="Times New Roman" w:hAnsi="Times New Roman"/>
            <w:sz w:val="18"/>
            <w:szCs w:val="18"/>
            <w:u w:val="single" w:color="auto"/>
            <w:color w:val="0000FF"/>
          </w:rPr>
          <w:t>Report on Form 8-K, filed June 10, 2022, File No. 1-1927).</w:t>
        </w:r>
      </w:hyperlink>
    </w:p>
    <w:p>
      <w:pPr>
        <w:spacing w:after="0" w:line="54" w:lineRule="exact"/>
        <w:rPr>
          <w:rFonts w:ascii="Times New Roman" w:cs="Times New Roman" w:eastAsia="Times New Roman" w:hAnsi="Times New Roman"/>
          <w:sz w:val="18"/>
          <w:szCs w:val="18"/>
          <w:u w:val="single" w:color="auto"/>
          <w:color w:val="0000FF"/>
        </w:rPr>
      </w:pPr>
    </w:p>
    <w:p>
      <w:pPr>
        <w:ind w:left="960" w:right="1060" w:hanging="701"/>
        <w:spacing w:after="0" w:line="250" w:lineRule="auto"/>
        <w:tabs>
          <w:tab w:leader="none" w:pos="960" w:val="left"/>
        </w:tabs>
        <w:numPr>
          <w:ilvl w:val="0"/>
          <w:numId w:val="12"/>
        </w:numPr>
        <w:rPr>
          <w:rFonts w:ascii="Times New Roman" w:cs="Times New Roman" w:eastAsia="Times New Roman" w:hAnsi="Times New Roman"/>
          <w:sz w:val="18"/>
          <w:szCs w:val="18"/>
          <w:u w:val="single" w:color="auto"/>
          <w:color w:val="0000FF"/>
        </w:rPr>
      </w:pPr>
      <w:hyperlink r:id="rId381">
        <w:r>
          <w:rPr>
            <w:rFonts w:ascii="Times New Roman" w:cs="Times New Roman" w:eastAsia="Times New Roman" w:hAnsi="Times New Roman"/>
            <w:sz w:val="18"/>
            <w:szCs w:val="18"/>
            <w:u w:val="single" w:color="auto"/>
            <w:color w:val="0000FF"/>
          </w:rPr>
          <w:t>Form of Performance Share Continuous Vesting Grant Agreement (incorporated by reference, filed as Exhibit 10.4 to the</w:t>
        </w:r>
      </w:hyperlink>
      <w:r>
        <w:rPr>
          <w:rFonts w:ascii="Times New Roman" w:cs="Times New Roman" w:eastAsia="Times New Roman" w:hAnsi="Times New Roman"/>
          <w:sz w:val="18"/>
          <w:szCs w:val="18"/>
          <w:u w:val="single" w:color="auto"/>
          <w:color w:val="0000FF"/>
        </w:rPr>
        <w:t xml:space="preserve"> </w:t>
      </w:r>
      <w:hyperlink r:id="rId381">
        <w:r>
          <w:rPr>
            <w:rFonts w:ascii="Times New Roman" w:cs="Times New Roman" w:eastAsia="Times New Roman" w:hAnsi="Times New Roman"/>
            <w:sz w:val="18"/>
            <w:szCs w:val="18"/>
            <w:u w:val="single" w:color="auto"/>
            <w:color w:val="0000FF"/>
          </w:rPr>
          <w:t>Company's Current Report on Form 8-K, filed June 10, 2022, File No. 1-1927).</w:t>
        </w:r>
      </w:hyperlink>
    </w:p>
    <w:p>
      <w:pPr>
        <w:spacing w:after="0" w:line="54" w:lineRule="exact"/>
        <w:rPr>
          <w:rFonts w:ascii="Times New Roman" w:cs="Times New Roman" w:eastAsia="Times New Roman" w:hAnsi="Times New Roman"/>
          <w:sz w:val="18"/>
          <w:szCs w:val="18"/>
          <w:u w:val="single" w:color="auto"/>
          <w:color w:val="0000FF"/>
        </w:rPr>
      </w:pPr>
    </w:p>
    <w:p>
      <w:pPr>
        <w:ind w:left="960" w:right="1060" w:hanging="691"/>
        <w:spacing w:after="0" w:line="250" w:lineRule="auto"/>
        <w:tabs>
          <w:tab w:leader="none" w:pos="960" w:val="left"/>
        </w:tabs>
        <w:numPr>
          <w:ilvl w:val="0"/>
          <w:numId w:val="12"/>
        </w:numPr>
        <w:rPr>
          <w:rFonts w:ascii="Times New Roman" w:cs="Times New Roman" w:eastAsia="Times New Roman" w:hAnsi="Times New Roman"/>
          <w:sz w:val="18"/>
          <w:szCs w:val="18"/>
          <w:u w:val="single" w:color="auto"/>
          <w:color w:val="0000FF"/>
        </w:rPr>
      </w:pPr>
      <w:hyperlink r:id="rId382">
        <w:r>
          <w:rPr>
            <w:rFonts w:ascii="Times New Roman" w:cs="Times New Roman" w:eastAsia="Times New Roman" w:hAnsi="Times New Roman"/>
            <w:sz w:val="18"/>
            <w:szCs w:val="18"/>
            <w:u w:val="single" w:color="auto"/>
            <w:color w:val="0000FF"/>
          </w:rPr>
          <w:t>Form of Executive Performance Unit Grant Agreement (incorporated by reference, filed as Exhibit 10.5 to the Company's</w:t>
        </w:r>
      </w:hyperlink>
      <w:r>
        <w:rPr>
          <w:rFonts w:ascii="Times New Roman" w:cs="Times New Roman" w:eastAsia="Times New Roman" w:hAnsi="Times New Roman"/>
          <w:sz w:val="18"/>
          <w:szCs w:val="18"/>
          <w:u w:val="single" w:color="auto"/>
          <w:color w:val="0000FF"/>
        </w:rPr>
        <w:t xml:space="preserve"> </w:t>
      </w:r>
      <w:hyperlink r:id="rId382">
        <w:r>
          <w:rPr>
            <w:rFonts w:ascii="Times New Roman" w:cs="Times New Roman" w:eastAsia="Times New Roman" w:hAnsi="Times New Roman"/>
            <w:sz w:val="18"/>
            <w:szCs w:val="18"/>
            <w:u w:val="single" w:color="auto"/>
            <w:color w:val="0000FF"/>
          </w:rPr>
          <w:t>Current Report on Form 8-K, filed June 10, 2022, File No. 1-1927).</w:t>
        </w:r>
      </w:hyperlink>
    </w:p>
    <w:p>
      <w:pPr>
        <w:spacing w:after="0" w:line="54" w:lineRule="exact"/>
        <w:rPr>
          <w:rFonts w:ascii="Times New Roman" w:cs="Times New Roman" w:eastAsia="Times New Roman" w:hAnsi="Times New Roman"/>
          <w:sz w:val="18"/>
          <w:szCs w:val="18"/>
          <w:u w:val="single" w:color="auto"/>
          <w:color w:val="0000FF"/>
        </w:rPr>
      </w:pPr>
    </w:p>
    <w:p>
      <w:pPr>
        <w:ind w:left="960" w:right="1060" w:hanging="706"/>
        <w:spacing w:after="0" w:line="250" w:lineRule="auto"/>
        <w:tabs>
          <w:tab w:leader="none" w:pos="960" w:val="left"/>
        </w:tabs>
        <w:numPr>
          <w:ilvl w:val="0"/>
          <w:numId w:val="12"/>
        </w:numPr>
        <w:rPr>
          <w:rFonts w:ascii="Times New Roman" w:cs="Times New Roman" w:eastAsia="Times New Roman" w:hAnsi="Times New Roman"/>
          <w:sz w:val="18"/>
          <w:szCs w:val="18"/>
          <w:u w:val="single" w:color="auto"/>
          <w:color w:val="0000FF"/>
        </w:rPr>
      </w:pPr>
      <w:hyperlink r:id="rId383">
        <w:r>
          <w:rPr>
            <w:rFonts w:ascii="Times New Roman" w:cs="Times New Roman" w:eastAsia="Times New Roman" w:hAnsi="Times New Roman"/>
            <w:sz w:val="18"/>
            <w:szCs w:val="18"/>
            <w:u w:val="single" w:color="auto"/>
            <w:color w:val="0000FF"/>
          </w:rPr>
          <w:t>Form of Executive Performance Unit Continuous Vesting Grant Agreement (incorporated by reference, filed as Exhibit 10.6</w:t>
        </w:r>
      </w:hyperlink>
      <w:r>
        <w:rPr>
          <w:rFonts w:ascii="Times New Roman" w:cs="Times New Roman" w:eastAsia="Times New Roman" w:hAnsi="Times New Roman"/>
          <w:sz w:val="18"/>
          <w:szCs w:val="18"/>
          <w:u w:val="single" w:color="auto"/>
          <w:color w:val="0000FF"/>
        </w:rPr>
        <w:t xml:space="preserve"> </w:t>
      </w:r>
      <w:hyperlink r:id="rId383">
        <w:r>
          <w:rPr>
            <w:rFonts w:ascii="Times New Roman" w:cs="Times New Roman" w:eastAsia="Times New Roman" w:hAnsi="Times New Roman"/>
            <w:sz w:val="18"/>
            <w:szCs w:val="18"/>
            <w:u w:val="single" w:color="auto"/>
            <w:color w:val="0000FF"/>
          </w:rPr>
          <w:t>to the Company's Current Report on Form 8-K, filed June 10, 2022, File No. 1-1927).</w:t>
        </w:r>
      </w:hyperlink>
    </w:p>
    <w:p>
      <w:pPr>
        <w:spacing w:after="0" w:line="54" w:lineRule="exact"/>
        <w:rPr>
          <w:rFonts w:ascii="Times New Roman" w:cs="Times New Roman" w:eastAsia="Times New Roman" w:hAnsi="Times New Roman"/>
          <w:sz w:val="18"/>
          <w:szCs w:val="18"/>
          <w:u w:val="single" w:color="auto"/>
          <w:color w:val="0000FF"/>
        </w:rPr>
      </w:pPr>
    </w:p>
    <w:p>
      <w:pPr>
        <w:ind w:left="960" w:right="1060" w:hanging="706"/>
        <w:spacing w:after="0" w:line="250" w:lineRule="auto"/>
        <w:tabs>
          <w:tab w:leader="none" w:pos="960" w:val="left"/>
        </w:tabs>
        <w:numPr>
          <w:ilvl w:val="0"/>
          <w:numId w:val="12"/>
        </w:numPr>
        <w:rPr>
          <w:rFonts w:ascii="Times New Roman" w:cs="Times New Roman" w:eastAsia="Times New Roman" w:hAnsi="Times New Roman"/>
          <w:sz w:val="18"/>
          <w:szCs w:val="18"/>
          <w:u w:val="single" w:color="auto"/>
          <w:color w:val="0000FF"/>
        </w:rPr>
      </w:pPr>
      <w:hyperlink r:id="rId384">
        <w:r>
          <w:rPr>
            <w:rFonts w:ascii="Times New Roman" w:cs="Times New Roman" w:eastAsia="Times New Roman" w:hAnsi="Times New Roman"/>
            <w:sz w:val="18"/>
            <w:szCs w:val="18"/>
            <w:u w:val="single" w:color="auto"/>
            <w:color w:val="0000FF"/>
          </w:rPr>
          <w:t>Form of Restricted Stock Unit Annual Cliff Grant Agreement (incorporated by reference, filed as Exhibit 10.7 to the</w:t>
        </w:r>
      </w:hyperlink>
      <w:r>
        <w:rPr>
          <w:rFonts w:ascii="Times New Roman" w:cs="Times New Roman" w:eastAsia="Times New Roman" w:hAnsi="Times New Roman"/>
          <w:sz w:val="18"/>
          <w:szCs w:val="18"/>
          <w:u w:val="single" w:color="auto"/>
          <w:color w:val="0000FF"/>
        </w:rPr>
        <w:t xml:space="preserve"> </w:t>
      </w:r>
      <w:hyperlink r:id="rId384">
        <w:r>
          <w:rPr>
            <w:rFonts w:ascii="Times New Roman" w:cs="Times New Roman" w:eastAsia="Times New Roman" w:hAnsi="Times New Roman"/>
            <w:sz w:val="18"/>
            <w:szCs w:val="18"/>
            <w:u w:val="single" w:color="auto"/>
            <w:color w:val="0000FF"/>
          </w:rPr>
          <w:t>Company's Current Report on Form 8-K, filed June 10, 2022, File No. 1-1927).</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604520</wp:posOffset>
            </wp:positionH>
            <wp:positionV relativeFrom="paragraph">
              <wp:posOffset>-2308225</wp:posOffset>
            </wp:positionV>
            <wp:extent cx="56718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567182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-2188210</wp:posOffset>
            </wp:positionV>
            <wp:extent cx="24091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240919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-1999615</wp:posOffset>
            </wp:positionV>
            <wp:extent cx="56692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7">
                      <a:extLst>
                        <a:ext uri="{28A0092B-C50C-407E-A947-70E740481C1C}"/>
                      </a:extLst>
                    </a:blip>
                    <a:srcRect/>
                    <a:stretch>
                      <a:fillRect/>
                    </a:stretch>
                  </pic:blipFill>
                  <pic:spPr bwMode="auto">
                    <a:xfrm>
                      <a:off x="0" y="0"/>
                      <a:ext cx="566928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-1879600</wp:posOffset>
            </wp:positionV>
            <wp:extent cx="30937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8">
                      <a:extLst>
                        <a:ext uri="{28A0092B-C50C-407E-A947-70E740481C1C}"/>
                      </a:extLst>
                    </a:blip>
                    <a:srcRect/>
                    <a:stretch>
                      <a:fillRect/>
                    </a:stretch>
                  </pic:blipFill>
                  <pic:spPr bwMode="auto">
                    <a:xfrm>
                      <a:off x="0" y="0"/>
                      <a:ext cx="309372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-1691640</wp:posOffset>
            </wp:positionV>
            <wp:extent cx="567499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9">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-1571625</wp:posOffset>
            </wp:positionV>
            <wp:extent cx="487045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0">
                      <a:extLst>
                        <a:ext uri="{28A0092B-C50C-407E-A947-70E740481C1C}"/>
                      </a:extLst>
                    </a:blip>
                    <a:srcRect/>
                    <a:stretch>
                      <a:fillRect/>
                    </a:stretch>
                  </pic:blipFill>
                  <pic:spPr bwMode="auto">
                    <a:xfrm>
                      <a:off x="0" y="0"/>
                      <a:ext cx="487045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-1383030</wp:posOffset>
            </wp:positionV>
            <wp:extent cx="566991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1">
                      <a:extLst>
                        <a:ext uri="{28A0092B-C50C-407E-A947-70E740481C1C}"/>
                      </a:extLst>
                    </a:blip>
                    <a:srcRect/>
                    <a:stretch>
                      <a:fillRect/>
                    </a:stretch>
                  </pic:blipFill>
                  <pic:spPr bwMode="auto">
                    <a:xfrm>
                      <a:off x="0" y="0"/>
                      <a:ext cx="566991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-1263650</wp:posOffset>
            </wp:positionV>
            <wp:extent cx="271653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2">
                      <a:extLst>
                        <a:ext uri="{28A0092B-C50C-407E-A947-70E740481C1C}"/>
                      </a:extLst>
                    </a:blip>
                    <a:srcRect/>
                    <a:stretch>
                      <a:fillRect/>
                    </a:stretch>
                  </pic:blipFill>
                  <pic:spPr bwMode="auto">
                    <a:xfrm>
                      <a:off x="0" y="0"/>
                      <a:ext cx="271653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-1075055</wp:posOffset>
            </wp:positionV>
            <wp:extent cx="56724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3">
                      <a:extLst>
                        <a:ext uri="{28A0092B-C50C-407E-A947-70E740481C1C}"/>
                      </a:extLst>
                    </a:blip>
                    <a:srcRect/>
                    <a:stretch>
                      <a:fillRect/>
                    </a:stretch>
                  </pic:blipFill>
                  <pic:spPr bwMode="auto">
                    <a:xfrm>
                      <a:off x="0" y="0"/>
                      <a:ext cx="56724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-955040</wp:posOffset>
            </wp:positionV>
            <wp:extent cx="363093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4">
                      <a:extLst>
                        <a:ext uri="{28A0092B-C50C-407E-A947-70E740481C1C}"/>
                      </a:extLst>
                    </a:blip>
                    <a:srcRect/>
                    <a:stretch>
                      <a:fillRect/>
                    </a:stretch>
                  </pic:blipFill>
                  <pic:spPr bwMode="auto">
                    <a:xfrm>
                      <a:off x="0" y="0"/>
                      <a:ext cx="363093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-766445</wp:posOffset>
            </wp:positionV>
            <wp:extent cx="56692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5">
                      <a:extLst>
                        <a:ext uri="{28A0092B-C50C-407E-A947-70E740481C1C}"/>
                      </a:extLst>
                    </a:blip>
                    <a:srcRect/>
                    <a:stretch>
                      <a:fillRect/>
                    </a:stretch>
                  </pic:blipFill>
                  <pic:spPr bwMode="auto">
                    <a:xfrm>
                      <a:off x="0" y="0"/>
                      <a:ext cx="566928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-647065</wp:posOffset>
            </wp:positionV>
            <wp:extent cx="30937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6">
                      <a:extLst>
                        <a:ext uri="{28A0092B-C50C-407E-A947-70E740481C1C}"/>
                      </a:extLst>
                    </a:blip>
                    <a:srcRect/>
                    <a:stretch>
                      <a:fillRect/>
                    </a:stretch>
                  </pic:blipFill>
                  <pic:spPr bwMode="auto">
                    <a:xfrm>
                      <a:off x="0" y="0"/>
                      <a:ext cx="309372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-458470</wp:posOffset>
            </wp:positionV>
            <wp:extent cx="56692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7">
                      <a:extLst>
                        <a:ext uri="{28A0092B-C50C-407E-A947-70E740481C1C}"/>
                      </a:extLst>
                    </a:blip>
                    <a:srcRect/>
                    <a:stretch>
                      <a:fillRect/>
                    </a:stretch>
                  </pic:blipFill>
                  <pic:spPr bwMode="auto">
                    <a:xfrm>
                      <a:off x="0" y="0"/>
                      <a:ext cx="566928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-338455</wp:posOffset>
            </wp:positionV>
            <wp:extent cx="391604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8">
                      <a:extLst>
                        <a:ext uri="{28A0092B-C50C-407E-A947-70E740481C1C}"/>
                      </a:extLst>
                    </a:blip>
                    <a:srcRect/>
                    <a:stretch>
                      <a:fillRect/>
                    </a:stretch>
                  </pic:blipFill>
                  <pic:spPr bwMode="auto">
                    <a:xfrm>
                      <a:off x="0" y="0"/>
                      <a:ext cx="391604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-150495</wp:posOffset>
            </wp:positionV>
            <wp:extent cx="56699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9">
                      <a:extLst>
                        <a:ext uri="{28A0092B-C50C-407E-A947-70E740481C1C}"/>
                      </a:extLst>
                    </a:blip>
                    <a:srcRect/>
                    <a:stretch>
                      <a:fillRect/>
                    </a:stretch>
                  </pic:blipFill>
                  <pic:spPr bwMode="auto">
                    <a:xfrm>
                      <a:off x="0" y="0"/>
                      <a:ext cx="566991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-30480</wp:posOffset>
            </wp:positionV>
            <wp:extent cx="363093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0">
                      <a:extLst>
                        <a:ext uri="{28A0092B-C50C-407E-A947-70E740481C1C}"/>
                      </a:extLst>
                    </a:blip>
                    <a:srcRect/>
                    <a:stretch>
                      <a:fillRect/>
                    </a:stretch>
                  </pic:blipFill>
                  <pic:spPr bwMode="auto">
                    <a:xfrm>
                      <a:off x="0" y="0"/>
                      <a:ext cx="3630930" cy="8255"/>
                    </a:xfrm>
                    <a:prstGeom prst="rect">
                      <a:avLst/>
                    </a:prstGeom>
                    <a:noFill/>
                  </pic:spPr>
                </pic:pic>
              </a:graphicData>
            </a:graphic>
          </wp:anchor>
        </w:drawing>
      </w:r>
    </w:p>
    <w:p>
      <w:pPr>
        <w:spacing w:after="0" w:line="34" w:lineRule="exact"/>
        <w:rPr>
          <w:rFonts w:ascii="Times New Roman" w:cs="Times New Roman" w:eastAsia="Times New Roman" w:hAnsi="Times New Roman"/>
          <w:sz w:val="18"/>
          <w:szCs w:val="18"/>
          <w:color w:val="auto"/>
        </w:rPr>
      </w:pPr>
    </w:p>
    <w:p>
      <w:pPr>
        <w:ind w:left="960" w:right="1040" w:hanging="686"/>
        <w:spacing w:after="0" w:line="250" w:lineRule="auto"/>
        <w:tabs>
          <w:tab w:leader="none" w:pos="960" w:val="left"/>
        </w:tabs>
        <w:numPr>
          <w:ilvl w:val="0"/>
          <w:numId w:val="13"/>
        </w:numPr>
        <w:rPr>
          <w:rFonts w:ascii="Times New Roman" w:cs="Times New Roman" w:eastAsia="Times New Roman" w:hAnsi="Times New Roman"/>
          <w:sz w:val="18"/>
          <w:szCs w:val="18"/>
          <w:u w:val="single" w:color="auto"/>
          <w:color w:val="0000FF"/>
        </w:rPr>
      </w:pPr>
      <w:hyperlink r:id="rId401">
        <w:r>
          <w:rPr>
            <w:rFonts w:ascii="Times New Roman" w:cs="Times New Roman" w:eastAsia="Times New Roman" w:hAnsi="Times New Roman"/>
            <w:sz w:val="18"/>
            <w:szCs w:val="18"/>
            <w:u w:val="single" w:color="auto"/>
            <w:color w:val="0000FF"/>
          </w:rPr>
          <w:t>Form of Restricted Stock Unit Annual Ratable Grant Agreement (incorporated by reference, filed as Exhibit 10.8 to the</w:t>
        </w:r>
      </w:hyperlink>
      <w:r>
        <w:rPr>
          <w:rFonts w:ascii="Times New Roman" w:cs="Times New Roman" w:eastAsia="Times New Roman" w:hAnsi="Times New Roman"/>
          <w:sz w:val="18"/>
          <w:szCs w:val="18"/>
          <w:u w:val="single" w:color="auto"/>
          <w:color w:val="0000FF"/>
        </w:rPr>
        <w:t xml:space="preserve"> </w:t>
      </w:r>
      <w:hyperlink r:id="rId401">
        <w:r>
          <w:rPr>
            <w:rFonts w:ascii="Times New Roman" w:cs="Times New Roman" w:eastAsia="Times New Roman" w:hAnsi="Times New Roman"/>
            <w:sz w:val="18"/>
            <w:szCs w:val="18"/>
            <w:u w:val="single" w:color="auto"/>
            <w:color w:val="0000FF"/>
          </w:rPr>
          <w:t>Company's Current Report on Form 8-K, filed June 10, 2022, File No. 1-1927).</w:t>
        </w:r>
      </w:hyperlink>
    </w:p>
    <w:p>
      <w:pPr>
        <w:spacing w:after="0" w:line="54" w:lineRule="exact"/>
        <w:rPr>
          <w:rFonts w:ascii="Times New Roman" w:cs="Times New Roman" w:eastAsia="Times New Roman" w:hAnsi="Times New Roman"/>
          <w:sz w:val="18"/>
          <w:szCs w:val="18"/>
          <w:u w:val="single" w:color="auto"/>
          <w:color w:val="0000FF"/>
        </w:rPr>
      </w:pPr>
    </w:p>
    <w:p>
      <w:pPr>
        <w:ind w:left="960" w:right="1060" w:hanging="686"/>
        <w:spacing w:after="0" w:line="250" w:lineRule="auto"/>
        <w:tabs>
          <w:tab w:leader="none" w:pos="960" w:val="left"/>
        </w:tabs>
        <w:numPr>
          <w:ilvl w:val="0"/>
          <w:numId w:val="13"/>
        </w:numPr>
        <w:rPr>
          <w:rFonts w:ascii="Times New Roman" w:cs="Times New Roman" w:eastAsia="Times New Roman" w:hAnsi="Times New Roman"/>
          <w:sz w:val="18"/>
          <w:szCs w:val="18"/>
          <w:u w:val="single" w:color="auto"/>
          <w:color w:val="0000FF"/>
        </w:rPr>
      </w:pPr>
      <w:hyperlink r:id="rId402">
        <w:r>
          <w:rPr>
            <w:rFonts w:ascii="Times New Roman" w:cs="Times New Roman" w:eastAsia="Times New Roman" w:hAnsi="Times New Roman"/>
            <w:sz w:val="18"/>
            <w:szCs w:val="18"/>
            <w:u w:val="single" w:color="auto"/>
            <w:color w:val="0000FF"/>
          </w:rPr>
          <w:t>Form of Restricted Stock Unit Continuous Vesting Grant Agreement (incorporated by reference, filed as Exhibit 10.9 to the</w:t>
        </w:r>
      </w:hyperlink>
      <w:r>
        <w:rPr>
          <w:rFonts w:ascii="Times New Roman" w:cs="Times New Roman" w:eastAsia="Times New Roman" w:hAnsi="Times New Roman"/>
          <w:sz w:val="18"/>
          <w:szCs w:val="18"/>
          <w:u w:val="single" w:color="auto"/>
          <w:color w:val="0000FF"/>
        </w:rPr>
        <w:t xml:space="preserve"> </w:t>
      </w:r>
      <w:hyperlink r:id="rId402">
        <w:r>
          <w:rPr>
            <w:rFonts w:ascii="Times New Roman" w:cs="Times New Roman" w:eastAsia="Times New Roman" w:hAnsi="Times New Roman"/>
            <w:sz w:val="18"/>
            <w:szCs w:val="18"/>
            <w:u w:val="single" w:color="auto"/>
            <w:color w:val="0000FF"/>
          </w:rPr>
          <w:t>Company's Current Report on Form 8-K, filed June 10, 2022, File No. 1-1927).</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604520</wp:posOffset>
            </wp:positionH>
            <wp:positionV relativeFrom="paragraph">
              <wp:posOffset>-458470</wp:posOffset>
            </wp:positionV>
            <wp:extent cx="567626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extLst>
                        <a:ext uri="{28A0092B-C50C-407E-A947-70E740481C1C}"/>
                      </a:extLst>
                    </a:blip>
                    <a:srcRect/>
                    <a:stretch>
                      <a:fillRect/>
                    </a:stretch>
                  </pic:blipFill>
                  <pic:spPr bwMode="auto">
                    <a:xfrm>
                      <a:off x="0" y="0"/>
                      <a:ext cx="567626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-338455</wp:posOffset>
            </wp:positionV>
            <wp:extent cx="363093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4">
                      <a:extLst>
                        <a:ext uri="{28A0092B-C50C-407E-A947-70E740481C1C}"/>
                      </a:extLst>
                    </a:blip>
                    <a:srcRect/>
                    <a:stretch>
                      <a:fillRect/>
                    </a:stretch>
                  </pic:blipFill>
                  <pic:spPr bwMode="auto">
                    <a:xfrm>
                      <a:off x="0" y="0"/>
                      <a:ext cx="3630930"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-150495</wp:posOffset>
            </wp:positionV>
            <wp:extent cx="56724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5">
                      <a:extLst>
                        <a:ext uri="{28A0092B-C50C-407E-A947-70E740481C1C}"/>
                      </a:extLst>
                    </a:blip>
                    <a:srcRect/>
                    <a:stretch>
                      <a:fillRect/>
                    </a:stretch>
                  </pic:blipFill>
                  <pic:spPr bwMode="auto">
                    <a:xfrm>
                      <a:off x="0" y="0"/>
                      <a:ext cx="56724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-30480</wp:posOffset>
            </wp:positionV>
            <wp:extent cx="363093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6">
                      <a:extLst>
                        <a:ext uri="{28A0092B-C50C-407E-A947-70E740481C1C}"/>
                      </a:extLst>
                    </a:blip>
                    <a:srcRect/>
                    <a:stretch>
                      <a:fillRect/>
                    </a:stretch>
                  </pic:blipFill>
                  <pic:spPr bwMode="auto">
                    <a:xfrm>
                      <a:off x="0" y="0"/>
                      <a:ext cx="3630930" cy="8255"/>
                    </a:xfrm>
                    <a:prstGeom prst="rect">
                      <a:avLst/>
                    </a:prstGeom>
                    <a:noFill/>
                  </pic:spPr>
                </pic:pic>
              </a:graphicData>
            </a:graphic>
          </wp:anchor>
        </w:drawing>
      </w:r>
    </w:p>
    <w:p>
      <w:pPr>
        <w:spacing w:after="0" w:line="30" w:lineRule="exact"/>
        <w:rPr>
          <w:rFonts w:ascii="Times New Roman" w:cs="Times New Roman" w:eastAsia="Times New Roman" w:hAnsi="Times New Roman"/>
          <w:sz w:val="18"/>
          <w:szCs w:val="18"/>
          <w:color w:val="auto"/>
        </w:rPr>
      </w:pPr>
    </w:p>
    <w:p>
      <w:pPr>
        <w:ind w:left="960" w:hanging="691"/>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94" w:lineRule="exact"/>
        <w:rPr>
          <w:rFonts w:ascii="Times New Roman" w:cs="Times New Roman" w:eastAsia="Times New Roman" w:hAnsi="Times New Roman"/>
          <w:sz w:val="18"/>
          <w:szCs w:val="18"/>
          <w:color w:val="auto"/>
        </w:rPr>
      </w:pPr>
    </w:p>
    <w:p>
      <w:pPr>
        <w:ind w:left="260"/>
        <w:spacing w:after="0"/>
        <w:tabs>
          <w:tab w:leader="none" w:pos="940" w:val="left"/>
          <w:tab w:leader="none" w:pos="105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8"/>
          <w:szCs w:val="18"/>
          <w:color w:val="auto"/>
        </w:rPr>
        <w:t>22.1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604520</wp:posOffset>
            </wp:positionH>
            <wp:positionV relativeFrom="paragraph">
              <wp:posOffset>-7620</wp:posOffset>
            </wp:positionV>
            <wp:extent cx="13817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7">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66" w:lineRule="exact"/>
        <w:rPr>
          <w:rFonts w:ascii="Times New Roman" w:cs="Times New Roman" w:eastAsia="Times New Roman" w:hAnsi="Times New Roman"/>
          <w:sz w:val="18"/>
          <w:szCs w:val="18"/>
          <w:color w:val="auto"/>
        </w:rPr>
      </w:pPr>
    </w:p>
    <w:p>
      <w:pPr>
        <w:ind w:left="960" w:hanging="69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80" w:lineRule="exact"/>
        <w:rPr>
          <w:rFonts w:ascii="Times New Roman" w:cs="Times New Roman" w:eastAsia="Times New Roman" w:hAnsi="Times New Roman"/>
          <w:sz w:val="18"/>
          <w:szCs w:val="18"/>
          <w:color w:val="auto"/>
        </w:rPr>
      </w:pPr>
    </w:p>
    <w:tbl>
      <w:tblPr>
        <w:tblLayout w:type="fixed"/>
        <w:tblInd w:w="2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Certificate of Chief Executive Officer pursuant to Rule 13a-14(a) under the Securities Exchange Act of 1934.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8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Certificate of Chief Financial Officer pursuant to Rule 13a-14(a) under the Securities Exchange Act of 1934.</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bl>
    <w:p>
      <w:pPr>
        <w:spacing w:after="0" w:line="86" w:lineRule="exact"/>
        <w:rPr>
          <w:rFonts w:ascii="Times New Roman" w:cs="Times New Roman" w:eastAsia="Times New Roman" w:hAnsi="Times New Roman"/>
          <w:sz w:val="18"/>
          <w:szCs w:val="18"/>
          <w:color w:val="auto"/>
        </w:rPr>
      </w:pPr>
    </w:p>
    <w:p>
      <w:pPr>
        <w:ind w:left="960" w:hanging="691"/>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94" w:lineRule="exact"/>
        <w:rPr>
          <w:rFonts w:ascii="Times New Roman" w:cs="Times New Roman" w:eastAsia="Times New Roman" w:hAnsi="Times New Roman"/>
          <w:sz w:val="18"/>
          <w:szCs w:val="18"/>
          <w:color w:val="auto"/>
        </w:rPr>
      </w:pPr>
    </w:p>
    <w:p>
      <w:pPr>
        <w:ind w:left="260"/>
        <w:spacing w:after="0"/>
        <w:tabs>
          <w:tab w:leader="none" w:pos="940" w:val="left"/>
          <w:tab w:leader="none" w:pos="105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Certificate of Chief Executive Officer and Chief Financial Officer pursuant to Rule 13a-14(b) under the Securities</w:t>
      </w:r>
      <w:r>
        <w:rPr>
          <w:sz w:val="20"/>
          <w:szCs w:val="20"/>
          <w:color w:val="auto"/>
        </w:rPr>
        <w:tab/>
      </w:r>
      <w:r>
        <w:rPr>
          <w:rFonts w:ascii="Times New Roman" w:cs="Times New Roman" w:eastAsia="Times New Roman" w:hAnsi="Times New Roman"/>
          <w:sz w:val="18"/>
          <w:szCs w:val="18"/>
          <w:color w:val="auto"/>
        </w:rPr>
        <w:t>32.1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604520</wp:posOffset>
            </wp:positionH>
            <wp:positionV relativeFrom="paragraph">
              <wp:posOffset>-7620</wp:posOffset>
            </wp:positionV>
            <wp:extent cx="567118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5671185" cy="8255"/>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8"/>
          <w:szCs w:val="18"/>
          <w:u w:val="single" w:color="auto"/>
          <w:color w:val="0000FF"/>
        </w:rPr>
        <w:t>Exchange Act of 1934.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604520</wp:posOffset>
            </wp:positionH>
            <wp:positionV relativeFrom="paragraph">
              <wp:posOffset>-20320</wp:posOffset>
            </wp:positionV>
            <wp:extent cx="10521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9">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spacing w:after="0" w:line="387" w:lineRule="exact"/>
        <w:rPr>
          <w:rFonts w:ascii="Times New Roman" w:cs="Times New Roman" w:eastAsia="Times New Roman" w:hAnsi="Times New Roman"/>
          <w:sz w:val="18"/>
          <w:szCs w:val="18"/>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1">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38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9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3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8"/>
        </w:trPr>
        <w:tc>
          <w:tcPr>
            <w:tcW w:w="6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Item</w:t>
            </w:r>
          </w:p>
        </w:tc>
        <w:tc>
          <w:tcPr>
            <w:tcW w:w="9360" w:type="dxa"/>
            <w:vAlign w:val="bottom"/>
            <w:gridSpan w:val="3"/>
            <w:vMerge w:val="restart"/>
          </w:tcPr>
          <w:p>
            <w:pPr>
              <w:ind w:left="39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3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50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9360" w:type="dxa"/>
            <w:vAlign w:val="bottom"/>
            <w:gridSpan w:val="3"/>
            <w:vMerge w:val="continue"/>
          </w:tcPr>
          <w:p>
            <w:pPr>
              <w:spacing w:after="0"/>
              <w:rPr>
                <w:sz w:val="13"/>
                <w:szCs w:val="13"/>
                <w:color w:val="auto"/>
              </w:rPr>
            </w:pPr>
          </w:p>
        </w:tc>
        <w:tc>
          <w:tcPr>
            <w:tcW w:w="920" w:type="dxa"/>
            <w:vAlign w:val="bottom"/>
            <w:gridSpan w:val="3"/>
          </w:tcPr>
          <w:p>
            <w:pPr>
              <w:jc w:val="center"/>
              <w:ind w:left="133"/>
              <w:spacing w:after="0" w:line="159"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101</w:t>
            </w: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920" w:type="dxa"/>
            <w:vAlign w:val="bottom"/>
            <w:gridSpan w:val="3"/>
          </w:tcPr>
          <w:p>
            <w:pPr>
              <w:jc w:val="center"/>
              <w:ind w:left="153"/>
              <w:spacing w:after="0"/>
              <w:rPr>
                <w:sz w:val="20"/>
                <w:szCs w:val="20"/>
                <w:color w:val="auto"/>
              </w:rPr>
            </w:pPr>
            <w:r>
              <w:rPr>
                <w:rFonts w:ascii="Times New Roman" w:cs="Times New Roman" w:eastAsia="Times New Roman" w:hAnsi="Times New Roman"/>
                <w:sz w:val="18"/>
                <w:szCs w:val="18"/>
                <w:color w:val="auto"/>
                <w:w w:val="99"/>
              </w:rPr>
              <w:t>101.INS</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gridSpan w:val="3"/>
          </w:tcPr>
          <w:p>
            <w:pPr>
              <w:jc w:val="center"/>
              <w:ind w:left="133"/>
              <w:spacing w:after="0"/>
              <w:rPr>
                <w:sz w:val="20"/>
                <w:szCs w:val="20"/>
                <w:color w:val="auto"/>
              </w:rPr>
            </w:pPr>
            <w:r>
              <w:rPr>
                <w:rFonts w:ascii="Times New Roman" w:cs="Times New Roman" w:eastAsia="Times New Roman" w:hAnsi="Times New Roman"/>
                <w:sz w:val="18"/>
                <w:szCs w:val="18"/>
                <w:color w:val="auto"/>
                <w:w w:val="99"/>
              </w:rPr>
              <w:t>101.SCH</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20" w:type="dxa"/>
            <w:vAlign w:val="bottom"/>
            <w:gridSpan w:val="3"/>
          </w:tcPr>
          <w:p>
            <w:pPr>
              <w:jc w:val="center"/>
              <w:ind w:left="153"/>
              <w:spacing w:after="0"/>
              <w:rPr>
                <w:sz w:val="20"/>
                <w:szCs w:val="20"/>
                <w:color w:val="auto"/>
              </w:rPr>
            </w:pPr>
            <w:r>
              <w:rPr>
                <w:rFonts w:ascii="Times New Roman" w:cs="Times New Roman" w:eastAsia="Times New Roman" w:hAnsi="Times New Roman"/>
                <w:sz w:val="18"/>
                <w:szCs w:val="18"/>
                <w:color w:val="auto"/>
              </w:rPr>
              <w:t>101.CAL</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20" w:type="dxa"/>
            <w:vAlign w:val="bottom"/>
            <w:gridSpan w:val="3"/>
          </w:tcPr>
          <w:p>
            <w:pPr>
              <w:jc w:val="center"/>
              <w:ind w:left="133"/>
              <w:spacing w:after="0"/>
              <w:rPr>
                <w:sz w:val="20"/>
                <w:szCs w:val="20"/>
                <w:color w:val="auto"/>
              </w:rPr>
            </w:pPr>
            <w:r>
              <w:rPr>
                <w:rFonts w:ascii="Times New Roman" w:cs="Times New Roman" w:eastAsia="Times New Roman" w:hAnsi="Times New Roman"/>
                <w:sz w:val="18"/>
                <w:szCs w:val="18"/>
                <w:color w:val="auto"/>
              </w:rPr>
              <w:t>101.DEF</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20" w:type="dxa"/>
            <w:vAlign w:val="bottom"/>
            <w:gridSpan w:val="3"/>
          </w:tcPr>
          <w:p>
            <w:pPr>
              <w:jc w:val="center"/>
              <w:ind w:left="153"/>
              <w:spacing w:after="0"/>
              <w:rPr>
                <w:sz w:val="20"/>
                <w:szCs w:val="20"/>
                <w:color w:val="auto"/>
              </w:rPr>
            </w:pPr>
            <w:r>
              <w:rPr>
                <w:rFonts w:ascii="Times New Roman" w:cs="Times New Roman" w:eastAsia="Times New Roman" w:hAnsi="Times New Roman"/>
                <w:sz w:val="18"/>
                <w:szCs w:val="18"/>
                <w:color w:val="auto"/>
              </w:rPr>
              <w:t>101.LAB</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20" w:type="dxa"/>
            <w:vAlign w:val="bottom"/>
            <w:gridSpan w:val="3"/>
          </w:tcPr>
          <w:p>
            <w:pPr>
              <w:jc w:val="center"/>
              <w:ind w:left="153"/>
              <w:spacing w:after="0"/>
              <w:rPr>
                <w:sz w:val="20"/>
                <w:szCs w:val="20"/>
                <w:color w:val="auto"/>
              </w:rPr>
            </w:pPr>
            <w:r>
              <w:rPr>
                <w:rFonts w:ascii="Times New Roman" w:cs="Times New Roman" w:eastAsia="Times New Roman" w:hAnsi="Times New Roman"/>
                <w:sz w:val="18"/>
                <w:szCs w:val="18"/>
                <w:color w:val="auto"/>
                <w:w w:val="99"/>
              </w:rPr>
              <w:t>101.PRE</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960" w:hanging="73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93" w:lineRule="exact"/>
        <w:rPr>
          <w:rFonts w:ascii="Times New Roman" w:cs="Times New Roman" w:eastAsia="Times New Roman" w:hAnsi="Times New Roman"/>
          <w:sz w:val="18"/>
          <w:szCs w:val="18"/>
          <w:color w:val="auto"/>
        </w:rPr>
      </w:pPr>
    </w:p>
    <w:p>
      <w:pPr>
        <w:ind w:left="960" w:right="1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2022, formatted in Inline XBRL (included as Exhibit 101).</w:t>
      </w: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2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3">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4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(Registrant)</w:t>
      </w:r>
    </w:p>
    <w:p>
      <w:pPr>
        <w:spacing w:after="0" w:line="305" w:lineRule="exact"/>
        <w:rPr>
          <w:sz w:val="20"/>
          <w:szCs w:val="20"/>
          <w:color w:val="auto"/>
        </w:rPr>
      </w:pPr>
    </w:p>
    <w:p>
      <w:pPr>
        <w:ind w:left="20"/>
        <w:spacing w:after="0"/>
        <w:tabs>
          <w:tab w:leader="none" w:pos="680" w:val="left"/>
          <w:tab w:leader="none" w:pos="6200" w:val="left"/>
          <w:tab w:leader="none" w:pos="8180" w:val="left"/>
        </w:tabs>
        <w:rPr>
          <w:sz w:val="20"/>
          <w:szCs w:val="20"/>
          <w:color w:val="auto"/>
        </w:rPr>
      </w:pPr>
      <w:r>
        <w:rPr>
          <w:rFonts w:ascii="Times New Roman" w:cs="Times New Roman" w:eastAsia="Times New Roman" w:hAnsi="Times New Roman"/>
          <w:sz w:val="18"/>
          <w:szCs w:val="18"/>
          <w:color w:val="auto"/>
        </w:rPr>
        <w:t>Date:</w:t>
        <w:tab/>
        <w:t>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VAN</w:t>
      </w:r>
      <w:r>
        <w:rPr>
          <w:rFonts w:ascii="Times New Roman" w:cs="Times New Roman" w:eastAsia="Times New Roman" w:hAnsi="Times New Roman"/>
          <w:sz w:val="18"/>
          <w:szCs w:val="18"/>
          <w:color w:val="auto"/>
        </w:rPr>
        <w:t xml:space="preserve"> M. S</w:t>
      </w:r>
      <w:r>
        <w:rPr>
          <w:rFonts w:ascii="Times New Roman" w:cs="Times New Roman" w:eastAsia="Times New Roman" w:hAnsi="Times New Roman"/>
          <w:sz w:val="14"/>
          <w:szCs w:val="14"/>
          <w:color w:val="auto"/>
        </w:rPr>
        <w:t>COCOS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4226560</wp:posOffset>
            </wp:positionH>
            <wp:positionV relativeFrom="paragraph">
              <wp:posOffset>17145</wp:posOffset>
            </wp:positionV>
            <wp:extent cx="291147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4">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Evan M. Scocos, Vice President and Controller (Signing on behalf of</w:t>
      </w:r>
    </w:p>
    <w:p>
      <w:pPr>
        <w:ind w:left="6220"/>
        <w:spacing w:after="0" w:line="218" w:lineRule="auto"/>
        <w:rPr>
          <w:sz w:val="20"/>
          <w:szCs w:val="20"/>
          <w:color w:val="auto"/>
        </w:rPr>
      </w:pPr>
      <w:r>
        <w:rPr>
          <w:rFonts w:ascii="Times New Roman" w:cs="Times New Roman" w:eastAsia="Times New Roman" w:hAnsi="Times New Roman"/>
          <w:sz w:val="18"/>
          <w:szCs w:val="18"/>
          <w:color w:val="auto"/>
        </w:rPr>
        <w:t>the Registrant as a duly authorized officer of the Registrant and</w:t>
      </w:r>
    </w:p>
    <w:p>
      <w:pPr>
        <w:spacing w:after="0" w:line="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signing as the Principal Accounting Officer of the Registrant.)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June 30, 2022, guarantors of the Company's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senior notes due 2025, 5% senior notes due 2026, 4.875% senior notes due 2027, 5% senior notes due 2029, 5.25% senior notes due April 2031,</w:t>
      </w:r>
    </w:p>
    <w:p>
      <w:pPr>
        <w:spacing w:after="0"/>
        <w:rPr>
          <w:sz w:val="20"/>
          <w:szCs w:val="20"/>
          <w:color w:val="auto"/>
        </w:rPr>
      </w:pPr>
      <w:r>
        <w:rPr>
          <w:rFonts w:ascii="Times New Roman" w:cs="Times New Roman" w:eastAsia="Times New Roman" w:hAnsi="Times New Roman"/>
          <w:sz w:val="18"/>
          <w:szCs w:val="18"/>
          <w:color w:val="auto"/>
        </w:rPr>
        <w:t>5.25% senior notes due July 2031 and 5.625% senior notes due 2033: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PLACE OF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NAME OF SUBSIDIARY</w:t>
            </w:r>
          </w:p>
        </w:tc>
        <w:tc>
          <w:tcPr>
            <w:tcW w:w="6420" w:type="dxa"/>
            <w:vAlign w:val="bottom"/>
            <w:vMerge w:val="restart"/>
          </w:tcPr>
          <w:p>
            <w:pPr>
              <w:spacing w:after="0"/>
              <w:rPr>
                <w:sz w:val="16"/>
                <w:szCs w:val="16"/>
                <w:color w:val="auto"/>
              </w:rPr>
            </w:pPr>
          </w:p>
        </w:tc>
        <w:tc>
          <w:tcPr>
            <w:tcW w:w="28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0" w:type="dxa"/>
            <w:vAlign w:val="bottom"/>
            <w:tcBorders>
              <w:bottom w:val="single" w:sz="8" w:color="auto"/>
            </w:tcBorders>
            <w:vMerge w:val="continue"/>
          </w:tcPr>
          <w:p>
            <w:pPr>
              <w:spacing w:after="0"/>
              <w:rPr>
                <w:sz w:val="17"/>
                <w:szCs w:val="17"/>
                <w:color w:val="auto"/>
              </w:rPr>
            </w:pPr>
          </w:p>
        </w:tc>
        <w:tc>
          <w:tcPr>
            <w:tcW w:w="6420" w:type="dxa"/>
            <w:vAlign w:val="bottom"/>
            <w:vMerge w:val="continue"/>
          </w:tcPr>
          <w:p>
            <w:pPr>
              <w:spacing w:after="0"/>
              <w:rPr>
                <w:sz w:val="17"/>
                <w:szCs w:val="17"/>
                <w:color w:val="auto"/>
              </w:rPr>
            </w:pPr>
          </w:p>
        </w:tc>
        <w:tc>
          <w:tcPr>
            <w:tcW w:w="17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OR ORGANIZATION</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Cooper International Holding Corporation</w:t>
            </w:r>
          </w:p>
        </w:tc>
        <w:tc>
          <w:tcPr>
            <w:tcW w:w="2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Cooper Receivables LLC</w:t>
            </w:r>
          </w:p>
        </w:tc>
        <w:tc>
          <w:tcPr>
            <w:tcW w:w="2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Cooper Tire &amp; Rubber Company</w:t>
            </w:r>
          </w:p>
        </w:tc>
        <w:tc>
          <w:tcPr>
            <w:tcW w:w="2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2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Max-Trac Tire Co., Inc.</w:t>
            </w:r>
          </w:p>
        </w:tc>
        <w:tc>
          <w:tcPr>
            <w:tcW w:w="2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Mickey Thompson Performance Racing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T&amp;WA, Inc.</w:t>
            </w:r>
          </w:p>
        </w:tc>
        <w:tc>
          <w:tcPr>
            <w:tcW w:w="2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Kentucky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519"/>
        </w:trPr>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Kramer, certify that:</w:t>
      </w:r>
    </w:p>
    <w:p>
      <w:pPr>
        <w:spacing w:after="0" w:line="198" w:lineRule="exact"/>
        <w:rPr>
          <w:sz w:val="20"/>
          <w:szCs w:val="20"/>
          <w:color w:val="auto"/>
        </w:rPr>
      </w:pPr>
    </w:p>
    <w:p>
      <w:pPr>
        <w:ind w:left="460" w:hanging="439"/>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16" w:lineRule="exact"/>
        <w:rPr>
          <w:rFonts w:ascii="Times New Roman" w:cs="Times New Roman" w:eastAsia="Times New Roman" w:hAnsi="Times New Roman"/>
          <w:sz w:val="18"/>
          <w:szCs w:val="18"/>
          <w:color w:val="auto"/>
        </w:rPr>
      </w:pPr>
    </w:p>
    <w:p>
      <w:pPr>
        <w:jc w:val="both"/>
        <w:ind w:left="460" w:right="20" w:hanging="439"/>
        <w:spacing w:after="0" w:line="236"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Times New Roman" w:cs="Times New Roman" w:eastAsia="Times New Roman" w:hAnsi="Times New Roman"/>
          <w:sz w:val="18"/>
          <w:szCs w:val="18"/>
          <w:color w:val="auto"/>
        </w:rPr>
      </w:pPr>
    </w:p>
    <w:p>
      <w:pPr>
        <w:ind w:left="460" w:right="20" w:hanging="439"/>
        <w:spacing w:after="0" w:line="250"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8"/>
          <w:szCs w:val="18"/>
          <w:color w:val="auto"/>
        </w:rPr>
      </w:pPr>
    </w:p>
    <w:p>
      <w:pPr>
        <w:jc w:val="both"/>
        <w:ind w:left="460" w:right="20" w:hanging="439"/>
        <w:spacing w:after="0" w:line="236"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rFonts w:ascii="Times New Roman" w:cs="Times New Roman" w:eastAsia="Times New Roman" w:hAnsi="Times New Roman"/>
          <w:sz w:val="18"/>
          <w:szCs w:val="18"/>
          <w:color w:val="auto"/>
        </w:rPr>
      </w:pPr>
    </w:p>
    <w:p>
      <w:pPr>
        <w:jc w:val="both"/>
        <w:ind w:left="860" w:right="20" w:hanging="407"/>
        <w:spacing w:after="0" w:line="236" w:lineRule="auto"/>
        <w:tabs>
          <w:tab w:leader="none" w:pos="8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Times New Roman" w:cs="Times New Roman" w:eastAsia="Times New Roman" w:hAnsi="Times New Roman"/>
          <w:sz w:val="18"/>
          <w:szCs w:val="18"/>
          <w:color w:val="auto"/>
        </w:rPr>
      </w:pPr>
    </w:p>
    <w:p>
      <w:pPr>
        <w:jc w:val="both"/>
        <w:ind w:left="860" w:right="20" w:hanging="407"/>
        <w:spacing w:after="0" w:line="236" w:lineRule="auto"/>
        <w:tabs>
          <w:tab w:leader="none" w:pos="8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0" w:lineRule="exact"/>
        <w:rPr>
          <w:rFonts w:ascii="Times New Roman" w:cs="Times New Roman" w:eastAsia="Times New Roman" w:hAnsi="Times New Roman"/>
          <w:sz w:val="18"/>
          <w:szCs w:val="18"/>
          <w:color w:val="auto"/>
        </w:rPr>
      </w:pPr>
    </w:p>
    <w:p>
      <w:pPr>
        <w:ind w:left="860" w:right="20" w:hanging="407"/>
        <w:spacing w:after="0" w:line="250" w:lineRule="auto"/>
        <w:tabs>
          <w:tab w:leader="none" w:pos="8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jc w:val="both"/>
        <w:ind w:left="860" w:right="20" w:hanging="407"/>
        <w:spacing w:after="0" w:line="236" w:lineRule="auto"/>
        <w:tabs>
          <w:tab w:leader="none" w:pos="8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Times New Roman" w:cs="Times New Roman" w:eastAsia="Times New Roman" w:hAnsi="Times New Roman"/>
          <w:sz w:val="18"/>
          <w:szCs w:val="18"/>
          <w:color w:val="auto"/>
        </w:rPr>
      </w:pPr>
    </w:p>
    <w:p>
      <w:pPr>
        <w:ind w:left="460" w:right="20" w:hanging="439"/>
        <w:spacing w:after="0" w:line="250"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860" w:right="20" w:hanging="407"/>
        <w:spacing w:after="0" w:line="250" w:lineRule="auto"/>
        <w:tabs>
          <w:tab w:leader="none" w:pos="8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8"/>
          <w:szCs w:val="18"/>
          <w:color w:val="auto"/>
        </w:rPr>
      </w:pPr>
    </w:p>
    <w:p>
      <w:pPr>
        <w:ind w:left="860" w:right="20" w:hanging="407"/>
        <w:spacing w:after="0" w:line="250" w:lineRule="auto"/>
        <w:tabs>
          <w:tab w:leader="none" w:pos="8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21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17145</wp:posOffset>
            </wp:positionV>
            <wp:extent cx="42729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8">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8"/>
          <w:szCs w:val="18"/>
          <w:color w:val="auto"/>
        </w:rPr>
        <w:t>Richard J. Kramer</w:t>
      </w:r>
    </w:p>
    <w:p>
      <w:pPr>
        <w:ind w:left="4560"/>
        <w:spacing w:after="0" w:line="218" w:lineRule="auto"/>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R. Wells, certify that:</w:t>
      </w:r>
    </w:p>
    <w:p>
      <w:pPr>
        <w:spacing w:after="0" w:line="198" w:lineRule="exact"/>
        <w:rPr>
          <w:sz w:val="20"/>
          <w:szCs w:val="20"/>
          <w:color w:val="auto"/>
        </w:rPr>
      </w:pPr>
    </w:p>
    <w:p>
      <w:pPr>
        <w:ind w:left="460" w:hanging="439"/>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16" w:lineRule="exact"/>
        <w:rPr>
          <w:rFonts w:ascii="Times New Roman" w:cs="Times New Roman" w:eastAsia="Times New Roman" w:hAnsi="Times New Roman"/>
          <w:sz w:val="18"/>
          <w:szCs w:val="18"/>
          <w:color w:val="auto"/>
        </w:rPr>
      </w:pPr>
    </w:p>
    <w:p>
      <w:pPr>
        <w:jc w:val="both"/>
        <w:ind w:left="460" w:right="20" w:hanging="439"/>
        <w:spacing w:after="0" w:line="236"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Times New Roman" w:cs="Times New Roman" w:eastAsia="Times New Roman" w:hAnsi="Times New Roman"/>
          <w:sz w:val="18"/>
          <w:szCs w:val="18"/>
          <w:color w:val="auto"/>
        </w:rPr>
      </w:pPr>
    </w:p>
    <w:p>
      <w:pPr>
        <w:ind w:left="460" w:right="20" w:hanging="439"/>
        <w:spacing w:after="0" w:line="250"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8"/>
          <w:szCs w:val="18"/>
          <w:color w:val="auto"/>
        </w:rPr>
      </w:pPr>
    </w:p>
    <w:p>
      <w:pPr>
        <w:jc w:val="both"/>
        <w:ind w:left="460" w:right="20" w:hanging="439"/>
        <w:spacing w:after="0" w:line="236"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rFonts w:ascii="Times New Roman" w:cs="Times New Roman" w:eastAsia="Times New Roman" w:hAnsi="Times New Roman"/>
          <w:sz w:val="18"/>
          <w:szCs w:val="18"/>
          <w:color w:val="auto"/>
        </w:rPr>
      </w:pPr>
    </w:p>
    <w:p>
      <w:pPr>
        <w:jc w:val="both"/>
        <w:ind w:left="860" w:right="20" w:hanging="407"/>
        <w:spacing w:after="0" w:line="236"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Times New Roman" w:cs="Times New Roman" w:eastAsia="Times New Roman" w:hAnsi="Times New Roman"/>
          <w:sz w:val="18"/>
          <w:szCs w:val="18"/>
          <w:color w:val="auto"/>
        </w:rPr>
      </w:pPr>
    </w:p>
    <w:p>
      <w:pPr>
        <w:jc w:val="both"/>
        <w:ind w:left="860" w:right="20" w:hanging="407"/>
        <w:spacing w:after="0" w:line="236"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0" w:lineRule="exact"/>
        <w:rPr>
          <w:rFonts w:ascii="Times New Roman" w:cs="Times New Roman" w:eastAsia="Times New Roman" w:hAnsi="Times New Roman"/>
          <w:sz w:val="18"/>
          <w:szCs w:val="18"/>
          <w:color w:val="auto"/>
        </w:rPr>
      </w:pPr>
    </w:p>
    <w:p>
      <w:pPr>
        <w:ind w:left="860" w:right="20" w:hanging="407"/>
        <w:spacing w:after="0" w:line="250"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jc w:val="both"/>
        <w:ind w:left="860" w:right="20" w:hanging="407"/>
        <w:spacing w:after="0" w:line="236"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Times New Roman" w:cs="Times New Roman" w:eastAsia="Times New Roman" w:hAnsi="Times New Roman"/>
          <w:sz w:val="18"/>
          <w:szCs w:val="18"/>
          <w:color w:val="auto"/>
        </w:rPr>
      </w:pPr>
    </w:p>
    <w:p>
      <w:pPr>
        <w:ind w:left="460" w:right="20" w:hanging="439"/>
        <w:spacing w:after="0" w:line="250"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860" w:right="20" w:hanging="407"/>
        <w:spacing w:after="0" w:line="250"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8"/>
          <w:szCs w:val="18"/>
          <w:color w:val="auto"/>
        </w:rPr>
      </w:pPr>
    </w:p>
    <w:p>
      <w:pPr>
        <w:ind w:left="860" w:right="20" w:hanging="407"/>
        <w:spacing w:after="0" w:line="250" w:lineRule="auto"/>
        <w:tabs>
          <w:tab w:leader="none" w:pos="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211"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ARREN</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4"/>
          <w:szCs w:val="14"/>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17145</wp:posOffset>
            </wp:positionV>
            <wp:extent cx="427291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0">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spacing w:after="0" w:line="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Darren R. Wells</w:t>
      </w:r>
    </w:p>
    <w:p>
      <w:pPr>
        <w:ind w:left="4560"/>
        <w:spacing w:after="0" w:line="218"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Section 1350, Chapter 63 of Title 18, United States Code</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June 30, 2022, as filed with the Securities and Exchange Commission (the “10-Q Report”) that to his knowledge:</w:t>
      </w:r>
    </w:p>
    <w:p>
      <w:pPr>
        <w:spacing w:after="0" w:line="155" w:lineRule="exact"/>
        <w:rPr>
          <w:sz w:val="20"/>
          <w:szCs w:val="20"/>
          <w:color w:val="auto"/>
        </w:rPr>
      </w:pPr>
    </w:p>
    <w:p>
      <w:pPr>
        <w:ind w:left="940" w:hanging="51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10-Q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940" w:right="20" w:hanging="514"/>
        <w:spacing w:after="0" w:line="237"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5, 2022</w:t>
            </w:r>
          </w:p>
        </w:tc>
        <w:tc>
          <w:tcPr>
            <w:tcW w:w="696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18"/>
                <w:szCs w:val="18"/>
                <w:color w:val="auto"/>
              </w:rPr>
              <w:t xml:space="preserve"> J. K</w:t>
            </w:r>
            <w:r>
              <w:rPr>
                <w:rFonts w:ascii="Times New Roman" w:cs="Times New Roman" w:eastAsia="Times New Roman" w:hAnsi="Times New Roman"/>
                <w:sz w:val="14"/>
                <w:szCs w:val="14"/>
                <w:color w:val="auto"/>
              </w:rPr>
              <w:t>RAMER</w:t>
            </w:r>
          </w:p>
        </w:tc>
      </w:tr>
      <w:tr>
        <w:trPr>
          <w:trHeight w:val="191"/>
        </w:trPr>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9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Richard J. Kramer</w:t>
            </w:r>
          </w:p>
        </w:tc>
      </w:tr>
      <w:tr>
        <w:trPr>
          <w:trHeight w:val="216"/>
        </w:trPr>
        <w:tc>
          <w:tcPr>
            <w:tcW w:w="6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4"/>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431"/>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5, 2022</w:t>
            </w:r>
          </w:p>
        </w:tc>
        <w:tc>
          <w:tcPr>
            <w:tcW w:w="696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ARREN</w:t>
            </w:r>
            <w:r>
              <w:rPr>
                <w:rFonts w:ascii="Times New Roman" w:cs="Times New Roman" w:eastAsia="Times New Roman" w:hAnsi="Times New Roman"/>
                <w:sz w:val="18"/>
                <w:szCs w:val="18"/>
                <w:color w:val="auto"/>
              </w:rPr>
              <w:t xml:space="preserve"> R. W</w:t>
            </w:r>
            <w:r>
              <w:rPr>
                <w:rFonts w:ascii="Times New Roman" w:cs="Times New Roman" w:eastAsia="Times New Roman" w:hAnsi="Times New Roman"/>
                <w:sz w:val="14"/>
                <w:szCs w:val="14"/>
                <w:color w:val="auto"/>
              </w:rPr>
              <w:t>ELLS</w:t>
            </w:r>
          </w:p>
        </w:tc>
      </w:tr>
      <w:tr>
        <w:trPr>
          <w:trHeight w:val="191"/>
        </w:trPr>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9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Darren R. Wells</w:t>
            </w:r>
          </w:p>
        </w:tc>
      </w:tr>
      <w:tr>
        <w:trPr>
          <w:trHeight w:val="216"/>
        </w:trPr>
        <w:tc>
          <w:tcPr>
            <w:tcW w:w="6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533"/>
        </w:trPr>
        <w:tc>
          <w:tcPr>
            <w:tcW w:w="6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2"/>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0"/>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9"/>
    </w:lvl>
  </w:abstractNum>
  <w:abstractNum w:abstractNumId="13">
    <w:nsid w:val="25E45D32"/>
    <w:multiLevelType w:val="hybridMultilevel"/>
    <w:lvl w:ilvl="0">
      <w:lvlJc w:val="left"/>
      <w:lvlText w:val="%1"/>
      <w:numFmt w:val="decimal"/>
      <w:start w:val="22"/>
    </w:lvl>
  </w:abstractNum>
  <w:abstractNum w:abstractNumId="14">
    <w:nsid w:val="519B500D"/>
    <w:multiLevelType w:val="hybridMultilevel"/>
    <w:lvl w:ilvl="0">
      <w:lvlJc w:val="left"/>
      <w:lvlText w:val="%1"/>
      <w:numFmt w:val="decimal"/>
      <w:start w:val="31"/>
    </w:lvl>
  </w:abstractNum>
  <w:abstractNum w:abstractNumId="15">
    <w:nsid w:val="431BD7B7"/>
    <w:multiLevelType w:val="hybridMultilevel"/>
    <w:lvl w:ilvl="0">
      <w:lvlJc w:val="left"/>
      <w:lvlText w:val="%1"/>
      <w:numFmt w:val="decimal"/>
      <w:start w:val="32"/>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7" Type="http://schemas.openxmlformats.org/officeDocument/2006/relationships/image" Target="media/image372.png"/><Relationship Id="rId388" Type="http://schemas.openxmlformats.org/officeDocument/2006/relationships/image" Target="media/image373.png"/><Relationship Id="rId389" Type="http://schemas.openxmlformats.org/officeDocument/2006/relationships/image" Target="media/image374.png"/><Relationship Id="rId390" Type="http://schemas.openxmlformats.org/officeDocument/2006/relationships/image" Target="media/image375.png"/><Relationship Id="rId391" Type="http://schemas.openxmlformats.org/officeDocument/2006/relationships/image" Target="media/image376.png"/><Relationship Id="rId392" Type="http://schemas.openxmlformats.org/officeDocument/2006/relationships/image" Target="media/image377.png"/><Relationship Id="rId393" Type="http://schemas.openxmlformats.org/officeDocument/2006/relationships/image" Target="media/image378.png"/><Relationship Id="rId394" Type="http://schemas.openxmlformats.org/officeDocument/2006/relationships/image" Target="media/image379.png"/><Relationship Id="rId395" Type="http://schemas.openxmlformats.org/officeDocument/2006/relationships/image" Target="media/image380.png"/><Relationship Id="rId396" Type="http://schemas.openxmlformats.org/officeDocument/2006/relationships/image" Target="media/image381.png"/><Relationship Id="rId397" Type="http://schemas.openxmlformats.org/officeDocument/2006/relationships/image" Target="media/image382.png"/><Relationship Id="rId398" Type="http://schemas.openxmlformats.org/officeDocument/2006/relationships/image" Target="media/image383.png"/><Relationship Id="rId399" Type="http://schemas.openxmlformats.org/officeDocument/2006/relationships/image" Target="media/image384.png"/><Relationship Id="rId400" Type="http://schemas.openxmlformats.org/officeDocument/2006/relationships/image" Target="media/image385.png"/><Relationship Id="rId403" Type="http://schemas.openxmlformats.org/officeDocument/2006/relationships/image" Target="media/image386.png"/><Relationship Id="rId404" Type="http://schemas.openxmlformats.org/officeDocument/2006/relationships/image" Target="media/image387.png"/><Relationship Id="rId405" Type="http://schemas.openxmlformats.org/officeDocument/2006/relationships/image" Target="media/image388.png"/><Relationship Id="rId406" Type="http://schemas.openxmlformats.org/officeDocument/2006/relationships/image" Target="media/image389.png"/><Relationship Id="rId407" Type="http://schemas.openxmlformats.org/officeDocument/2006/relationships/image" Target="media/image390.png"/><Relationship Id="rId408" Type="http://schemas.openxmlformats.org/officeDocument/2006/relationships/image" Target="media/image391.png"/><Relationship Id="rId409" Type="http://schemas.openxmlformats.org/officeDocument/2006/relationships/image" Target="media/image392.png"/><Relationship Id="rId410" Type="http://schemas.openxmlformats.org/officeDocument/2006/relationships/image" Target="media/image393.png"/><Relationship Id="rId411" Type="http://schemas.openxmlformats.org/officeDocument/2006/relationships/image" Target="media/image394.png"/><Relationship Id="rId412" Type="http://schemas.openxmlformats.org/officeDocument/2006/relationships/image" Target="media/image395.png"/><Relationship Id="rId413" Type="http://schemas.openxmlformats.org/officeDocument/2006/relationships/image" Target="media/image396.png"/><Relationship Id="rId414" Type="http://schemas.openxmlformats.org/officeDocument/2006/relationships/image" Target="media/image397.png"/><Relationship Id="rId415" Type="http://schemas.openxmlformats.org/officeDocument/2006/relationships/image" Target="media/image398.png"/><Relationship Id="rId416" Type="http://schemas.openxmlformats.org/officeDocument/2006/relationships/image" Target="media/image399.png"/><Relationship Id="rId417" Type="http://schemas.openxmlformats.org/officeDocument/2006/relationships/image" Target="media/image400.png"/><Relationship Id="rId418" Type="http://schemas.openxmlformats.org/officeDocument/2006/relationships/image" Target="media/image401.png"/><Relationship Id="rId419" Type="http://schemas.openxmlformats.org/officeDocument/2006/relationships/image" Target="media/image402.png"/><Relationship Id="rId420" Type="http://schemas.openxmlformats.org/officeDocument/2006/relationships/image" Target="media/image403.png"/><Relationship Id="rId421" Type="http://schemas.openxmlformats.org/officeDocument/2006/relationships/image" Target="media/image404.png"/><Relationship Id="rId422" Type="http://schemas.openxmlformats.org/officeDocument/2006/relationships/image" Target="media/image405.png"/><Relationship Id="rId423" Type="http://schemas.openxmlformats.org/officeDocument/2006/relationships/image" Target="media/image406.png"/><Relationship Id="rId377" Type="http://schemas.openxmlformats.org/officeDocument/2006/relationships/hyperlink" Target="https://www.sec.gov/Archives/edgar/data/42582/000119312522106881/d284901dex101.htm" TargetMode="External"/><Relationship Id="rId378" Type="http://schemas.openxmlformats.org/officeDocument/2006/relationships/hyperlink" Target="https://www.sec.gov/Archives/edgar/data/42582/000119312522171605/d373071dex101.htm" TargetMode="External"/><Relationship Id="rId379" Type="http://schemas.openxmlformats.org/officeDocument/2006/relationships/hyperlink" Target="https://www.sec.gov/Archives/edgar/data/42582/000119312522171605/d373071dex102.htm" TargetMode="External"/><Relationship Id="rId380" Type="http://schemas.openxmlformats.org/officeDocument/2006/relationships/hyperlink" Target="https://www.sec.gov/Archives/edgar/data/42582/000119312522171605/d373071dex103.htm" TargetMode="External"/><Relationship Id="rId381" Type="http://schemas.openxmlformats.org/officeDocument/2006/relationships/hyperlink" Target="https://www.sec.gov/Archives/edgar/data/42582/000119312522171605/d373071dex104.htm" TargetMode="External"/><Relationship Id="rId382" Type="http://schemas.openxmlformats.org/officeDocument/2006/relationships/hyperlink" Target="https://www.sec.gov/Archives/edgar/data/42582/000119312522171605/d373071dex105.htm" TargetMode="External"/><Relationship Id="rId383" Type="http://schemas.openxmlformats.org/officeDocument/2006/relationships/hyperlink" Target="https://www.sec.gov/Archives/edgar/data/42582/000119312522171605/d373071dex106.htm" TargetMode="External"/><Relationship Id="rId384" Type="http://schemas.openxmlformats.org/officeDocument/2006/relationships/hyperlink" Target="https://www.sec.gov/Archives/edgar/data/42582/000119312522171605/d373071dex107.htm" TargetMode="External"/><Relationship Id="rId401" Type="http://schemas.openxmlformats.org/officeDocument/2006/relationships/hyperlink" Target="https://www.sec.gov/Archives/edgar/data/42582/000119312522171605/d373071dex108.htm" TargetMode="External"/><Relationship Id="rId402" Type="http://schemas.openxmlformats.org/officeDocument/2006/relationships/hyperlink" Target="https://www.sec.gov/Archives/edgar/data/42582/000119312522171605/d373071d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2022-08-05T08:54:42Z</dcterms:created>
  <dcterms:modified xsi:type="dcterms:W3CDTF">2022-08-05T08:54:42Z</dcterms:modified>
</cp:coreProperties>
</file>