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8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PURSUANT TO SECTION 13 OR 15(d)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3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2022</w:t>
      </w:r>
    </w:p>
    <w:p>
      <w:pPr>
        <w:spacing w:after="0" w:line="5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Commission File Number: 1-1927</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THE GOODYEAR TIRE &amp; RUBBER COMPANY</w:t>
      </w:r>
    </w:p>
    <w:p>
      <w:pPr>
        <w:spacing w:after="0" w:line="30" w:lineRule="exact"/>
        <w:rPr>
          <w:sz w:val="24"/>
          <w:szCs w:val="24"/>
          <w:color w:val="auto"/>
        </w:rPr>
      </w:pPr>
    </w:p>
    <w:tbl>
      <w:tblPr>
        <w:tblLayout w:type="fixed"/>
        <w:tblInd w:w="1560" w:type="dxa"/>
        <w:tblCellMar>
          <w:top w:w="0" w:type="dxa"/>
          <w:left w:w="0" w:type="dxa"/>
          <w:bottom w:w="0" w:type="dxa"/>
          <w:right w:w="0" w:type="dxa"/>
        </w:tblCellMar>
      </w:tblPr>
      <w:tr>
        <w:trPr>
          <w:trHeight w:val="188"/>
        </w:trPr>
        <w:tc>
          <w:tcPr>
            <w:tcW w:w="2460" w:type="dxa"/>
            <w:vAlign w:val="bottom"/>
          </w:tcPr>
          <w:p>
            <w:pPr>
              <w:spacing w:after="0"/>
              <w:rPr>
                <w:sz w:val="16"/>
                <w:szCs w:val="16"/>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360"/>
        </w:trPr>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Ohio</w:t>
            </w:r>
          </w:p>
        </w:tc>
        <w:tc>
          <w:tcPr>
            <w:tcW w:w="5000" w:type="dxa"/>
            <w:vAlign w:val="bottom"/>
          </w:tcPr>
          <w:p>
            <w:pPr>
              <w:jc w:val="center"/>
              <w:ind w:left="3808"/>
              <w:spacing w:after="0"/>
              <w:rPr>
                <w:sz w:val="20"/>
                <w:szCs w:val="20"/>
                <w:color w:val="auto"/>
              </w:rPr>
            </w:pPr>
            <w:r>
              <w:rPr>
                <w:rFonts w:ascii="Times New Roman" w:cs="Times New Roman" w:eastAsia="Times New Roman" w:hAnsi="Times New Roman"/>
                <w:sz w:val="14"/>
                <w:szCs w:val="14"/>
                <w:b w:val="1"/>
                <w:bCs w:val="1"/>
                <w:color w:val="auto"/>
              </w:rPr>
              <w:t>34-0253240</w:t>
            </w:r>
          </w:p>
        </w:tc>
      </w:tr>
      <w:tr>
        <w:trPr>
          <w:trHeight w:val="163"/>
        </w:trPr>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000" w:type="dxa"/>
            <w:vAlign w:val="bottom"/>
          </w:tcPr>
          <w:p>
            <w:pPr>
              <w:jc w:val="center"/>
              <w:ind w:left="380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8"/>
        </w:trPr>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000" w:type="dxa"/>
            <w:vAlign w:val="bottom"/>
          </w:tcPr>
          <w:p>
            <w:pPr>
              <w:jc w:val="center"/>
              <w:ind w:left="380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3"/>
        </w:trPr>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200 Innovation Way, Akron, Ohio</w:t>
            </w:r>
          </w:p>
        </w:tc>
        <w:tc>
          <w:tcPr>
            <w:tcW w:w="5000" w:type="dxa"/>
            <w:vAlign w:val="bottom"/>
          </w:tcPr>
          <w:p>
            <w:pPr>
              <w:jc w:val="center"/>
              <w:ind w:left="3808"/>
              <w:spacing w:after="0"/>
              <w:rPr>
                <w:sz w:val="20"/>
                <w:szCs w:val="20"/>
                <w:color w:val="auto"/>
              </w:rPr>
            </w:pPr>
            <w:r>
              <w:rPr>
                <w:rFonts w:ascii="Times New Roman" w:cs="Times New Roman" w:eastAsia="Times New Roman" w:hAnsi="Times New Roman"/>
                <w:sz w:val="14"/>
                <w:szCs w:val="14"/>
                <w:b w:val="1"/>
                <w:bCs w:val="1"/>
                <w:color w:val="auto"/>
              </w:rPr>
              <w:t>44316-0001</w:t>
            </w:r>
          </w:p>
        </w:tc>
      </w:tr>
      <w:tr>
        <w:trPr>
          <w:trHeight w:val="202"/>
        </w:trPr>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000" w:type="dxa"/>
            <w:vAlign w:val="bottom"/>
          </w:tcPr>
          <w:p>
            <w:pPr>
              <w:jc w:val="center"/>
              <w:ind w:left="3808"/>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4"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(330) 796-2121</w:t>
      </w:r>
    </w:p>
    <w:p>
      <w:pPr>
        <w:spacing w:after="0" w:line="27"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4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Title of Each Class</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center"/>
              <w:ind w:right="191"/>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140" w:type="dxa"/>
            <w:vAlign w:val="bottom"/>
            <w:tcBorders>
              <w:bottom w:val="single" w:sz="8" w:color="auto"/>
            </w:tcBorders>
          </w:tcPr>
          <w:p>
            <w:pPr>
              <w:jc w:val="center"/>
              <w:ind w:right="297"/>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73"/>
        </w:trPr>
        <w:tc>
          <w:tcPr>
            <w:tcW w:w="4900" w:type="dxa"/>
            <w:vAlign w:val="bottom"/>
            <w:gridSpan w:val="4"/>
          </w:tcPr>
          <w:p>
            <w:pPr>
              <w:jc w:val="center"/>
              <w:ind w:right="380"/>
              <w:spacing w:after="0"/>
              <w:rPr>
                <w:sz w:val="20"/>
                <w:szCs w:val="20"/>
                <w:color w:val="auto"/>
              </w:rPr>
            </w:pPr>
            <w:r>
              <w:rPr>
                <w:rFonts w:ascii="Times New Roman" w:cs="Times New Roman" w:eastAsia="Times New Roman" w:hAnsi="Times New Roman"/>
                <w:sz w:val="13"/>
                <w:szCs w:val="13"/>
                <w:color w:val="auto"/>
                <w:w w:val="94"/>
              </w:rPr>
              <w:t>Common Stock, Without Par Value</w:t>
            </w:r>
          </w:p>
        </w:tc>
        <w:tc>
          <w:tcPr>
            <w:tcW w:w="500" w:type="dxa"/>
            <w:vAlign w:val="bottom"/>
          </w:tcPr>
          <w:p>
            <w:pPr>
              <w:spacing w:after="0"/>
              <w:rPr>
                <w:sz w:val="15"/>
                <w:szCs w:val="15"/>
                <w:color w:val="auto"/>
              </w:rPr>
            </w:pPr>
          </w:p>
        </w:tc>
        <w:tc>
          <w:tcPr>
            <w:tcW w:w="1240" w:type="dxa"/>
            <w:vAlign w:val="bottom"/>
          </w:tcPr>
          <w:p>
            <w:pPr>
              <w:jc w:val="center"/>
              <w:ind w:right="691"/>
              <w:spacing w:after="0"/>
              <w:rPr>
                <w:sz w:val="20"/>
                <w:szCs w:val="20"/>
                <w:color w:val="auto"/>
              </w:rPr>
            </w:pPr>
            <w:r>
              <w:rPr>
                <w:rFonts w:ascii="Times New Roman" w:cs="Times New Roman" w:eastAsia="Times New Roman" w:hAnsi="Times New Roman"/>
                <w:sz w:val="13"/>
                <w:szCs w:val="13"/>
                <w:color w:val="auto"/>
                <w:w w:val="92"/>
              </w:rPr>
              <w:t>GT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140" w:type="dxa"/>
            <w:vAlign w:val="bottom"/>
          </w:tcPr>
          <w:p>
            <w:pPr>
              <w:jc w:val="center"/>
              <w:ind w:right="297"/>
              <w:spacing w:after="0"/>
              <w:rPr>
                <w:sz w:val="20"/>
                <w:szCs w:val="20"/>
                <w:color w:val="auto"/>
              </w:rPr>
            </w:pPr>
            <w:r>
              <w:rPr>
                <w:rFonts w:ascii="Times New Roman" w:cs="Times New Roman" w:eastAsia="Times New Roman" w:hAnsi="Times New Roman"/>
                <w:sz w:val="13"/>
                <w:szCs w:val="13"/>
                <w:color w:val="auto"/>
                <w:w w:val="96"/>
              </w:rPr>
              <w:t>The Nasdaq Stock Market LLC</w:t>
            </w:r>
          </w:p>
        </w:tc>
      </w:tr>
      <w:tr>
        <w:trPr>
          <w:trHeight w:val="355"/>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r>
      <w:tr>
        <w:trPr>
          <w:trHeight w:val="202"/>
        </w:trPr>
        <w:tc>
          <w:tcPr>
            <w:tcW w:w="4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40" w:type="dxa"/>
            <w:vAlign w:val="bottom"/>
          </w:tcPr>
          <w:p>
            <w:pPr>
              <w:jc w:val="center"/>
              <w:ind w:right="691"/>
              <w:spacing w:after="0"/>
              <w:rPr>
                <w:sz w:val="20"/>
                <w:szCs w:val="20"/>
                <w:color w:val="auto"/>
              </w:rPr>
            </w:pPr>
            <w:r>
              <w:rPr>
                <w:rFonts w:ascii="Times New Roman" w:cs="Times New Roman" w:eastAsia="Times New Roman" w:hAnsi="Times New Roman"/>
                <w:sz w:val="14"/>
                <w:szCs w:val="14"/>
                <w:color w:val="auto"/>
              </w:rPr>
              <w:t>None</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140" w:type="dxa"/>
            <w:vAlign w:val="bottom"/>
          </w:tcPr>
          <w:p>
            <w:pPr>
              <w:spacing w:after="0"/>
              <w:rPr>
                <w:sz w:val="17"/>
                <w:szCs w:val="17"/>
                <w:color w:val="auto"/>
              </w:rPr>
            </w:pPr>
          </w:p>
        </w:tc>
      </w:tr>
      <w:tr>
        <w:trPr>
          <w:trHeight w:val="160"/>
        </w:trPr>
        <w:tc>
          <w:tcPr>
            <w:tcW w:w="4180" w:type="dxa"/>
            <w:vAlign w:val="bottom"/>
          </w:tcPr>
          <w:p>
            <w:pPr>
              <w:spacing w:after="0"/>
              <w:rPr>
                <w:sz w:val="13"/>
                <w:szCs w:val="13"/>
                <w:color w:val="auto"/>
              </w:rPr>
            </w:pPr>
          </w:p>
        </w:tc>
        <w:tc>
          <w:tcPr>
            <w:tcW w:w="2920" w:type="dxa"/>
            <w:vAlign w:val="bottom"/>
            <w:tcBorders>
              <w:bottom w:val="single" w:sz="8" w:color="auto"/>
            </w:tcBorders>
            <w:gridSpan w:val="7"/>
          </w:tcPr>
          <w:p>
            <w:pPr>
              <w:spacing w:after="0"/>
              <w:rPr>
                <w:sz w:val="13"/>
                <w:szCs w:val="13"/>
                <w:color w:val="auto"/>
              </w:rPr>
            </w:pPr>
          </w:p>
        </w:tc>
        <w:tc>
          <w:tcPr>
            <w:tcW w:w="4140" w:type="dxa"/>
            <w:vAlign w:val="bottom"/>
          </w:tcPr>
          <w:p>
            <w:pPr>
              <w:spacing w:after="0"/>
              <w:rPr>
                <w:sz w:val="13"/>
                <w:szCs w:val="13"/>
                <w:color w:val="auto"/>
              </w:rPr>
            </w:pPr>
          </w:p>
        </w:tc>
      </w:tr>
      <w:tr>
        <w:trPr>
          <w:trHeight w:val="177"/>
        </w:trPr>
        <w:tc>
          <w:tcPr>
            <w:tcW w:w="112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r>
      <w:tr>
        <w:trPr>
          <w:trHeight w:val="225"/>
        </w:trPr>
        <w:tc>
          <w:tcPr>
            <w:tcW w:w="4180" w:type="dxa"/>
            <w:vAlign w:val="bottom"/>
          </w:tcPr>
          <w:p>
            <w:pPr>
              <w:spacing w:after="0"/>
              <w:rPr>
                <w:sz w:val="19"/>
                <w:szCs w:val="19"/>
                <w:color w:val="auto"/>
              </w:rPr>
            </w:pPr>
          </w:p>
        </w:tc>
        <w:tc>
          <w:tcPr>
            <w:tcW w:w="7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Yes</w:t>
            </w:r>
          </w:p>
        </w:tc>
        <w:tc>
          <w:tcPr>
            <w:tcW w:w="50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12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No</w:t>
            </w:r>
          </w:p>
        </w:tc>
        <w:tc>
          <w:tcPr>
            <w:tcW w:w="4600" w:type="dxa"/>
            <w:vAlign w:val="bottom"/>
            <w:gridSpan w:val="3"/>
          </w:tcPr>
          <w:p>
            <w:pPr>
              <w:ind w:left="2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2650490</wp:posOffset>
            </wp:positionH>
            <wp:positionV relativeFrom="paragraph">
              <wp:posOffset>91440</wp:posOffset>
            </wp:positionV>
            <wp:extent cx="18497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49755" cy="8255"/>
                    </a:xfrm>
                    <a:prstGeom prst="rect">
                      <a:avLst/>
                    </a:prstGeom>
                    <a:noFill/>
                  </pic:spPr>
                </pic:pic>
              </a:graphicData>
            </a:graphic>
          </wp:anchor>
        </w:drawing>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25" w:lineRule="exact"/>
        <w:rPr>
          <w:sz w:val="24"/>
          <w:szCs w:val="24"/>
          <w:color w:val="auto"/>
        </w:rPr>
      </w:pPr>
    </w:p>
    <w:p>
      <w:pPr>
        <w:ind w:left="4440"/>
        <w:spacing w:after="0" w:line="161" w:lineRule="exact"/>
        <w:tabs>
          <w:tab w:leader="none" w:pos="5180" w:val="left"/>
          <w:tab w:leader="none" w:pos="5880" w:val="left"/>
          <w:tab w:leader="none" w:pos="664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2650490</wp:posOffset>
            </wp:positionH>
            <wp:positionV relativeFrom="paragraph">
              <wp:posOffset>119380</wp:posOffset>
            </wp:positionV>
            <wp:extent cx="18497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49755" cy="8255"/>
                    </a:xfrm>
                    <a:prstGeom prst="rect">
                      <a:avLst/>
                    </a:prstGeom>
                    <a:noFill/>
                  </pic:spPr>
                </pic:pic>
              </a:graphicData>
            </a:graphic>
          </wp:anchor>
        </w:drawing>
      </w:r>
    </w:p>
    <w:p>
      <w:pPr>
        <w:spacing w:after="0" w:line="213" w:lineRule="exact"/>
        <w:rPr>
          <w:sz w:val="24"/>
          <w:szCs w:val="24"/>
          <w:color w:val="auto"/>
        </w:rPr>
      </w:pPr>
    </w:p>
    <w:p>
      <w:pPr>
        <w:jc w:val="both"/>
        <w:ind w:right="20"/>
        <w:spacing w:after="0" w:line="24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440"/>
        <w:spacing w:after="0" w:line="161" w:lineRule="exact"/>
        <w:tabs>
          <w:tab w:leader="none" w:pos="5180" w:val="left"/>
          <w:tab w:leader="none" w:pos="5880" w:val="left"/>
          <w:tab w:leader="none" w:pos="664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2650490</wp:posOffset>
            </wp:positionH>
            <wp:positionV relativeFrom="paragraph">
              <wp:posOffset>119380</wp:posOffset>
            </wp:positionV>
            <wp:extent cx="1849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49755" cy="8255"/>
                    </a:xfrm>
                    <a:prstGeom prst="rect">
                      <a:avLst/>
                    </a:prstGeom>
                    <a:noFill/>
                  </pic:spPr>
                </pic:pic>
              </a:graphicData>
            </a:graphic>
          </wp:anchor>
        </w:drawing>
      </w:r>
    </w:p>
    <w:p>
      <w:pPr>
        <w:spacing w:after="0" w:line="226" w:lineRule="exact"/>
        <w:rPr>
          <w:sz w:val="24"/>
          <w:szCs w:val="24"/>
          <w:color w:val="auto"/>
        </w:rPr>
      </w:pPr>
    </w:p>
    <w:p>
      <w:pPr>
        <w:jc w:val="both"/>
        <w:ind w:right="20"/>
        <w:spacing w:after="0" w:line="249"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ind w:left="4440"/>
        <w:spacing w:after="0" w:line="161" w:lineRule="exact"/>
        <w:tabs>
          <w:tab w:leader="none" w:pos="5180" w:val="left"/>
          <w:tab w:leader="none" w:pos="5880" w:val="left"/>
          <w:tab w:leader="none" w:pos="664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2650490</wp:posOffset>
            </wp:positionH>
            <wp:positionV relativeFrom="paragraph">
              <wp:posOffset>119380</wp:posOffset>
            </wp:positionV>
            <wp:extent cx="18497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49755" cy="8255"/>
                    </a:xfrm>
                    <a:prstGeom prst="rect">
                      <a:avLst/>
                    </a:prstGeom>
                    <a:noFill/>
                  </pic:spPr>
                </pic:pic>
              </a:graphicData>
            </a:graphic>
          </wp:anchor>
        </w:drawing>
      </w:r>
    </w:p>
    <w:p>
      <w:pPr>
        <w:spacing w:after="0" w:line="226" w:lineRule="exact"/>
        <w:rPr>
          <w:sz w:val="24"/>
          <w:szCs w:val="24"/>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ind w:left="280"/>
        <w:spacing w:after="0" w:line="161" w:lineRule="exact"/>
        <w:tabs>
          <w:tab w:leader="none" w:pos="1980" w:val="left"/>
          <w:tab w:leader="none" w:pos="2780" w:val="left"/>
          <w:tab w:leader="none" w:pos="4260" w:val="left"/>
          <w:tab w:leader="none" w:pos="4880" w:val="left"/>
          <w:tab w:leader="none" w:pos="6460" w:val="left"/>
          <w:tab w:leader="none" w:pos="6980" w:val="left"/>
          <w:tab w:leader="none" w:pos="8900" w:val="left"/>
          <w:tab w:leader="none" w:pos="9280" w:val="left"/>
          <w:tab w:leader="none" w:pos="1104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06" w:lineRule="exact"/>
        <w:rPr>
          <w:sz w:val="24"/>
          <w:szCs w:val="24"/>
          <w:color w:val="auto"/>
        </w:rPr>
      </w:pPr>
    </w:p>
    <w:p>
      <w:pPr>
        <w:jc w:val="both"/>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4" w:lineRule="exact"/>
        <w:rPr>
          <w:sz w:val="24"/>
          <w:szCs w:val="24"/>
          <w:color w:val="auto"/>
        </w:rPr>
      </w:pPr>
    </w:p>
    <w:p>
      <w:pPr>
        <w:jc w:val="both"/>
        <w:ind w:right="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4" w:lineRule="exact"/>
        <w:rPr>
          <w:sz w:val="24"/>
          <w:szCs w:val="24"/>
          <w:color w:val="auto"/>
        </w:rPr>
      </w:pPr>
    </w:p>
    <w:p>
      <w:pPr>
        <w:jc w:val="both"/>
        <w:spacing w:after="0" w:line="18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54" w:lineRule="exact"/>
        <w:rPr>
          <w:sz w:val="24"/>
          <w:szCs w:val="24"/>
          <w:color w:val="auto"/>
        </w:rPr>
      </w:pPr>
    </w:p>
    <w:p>
      <w:pPr>
        <w:jc w:val="both"/>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r>
    </w:p>
    <w:p>
      <w:pPr>
        <w:spacing w:after="0" w:line="31" w:lineRule="exact"/>
        <w:rPr>
          <w:sz w:val="24"/>
          <w:szCs w:val="24"/>
          <w:color w:val="auto"/>
        </w:rPr>
      </w:pPr>
    </w:p>
    <w:p>
      <w:pPr>
        <w:ind w:left="4440"/>
        <w:spacing w:after="0" w:line="161" w:lineRule="exact"/>
        <w:tabs>
          <w:tab w:leader="none" w:pos="5180" w:val="left"/>
          <w:tab w:leader="none" w:pos="5880" w:val="left"/>
          <w:tab w:leader="none" w:pos="664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2650490</wp:posOffset>
            </wp:positionH>
            <wp:positionV relativeFrom="paragraph">
              <wp:posOffset>132715</wp:posOffset>
            </wp:positionV>
            <wp:extent cx="1849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49755" cy="8255"/>
                    </a:xfrm>
                    <a:prstGeom prst="rect">
                      <a:avLst/>
                    </a:prstGeom>
                    <a:noFill/>
                  </pic:spPr>
                </pic:pic>
              </a:graphicData>
            </a:graphic>
          </wp:anchor>
        </w:drawing>
      </w:r>
    </w:p>
    <w:p>
      <w:pPr>
        <w:spacing w:after="0" w:line="301" w:lineRule="exact"/>
        <w:rPr>
          <w:sz w:val="24"/>
          <w:szCs w:val="24"/>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The aggregate market value of the common stock held by nonaffiliates of the registrant, computed by reference to the last sales price of such common stock as of the closing of trading on June 30, 2022, was approximately $3.0 billion.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Shares of Common Stock, Without Par Value, outstanding at January 31, 2023:</w:t>
      </w:r>
    </w:p>
    <w:p>
      <w:pPr>
        <w:spacing w:after="0" w:line="5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283,011,055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2650490</wp:posOffset>
            </wp:positionH>
            <wp:positionV relativeFrom="paragraph">
              <wp:posOffset>117475</wp:posOffset>
            </wp:positionV>
            <wp:extent cx="18580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58010" cy="8255"/>
                    </a:xfrm>
                    <a:prstGeom prst="rect">
                      <a:avLst/>
                    </a:prstGeom>
                    <a:noFill/>
                  </pic:spPr>
                </pic:pic>
              </a:graphicData>
            </a:graphic>
          </wp:anchor>
        </w:drawing>
      </w: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Portions of the Company’s Proxy Statement for the Annual Meeting of Shareholders to be held on April 10, 2023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160" w:type="dxa"/>
            <w:vAlign w:val="bottom"/>
            <w:gridSpan w:val="18"/>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9"/>
              </w:rPr>
              <w:t>THE GOODYEAR TIRE &amp; RUBBER COMPANY</w:t>
            </w:r>
          </w:p>
        </w:tc>
        <w:tc>
          <w:tcPr>
            <w:tcW w:w="1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160" w:type="dxa"/>
            <w:vAlign w:val="bottom"/>
            <w:gridSpan w:val="16"/>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1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20" w:type="dxa"/>
            <w:vAlign w:val="bottom"/>
            <w:gridSpan w:val="17"/>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tc>
        <w:tc>
          <w:tcPr>
            <w:tcW w:w="1100" w:type="dxa"/>
            <w:vAlign w:val="bottom"/>
          </w:tcPr>
          <w:p>
            <w:pPr>
              <w:spacing w:after="0"/>
              <w:rPr>
                <w:sz w:val="18"/>
                <w:szCs w:val="18"/>
                <w:color w:val="auto"/>
              </w:rPr>
            </w:pPr>
          </w:p>
        </w:tc>
      </w:tr>
      <w:tr>
        <w:trPr>
          <w:trHeight w:val="238"/>
        </w:trPr>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20" w:type="dxa"/>
            <w:vAlign w:val="bottom"/>
            <w:gridSpan w:val="15"/>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100" w:type="dxa"/>
            <w:vAlign w:val="bottom"/>
          </w:tcPr>
          <w:p>
            <w:pPr>
              <w:spacing w:after="0"/>
              <w:rPr>
                <w:sz w:val="20"/>
                <w:szCs w:val="20"/>
                <w:color w:val="auto"/>
              </w:rPr>
            </w:pPr>
          </w:p>
        </w:tc>
      </w:tr>
      <w:tr>
        <w:trPr>
          <w:trHeight w:val="317"/>
        </w:trPr>
        <w:tc>
          <w:tcPr>
            <w:tcW w:w="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Item Number</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Page Number</w:t>
            </w:r>
          </w:p>
        </w:tc>
      </w:tr>
      <w:tr>
        <w:trPr>
          <w:trHeight w:val="189"/>
        </w:trPr>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b w:val="1"/>
                <w:bCs w:val="1"/>
                <w:color w:val="0000FF"/>
              </w:rPr>
              <w:t>PART I</w:t>
            </w:r>
          </w:p>
        </w:tc>
        <w:tc>
          <w:tcPr>
            <w:tcW w:w="4240" w:type="dxa"/>
            <w:vAlign w:val="bottom"/>
            <w:gridSpan w:val="9"/>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1</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4"/>
              </w:rPr>
              <w:t>Business</w:t>
            </w:r>
          </w:p>
        </w:tc>
        <w:tc>
          <w:tcPr>
            <w:tcW w:w="20" w:type="dxa"/>
            <w:vAlign w:val="bottom"/>
            <w:tcBorders>
              <w:bottom w:val="single" w:sz="8" w:color="0000EE"/>
            </w:tcBorders>
          </w:tcPr>
          <w:p>
            <w:pPr>
              <w:spacing w:after="0"/>
              <w:rPr>
                <w:sz w:val="20"/>
                <w:szCs w:val="20"/>
                <w:color w:val="auto"/>
              </w:rPr>
            </w:pPr>
          </w:p>
        </w:tc>
        <w:tc>
          <w:tcPr>
            <w:tcW w:w="8400" w:type="dxa"/>
            <w:vAlign w:val="bottom"/>
            <w:gridSpan w:val="30"/>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6"/>
        </w:trPr>
        <w:tc>
          <w:tcPr>
            <w:tcW w:w="6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1A</w:t>
            </w:r>
          </w:p>
        </w:tc>
        <w:tc>
          <w:tcPr>
            <w:tcW w:w="40" w:type="dxa"/>
            <w:vAlign w:val="bottom"/>
          </w:tcPr>
          <w:p>
            <w:pPr>
              <w:spacing w:after="0"/>
              <w:rPr>
                <w:sz w:val="20"/>
                <w:szCs w:val="20"/>
                <w:color w:val="auto"/>
              </w:rPr>
            </w:pPr>
          </w:p>
        </w:tc>
        <w:tc>
          <w:tcPr>
            <w:tcW w:w="8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6"/>
              </w:rPr>
              <w:t>Risk Factors</w:t>
            </w:r>
          </w:p>
        </w:tc>
        <w:tc>
          <w:tcPr>
            <w:tcW w:w="20" w:type="dxa"/>
            <w:vAlign w:val="bottom"/>
            <w:tcBorders>
              <w:bottom w:val="single" w:sz="8" w:color="0000EE"/>
            </w:tcBorders>
          </w:tcPr>
          <w:p>
            <w:pPr>
              <w:spacing w:after="0"/>
              <w:rPr>
                <w:sz w:val="20"/>
                <w:szCs w:val="20"/>
                <w:color w:val="auto"/>
              </w:rPr>
            </w:pPr>
          </w:p>
        </w:tc>
        <w:tc>
          <w:tcPr>
            <w:tcW w:w="8160" w:type="dxa"/>
            <w:vAlign w:val="bottom"/>
            <w:gridSpan w:val="27"/>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36"/>
        </w:trPr>
        <w:tc>
          <w:tcPr>
            <w:tcW w:w="6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1B</w:t>
            </w:r>
          </w:p>
        </w:tc>
        <w:tc>
          <w:tcPr>
            <w:tcW w:w="40" w:type="dxa"/>
            <w:vAlign w:val="bottom"/>
          </w:tcPr>
          <w:p>
            <w:pPr>
              <w:spacing w:after="0"/>
              <w:rPr>
                <w:sz w:val="20"/>
                <w:szCs w:val="20"/>
                <w:color w:val="auto"/>
              </w:rPr>
            </w:pPr>
          </w:p>
        </w:tc>
        <w:tc>
          <w:tcPr>
            <w:tcW w:w="8980" w:type="dxa"/>
            <w:vAlign w:val="bottom"/>
            <w:gridSpan w:val="32"/>
          </w:tcPr>
          <w:p>
            <w:pPr>
              <w:spacing w:after="0"/>
              <w:rPr>
                <w:sz w:val="20"/>
                <w:szCs w:val="20"/>
                <w:color w:val="auto"/>
              </w:rPr>
            </w:pPr>
            <w:r>
              <w:rPr>
                <w:rFonts w:ascii="Times New Roman" w:cs="Times New Roman" w:eastAsia="Times New Roman" w:hAnsi="Times New Roman"/>
                <w:sz w:val="16"/>
                <w:szCs w:val="16"/>
                <w:color w:val="0000FF"/>
              </w:rPr>
              <w:t>Unresolved Staff Comments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36"/>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2</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5"/>
              </w:rPr>
              <w:t>Properties</w:t>
            </w:r>
          </w:p>
        </w:tc>
        <w:tc>
          <w:tcPr>
            <w:tcW w:w="1180" w:type="dxa"/>
            <w:vAlign w:val="bottom"/>
            <w:tcBorders>
              <w:top w:val="single" w:sz="8" w:color="0000FF"/>
            </w:tcBorders>
            <w:gridSpan w:val="11"/>
          </w:tcPr>
          <w:p>
            <w:pPr>
              <w:spacing w:after="0"/>
              <w:rPr>
                <w:sz w:val="20"/>
                <w:szCs w:val="20"/>
                <w:color w:val="auto"/>
              </w:rPr>
            </w:pPr>
          </w:p>
        </w:tc>
        <w:tc>
          <w:tcPr>
            <w:tcW w:w="7160" w:type="dxa"/>
            <w:vAlign w:val="bottom"/>
            <w:gridSpan w:val="18"/>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36"/>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3</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980" w:type="dxa"/>
            <w:vAlign w:val="bottom"/>
            <w:gridSpan w:val="32"/>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411"/>
        </w:trPr>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0" w:type="dxa"/>
            <w:vAlign w:val="bottom"/>
            <w:gridSpan w:val="11"/>
          </w:tcPr>
          <w:p>
            <w:pPr>
              <w:jc w:val="center"/>
              <w:ind w:right="4220"/>
              <w:spacing w:after="0"/>
              <w:rPr>
                <w:sz w:val="20"/>
                <w:szCs w:val="20"/>
                <w:color w:val="auto"/>
              </w:rPr>
            </w:pPr>
            <w:r>
              <w:rPr>
                <w:rFonts w:ascii="Times New Roman" w:cs="Times New Roman" w:eastAsia="Times New Roman" w:hAnsi="Times New Roman"/>
                <w:sz w:val="16"/>
                <w:szCs w:val="16"/>
                <w:b w:val="1"/>
                <w:bCs w:val="1"/>
                <w:color w:val="0000FF"/>
                <w:w w:val="96"/>
              </w:rPr>
              <w:t>PART II</w:t>
            </w:r>
          </w:p>
        </w:tc>
        <w:tc>
          <w:tcPr>
            <w:tcW w:w="110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6"/>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5</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980" w:type="dxa"/>
            <w:vAlign w:val="bottom"/>
            <w:gridSpan w:val="32"/>
          </w:tcPr>
          <w:p>
            <w:pPr>
              <w:spacing w:after="0"/>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 Purchases of Equity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36"/>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7</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40" w:type="dxa"/>
            <w:vAlign w:val="bottom"/>
            <w:tcBorders>
              <w:top w:val="single" w:sz="8" w:color="0000FF"/>
            </w:tcBorders>
            <w:gridSpan w:val="31"/>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7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36"/>
        </w:trPr>
        <w:tc>
          <w:tcPr>
            <w:tcW w:w="6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7A</w:t>
            </w:r>
          </w:p>
        </w:tc>
        <w:tc>
          <w:tcPr>
            <w:tcW w:w="40" w:type="dxa"/>
            <w:vAlign w:val="bottom"/>
          </w:tcPr>
          <w:p>
            <w:pPr>
              <w:spacing w:after="0"/>
              <w:rPr>
                <w:sz w:val="20"/>
                <w:szCs w:val="20"/>
                <w:color w:val="auto"/>
              </w:rPr>
            </w:pPr>
          </w:p>
        </w:tc>
        <w:tc>
          <w:tcPr>
            <w:tcW w:w="3900" w:type="dxa"/>
            <w:vAlign w:val="bottom"/>
            <w:tcBorders>
              <w:top w:val="single" w:sz="8" w:color="0000FF"/>
              <w:bottom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880" w:type="dxa"/>
            <w:vAlign w:val="bottom"/>
            <w:tcBorders>
              <w:top w:val="single" w:sz="8" w:color="0000FF"/>
            </w:tcBorders>
            <w:gridSpan w:val="10"/>
          </w:tcPr>
          <w:p>
            <w:pPr>
              <w:spacing w:after="0"/>
              <w:rPr>
                <w:sz w:val="20"/>
                <w:szCs w:val="20"/>
                <w:color w:val="auto"/>
              </w:rPr>
            </w:pPr>
          </w:p>
        </w:tc>
        <w:tc>
          <w:tcPr>
            <w:tcW w:w="3200" w:type="dxa"/>
            <w:vAlign w:val="bottom"/>
            <w:gridSpan w:val="4"/>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36"/>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8</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w w:val="98"/>
              </w:rPr>
              <w:t>Financial Statements</w:t>
            </w:r>
          </w:p>
        </w:tc>
        <w:tc>
          <w:tcPr>
            <w:tcW w:w="20" w:type="dxa"/>
            <w:vAlign w:val="bottom"/>
            <w:tcBorders>
              <w:bottom w:val="single" w:sz="8" w:color="0000EE"/>
            </w:tcBorders>
          </w:tcPr>
          <w:p>
            <w:pPr>
              <w:spacing w:after="0"/>
              <w:rPr>
                <w:sz w:val="20"/>
                <w:szCs w:val="20"/>
                <w:color w:val="auto"/>
              </w:rPr>
            </w:pPr>
          </w:p>
        </w:tc>
        <w:tc>
          <w:tcPr>
            <w:tcW w:w="7620" w:type="dxa"/>
            <w:vAlign w:val="bottom"/>
            <w:gridSpan w:val="23"/>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50"/>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9</w:t>
            </w: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980" w:type="dxa"/>
            <w:vAlign w:val="bottom"/>
            <w:gridSpan w:val="32"/>
          </w:tcPr>
          <w:p>
            <w:pPr>
              <w:spacing w:after="0"/>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36"/>
        </w:trPr>
        <w:tc>
          <w:tcPr>
            <w:tcW w:w="6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9A</w:t>
            </w:r>
          </w:p>
        </w:tc>
        <w:tc>
          <w:tcPr>
            <w:tcW w:w="40" w:type="dxa"/>
            <w:vAlign w:val="bottom"/>
          </w:tcPr>
          <w:p>
            <w:pPr>
              <w:spacing w:after="0"/>
              <w:rPr>
                <w:sz w:val="20"/>
                <w:szCs w:val="20"/>
                <w:color w:val="auto"/>
              </w:rPr>
            </w:pPr>
          </w:p>
        </w:tc>
        <w:tc>
          <w:tcPr>
            <w:tcW w:w="158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w w:val="99"/>
              </w:rPr>
              <w:t>Controls and Procedures</w:t>
            </w:r>
          </w:p>
        </w:tc>
        <w:tc>
          <w:tcPr>
            <w:tcW w:w="4220" w:type="dxa"/>
            <w:vAlign w:val="bottom"/>
            <w:tcBorders>
              <w:top w:val="single" w:sz="8" w:color="0000FF"/>
            </w:tcBorders>
            <w:gridSpan w:val="17"/>
          </w:tcPr>
          <w:p>
            <w:pPr>
              <w:spacing w:after="0"/>
              <w:rPr>
                <w:sz w:val="20"/>
                <w:szCs w:val="20"/>
                <w:color w:val="auto"/>
              </w:rPr>
            </w:pPr>
          </w:p>
        </w:tc>
        <w:tc>
          <w:tcPr>
            <w:tcW w:w="3180" w:type="dxa"/>
            <w:vAlign w:val="bottom"/>
            <w:gridSpan w:val="3"/>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36"/>
        </w:trPr>
        <w:tc>
          <w:tcPr>
            <w:tcW w:w="6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9B</w:t>
            </w:r>
          </w:p>
        </w:tc>
        <w:tc>
          <w:tcPr>
            <w:tcW w:w="40" w:type="dxa"/>
            <w:vAlign w:val="bottom"/>
          </w:tcPr>
          <w:p>
            <w:pPr>
              <w:spacing w:after="0"/>
              <w:rPr>
                <w:sz w:val="20"/>
                <w:szCs w:val="20"/>
                <w:color w:val="auto"/>
              </w:rPr>
            </w:pPr>
          </w:p>
        </w:tc>
        <w:tc>
          <w:tcPr>
            <w:tcW w:w="8980" w:type="dxa"/>
            <w:vAlign w:val="bottom"/>
            <w:gridSpan w:val="32"/>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411"/>
        </w:trPr>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Borders>
              <w:bottom w:val="single" w:sz="8" w:color="0000FF"/>
            </w:tcBorders>
            <w:gridSpan w:val="7"/>
          </w:tcPr>
          <w:p>
            <w:pPr>
              <w:jc w:val="center"/>
              <w:ind w:right="20"/>
              <w:spacing w:after="0"/>
              <w:rPr>
                <w:sz w:val="20"/>
                <w:szCs w:val="20"/>
                <w:color w:val="auto"/>
              </w:rPr>
            </w:pPr>
            <w:r>
              <w:rPr>
                <w:rFonts w:ascii="Times New Roman" w:cs="Times New Roman" w:eastAsia="Times New Roman" w:hAnsi="Times New Roman"/>
                <w:sz w:val="16"/>
                <w:szCs w:val="16"/>
                <w:b w:val="1"/>
                <w:bCs w:val="1"/>
                <w:color w:val="0000FF"/>
                <w:w w:val="99"/>
              </w:rPr>
              <w:t>PART III</w:t>
            </w:r>
          </w:p>
        </w:tc>
        <w:tc>
          <w:tcPr>
            <w:tcW w:w="4160" w:type="dxa"/>
            <w:vAlign w:val="bottom"/>
            <w:gridSpan w:val="6"/>
          </w:tcPr>
          <w:p>
            <w:pPr>
              <w:spacing w:after="0"/>
              <w:rPr>
                <w:sz w:val="24"/>
                <w:szCs w:val="24"/>
                <w:color w:val="auto"/>
              </w:rPr>
            </w:pPr>
          </w:p>
        </w:tc>
        <w:tc>
          <w:tcPr>
            <w:tcW w:w="1100" w:type="dxa"/>
            <w:vAlign w:val="bottom"/>
          </w:tcPr>
          <w:p>
            <w:pPr>
              <w:spacing w:after="0"/>
              <w:rPr>
                <w:sz w:val="24"/>
                <w:szCs w:val="24"/>
                <w:color w:val="auto"/>
              </w:rPr>
            </w:pPr>
          </w:p>
        </w:tc>
      </w:tr>
      <w:tr>
        <w:trPr>
          <w:trHeight w:val="236"/>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10</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980" w:type="dxa"/>
            <w:vAlign w:val="bottom"/>
            <w:gridSpan w:val="32"/>
          </w:tcPr>
          <w:p>
            <w:pPr>
              <w:spacing w:after="0"/>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36"/>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11</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rPr>
              <w:t>Executive Compensation</w:t>
            </w:r>
          </w:p>
        </w:tc>
        <w:tc>
          <w:tcPr>
            <w:tcW w:w="5320" w:type="dxa"/>
            <w:vAlign w:val="bottom"/>
            <w:gridSpan w:val="15"/>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380" w:type="dxa"/>
            <w:vAlign w:val="bottom"/>
            <w:gridSpan w:val="10"/>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gridSpan w:val="2"/>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6"/>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12</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54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2440" w:type="dxa"/>
            <w:vAlign w:val="bottom"/>
            <w:gridSpan w:val="2"/>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36"/>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13</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980" w:type="dxa"/>
            <w:vAlign w:val="bottom"/>
            <w:gridSpan w:val="32"/>
          </w:tcPr>
          <w:p>
            <w:pPr>
              <w:spacing w:after="0"/>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36"/>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14</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80" w:type="dxa"/>
            <w:vAlign w:val="bottom"/>
            <w:tcBorders>
              <w:top w:val="single" w:sz="8" w:color="0000FF"/>
            </w:tcBorders>
            <w:gridSpan w:val="27"/>
          </w:tcPr>
          <w:p>
            <w:pPr>
              <w:spacing w:after="0"/>
              <w:rPr>
                <w:sz w:val="20"/>
                <w:szCs w:val="20"/>
                <w:color w:val="auto"/>
              </w:rPr>
            </w:pPr>
            <w:r>
              <w:rPr>
                <w:rFonts w:ascii="Times New Roman" w:cs="Times New Roman" w:eastAsia="Times New Roman" w:hAnsi="Times New Roman"/>
                <w:sz w:val="16"/>
                <w:szCs w:val="16"/>
                <w:color w:val="0000FF"/>
              </w:rPr>
              <w:t>Principal Accountant Fees and Services</w:t>
            </w:r>
          </w:p>
        </w:tc>
        <w:tc>
          <w:tcPr>
            <w:tcW w:w="4100" w:type="dxa"/>
            <w:vAlign w:val="bottom"/>
            <w:gridSpan w:val="5"/>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411"/>
        </w:trPr>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40" w:type="dxa"/>
            <w:vAlign w:val="bottom"/>
            <w:gridSpan w:val="13"/>
          </w:tcPr>
          <w:p>
            <w:pPr>
              <w:jc w:val="center"/>
              <w:ind w:right="4180"/>
              <w:spacing w:after="0"/>
              <w:rPr>
                <w:sz w:val="20"/>
                <w:szCs w:val="20"/>
                <w:color w:val="auto"/>
              </w:rPr>
            </w:pPr>
            <w:r>
              <w:rPr>
                <w:rFonts w:ascii="Times New Roman" w:cs="Times New Roman" w:eastAsia="Times New Roman" w:hAnsi="Times New Roman"/>
                <w:sz w:val="16"/>
                <w:szCs w:val="16"/>
                <w:b w:val="1"/>
                <w:bCs w:val="1"/>
                <w:color w:val="0000FF"/>
              </w:rPr>
              <w:t>PART IV</w:t>
            </w:r>
          </w:p>
        </w:tc>
        <w:tc>
          <w:tcPr>
            <w:tcW w:w="1100" w:type="dxa"/>
            <w:vAlign w:val="bottom"/>
          </w:tcPr>
          <w:p>
            <w:pPr>
              <w:spacing w:after="0"/>
              <w:rPr>
                <w:sz w:val="24"/>
                <w:szCs w:val="24"/>
                <w:color w:val="auto"/>
              </w:rPr>
            </w:pPr>
          </w:p>
        </w:tc>
      </w:tr>
      <w:tr>
        <w:trPr>
          <w:trHeight w:val="236"/>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15</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16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Exhibits and Financial Statement Schedules</w:t>
            </w:r>
          </w:p>
        </w:tc>
        <w:tc>
          <w:tcPr>
            <w:tcW w:w="640" w:type="dxa"/>
            <w:vAlign w:val="bottom"/>
            <w:tcBorders>
              <w:top w:val="single" w:sz="8" w:color="0000FF"/>
            </w:tcBorders>
            <w:gridSpan w:val="5"/>
          </w:tcPr>
          <w:p>
            <w:pPr>
              <w:spacing w:after="0"/>
              <w:rPr>
                <w:sz w:val="20"/>
                <w:szCs w:val="20"/>
                <w:color w:val="auto"/>
              </w:rPr>
            </w:pPr>
          </w:p>
        </w:tc>
        <w:tc>
          <w:tcPr>
            <w:tcW w:w="4180" w:type="dxa"/>
            <w:vAlign w:val="bottom"/>
            <w:gridSpan w:val="7"/>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36"/>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16</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w w:val="98"/>
              </w:rPr>
              <w:t>Form 10-K Summary</w:t>
            </w:r>
          </w:p>
        </w:tc>
        <w:tc>
          <w:tcPr>
            <w:tcW w:w="1440" w:type="dxa"/>
            <w:vAlign w:val="bottom"/>
            <w:tcBorders>
              <w:top w:val="single" w:sz="8" w:color="0000FF"/>
            </w:tcBorders>
            <w:gridSpan w:val="6"/>
          </w:tcPr>
          <w:p>
            <w:pPr>
              <w:spacing w:after="0"/>
              <w:rPr>
                <w:sz w:val="20"/>
                <w:szCs w:val="20"/>
                <w:color w:val="auto"/>
              </w:rPr>
            </w:pPr>
          </w:p>
        </w:tc>
        <w:tc>
          <w:tcPr>
            <w:tcW w:w="6160" w:type="dxa"/>
            <w:vAlign w:val="bottom"/>
            <w:gridSpan w:val="16"/>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36"/>
        </w:trPr>
        <w:tc>
          <w:tcPr>
            <w:tcW w:w="60" w:type="dxa"/>
            <w:vAlign w:val="bottom"/>
          </w:tcPr>
          <w:p>
            <w:pPr>
              <w:spacing w:after="0"/>
              <w:rPr>
                <w:sz w:val="20"/>
                <w:szCs w:val="20"/>
                <w:color w:val="auto"/>
              </w:rPr>
            </w:pPr>
          </w:p>
        </w:tc>
        <w:tc>
          <w:tcPr>
            <w:tcW w:w="1008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Index to Financial Statement Schedules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FS-1</w:t>
            </w: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gridSpan w:val="11"/>
            <w:shd w:val="clear" w:color="auto" w:fill="0000FF"/>
          </w:tcPr>
          <w:p>
            <w:pPr>
              <w:spacing w:after="0" w:line="20" w:lineRule="exact"/>
              <w:rPr>
                <w:sz w:val="1"/>
                <w:szCs w:val="1"/>
                <w:color w:val="auto"/>
              </w:rPr>
            </w:pPr>
          </w:p>
        </w:tc>
        <w:tc>
          <w:tcPr>
            <w:tcW w:w="7540" w:type="dxa"/>
            <w:vAlign w:val="bottom"/>
            <w:gridSpan w:val="21"/>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6"/>
        </w:trPr>
        <w:tc>
          <w:tcPr>
            <w:tcW w:w="60" w:type="dxa"/>
            <w:vAlign w:val="bottom"/>
          </w:tcPr>
          <w:p>
            <w:pPr>
              <w:spacing w:after="0"/>
              <w:rPr>
                <w:sz w:val="20"/>
                <w:szCs w:val="20"/>
                <w:color w:val="auto"/>
              </w:rPr>
            </w:pPr>
          </w:p>
        </w:tc>
        <w:tc>
          <w:tcPr>
            <w:tcW w:w="1008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Index of Exhibits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X-1</w:t>
            </w: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6"/>
        </w:trPr>
        <w:tc>
          <w:tcPr>
            <w:tcW w:w="60" w:type="dxa"/>
            <w:vAlign w:val="bottom"/>
          </w:tcPr>
          <w:p>
            <w:pPr>
              <w:spacing w:after="0"/>
              <w:rPr>
                <w:sz w:val="20"/>
                <w:szCs w:val="20"/>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S-1</w:t>
            </w:r>
          </w:p>
        </w:tc>
      </w:tr>
      <w:tr>
        <w:trPr>
          <w:trHeight w:val="621"/>
        </w:trPr>
        <w:tc>
          <w:tcPr>
            <w:tcW w:w="6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OF GOODYEAR</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Goodyear Tire &amp; Rubber Company (the “Company”) is an Ohio corporation organized in 1898. Its principal offices are located at 200 Innovation Way, Akron, Ohio 44316-0001. Its telephone number is (330) 796-2121. The terms “Goodyear,” “Company” and “we,” “us” or “our” wherever used herein refer to the Company together with all of its consolidated U.S. and foreign subsidiary companies, unless the context indicates to the contrary.</w:t>
      </w:r>
    </w:p>
    <w:p>
      <w:pPr>
        <w:spacing w:after="0" w:line="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one of the world’s leading manufacturers of tires, engaging in operations in most regions of the world. In 2022, our net sales were $20,805 million and Goodyear net income was $202 million. We develop, manufacture, distribute and sell tires for most applications. We also manufacture and sell rubber-related chemicals for various applications. We are one of the world’s largest operators of commercial truck service and tire retreading centers. We operate approximately 950 retail outlets where we offer our products for sale to consumer and commercial customers and provide repair and other services. We manufacture our products in 57 manufacturing facilities in 23 countries, including the United States, and we have marketing operations in almost every country around the world. We employ approximately 74,000 full-time and temporary associates worldwide.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make available free of charge on our website, http://www.goodyear.com, our annual report on Form 10-K, quarterly reports on Form 10-Q, current reports on Form 8-K, and amendments to those reports as soon as reasonably practicable after we file or furnish such reports to the Securities and Exchange Commission (the “SEC”). Our reports filed with the SEC may be found on the SEC's website at http://www.sec.gov. The information on our website and the SEC's website is not incorporated by reference in or considered to be a part of this Annual Report on Form 10-K.</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GOODYEAR’S BUSINESS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On June 7, 2021 (the "Closing Date"), we completed our acquisition of Cooper Tire &amp; Rubber Company ("Cooper Tire") for cash and stock consideration totaling approximately $3.1 billion. Cooper Tire’s results of operations have been included in our consolidated financial statements since the Closing Date.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EGARDING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UR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EGMENTS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2022, we operated our business through three operating segments representing our regional tire businesses: Americas; Europe, Middle East and Africa (“EMEA”); and Asia Pacific.</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principal business is the development, manufacture, distribution and sale of tires and related products and services worldwide. We manufacture and sell numerous lines of rubber tires for:</w:t>
      </w:r>
    </w:p>
    <w:p>
      <w:pPr>
        <w:spacing w:after="0" w:line="55" w:lineRule="exact"/>
        <w:rPr>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automobiles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trucks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buses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aircraft</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motorcycles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earthmoving and mining equipment</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farm implements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equipment, and</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applications.</w:t>
      </w:r>
    </w:p>
    <w:p>
      <w:pPr>
        <w:spacing w:after="0" w:line="9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each case, our tires are offered for sale to vehicle manufacturers for mounting as original equipment (“OE”) and for replacement worldwide. We manufacture and sell tires under the Goodyear, Cooper, Dunlop, Kelly, Debica, Sava, Fulda, Mastercraft and Roadmaster brands and various “house” brands, and the private-label brands of certain customers. In certain geographic areas we also:</w:t>
      </w:r>
    </w:p>
    <w:p>
      <w:pPr>
        <w:spacing w:after="0" w:line="69"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retread truck, aviation and off-the-road ("OTR") tires,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and sell tread rubber and other tire retreading materials,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chemical products, and/or</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automotive and commercial repair services and miscellaneous other products and services.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27"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Our principal products are new tires for most applications. Approximately 86% of our sales in 2022, 85% in 2021 and 84% in 2020 were for tire units. Sales of chemical products to unaffiliated customers were 3% of our consolidated sales in each of 2022, 2021 and 2020 (5%, 6% and 5% of Americas total sales in 2022, 2021 and 2020, respectively). The percentages of each segment’s sales attributable to tire units during the periods indicated were: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Borders>
              <w:bottom w:val="single" w:sz="8" w:color="auto"/>
            </w:tcBorders>
            <w:gridSpan w:val="4"/>
          </w:tcPr>
          <w:p>
            <w:pPr>
              <w:jc w:val="center"/>
              <w:ind w:left="127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400" w:type="dxa"/>
            <w:vAlign w:val="bottom"/>
            <w:tcBorders>
              <w:bottom w:val="single" w:sz="8" w:color="auto"/>
            </w:tcBorders>
          </w:tcPr>
          <w:p>
            <w:pPr>
              <w:ind w:left="2740"/>
              <w:spacing w:after="0"/>
              <w:rPr>
                <w:sz w:val="20"/>
                <w:szCs w:val="20"/>
                <w:color w:val="auto"/>
              </w:rPr>
            </w:pPr>
            <w:r>
              <w:rPr>
                <w:rFonts w:ascii="Times New Roman" w:cs="Times New Roman" w:eastAsia="Times New Roman" w:hAnsi="Times New Roman"/>
                <w:sz w:val="14"/>
                <w:szCs w:val="14"/>
                <w:b w:val="1"/>
                <w:bCs w:val="1"/>
                <w:color w:val="auto"/>
              </w:rPr>
              <w:t>Tire Unit Sales</w:t>
            </w:r>
          </w:p>
        </w:tc>
        <w:tc>
          <w:tcPr>
            <w:tcW w:w="120" w:type="dxa"/>
            <w:vAlign w:val="bottom"/>
          </w:tcPr>
          <w:p>
            <w:pPr>
              <w:spacing w:after="0"/>
              <w:rPr>
                <w:sz w:val="14"/>
                <w:szCs w:val="14"/>
                <w:color w:val="auto"/>
              </w:rPr>
            </w:pPr>
          </w:p>
        </w:tc>
        <w:tc>
          <w:tcPr>
            <w:tcW w:w="15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4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14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4"/>
                <w:szCs w:val="14"/>
                <w:color w:val="auto"/>
              </w:rPr>
            </w:pPr>
          </w:p>
        </w:tc>
      </w:tr>
      <w:tr>
        <w:trPr>
          <w:trHeight w:val="228"/>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20" w:type="dxa"/>
            <w:vAlign w:val="bottom"/>
          </w:tcPr>
          <w:p>
            <w:pPr>
              <w:spacing w:after="0"/>
              <w:rPr>
                <w:sz w:val="19"/>
                <w:szCs w:val="19"/>
                <w:color w:val="auto"/>
              </w:rPr>
            </w:pPr>
          </w:p>
        </w:tc>
        <w:tc>
          <w:tcPr>
            <w:tcW w:w="16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84 %</w:t>
            </w:r>
          </w:p>
        </w:tc>
        <w:tc>
          <w:tcPr>
            <w:tcW w:w="160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82 %</w:t>
            </w: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w w:val="90"/>
              </w:rPr>
              <w:t>78 %</w:t>
            </w:r>
          </w:p>
        </w:tc>
      </w:tr>
      <w:tr>
        <w:trPr>
          <w:trHeight w:val="245"/>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5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1"/>
                <w:szCs w:val="21"/>
                <w:color w:val="auto"/>
              </w:rPr>
            </w:pPr>
          </w:p>
        </w:tc>
        <w:tc>
          <w:tcPr>
            <w:tcW w:w="14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1"/>
                <w:szCs w:val="21"/>
                <w:color w:val="auto"/>
              </w:rPr>
            </w:pPr>
          </w:p>
        </w:tc>
        <w:tc>
          <w:tcPr>
            <w:tcW w:w="14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tcPr>
          <w:p>
            <w:pPr>
              <w:spacing w:after="0"/>
              <w:rPr>
                <w:sz w:val="21"/>
                <w:szCs w:val="21"/>
                <w:color w:val="auto"/>
              </w:rPr>
            </w:pPr>
          </w:p>
        </w:tc>
      </w:tr>
      <w:tr>
        <w:trPr>
          <w:trHeight w:val="249"/>
        </w:trPr>
        <w:tc>
          <w:tcPr>
            <w:tcW w:w="6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52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Each segment exports tires to other segments. The financial results of each segment exclude sales of tires exported to other segments, but include operating income derived from such transactions.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Goodyear does not include motorcycle, aviation or race tires in reported tire unit sales.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Tire unit sales for each segment during the periods indicated were: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20" w:type="dxa"/>
            <w:vAlign w:val="bottom"/>
          </w:tcPr>
          <w:p>
            <w:pPr>
              <w:spacing w:after="0"/>
              <w:rPr>
                <w:sz w:val="16"/>
                <w:szCs w:val="16"/>
                <w:color w:val="auto"/>
              </w:rPr>
            </w:pPr>
          </w:p>
        </w:tc>
        <w:tc>
          <w:tcPr>
            <w:tcW w:w="4960" w:type="dxa"/>
            <w:vAlign w:val="bottom"/>
            <w:gridSpan w:val="2"/>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GOODYEAR’S ANNUAL TIRE UNIT SALES — SEGMENT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82"/>
        </w:trPr>
        <w:tc>
          <w:tcPr>
            <w:tcW w:w="3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20" w:type="dxa"/>
            <w:vAlign w:val="bottom"/>
            <w:tcBorders>
              <w:bottom w:val="single" w:sz="8" w:color="auto"/>
            </w:tcBorders>
          </w:tcPr>
          <w:p>
            <w:pPr>
              <w:spacing w:after="0"/>
              <w:rPr>
                <w:sz w:val="24"/>
                <w:szCs w:val="24"/>
                <w:color w:val="auto"/>
              </w:rPr>
            </w:pPr>
          </w:p>
        </w:tc>
      </w:tr>
      <w:tr>
        <w:trPr>
          <w:trHeight w:val="169"/>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tires)</w:t>
            </w:r>
          </w:p>
        </w:tc>
        <w:tc>
          <w:tcPr>
            <w:tcW w:w="3620" w:type="dxa"/>
            <w:vAlign w:val="bottom"/>
          </w:tcPr>
          <w:p>
            <w:pPr>
              <w:spacing w:after="0"/>
              <w:rPr>
                <w:sz w:val="14"/>
                <w:szCs w:val="14"/>
                <w:color w:val="auto"/>
              </w:rPr>
            </w:pPr>
          </w:p>
        </w:tc>
        <w:tc>
          <w:tcPr>
            <w:tcW w:w="13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0" w:type="dxa"/>
            <w:vAlign w:val="bottom"/>
            <w:gridSpan w:val="3"/>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14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620" w:type="dxa"/>
            <w:vAlign w:val="bottom"/>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85.9</w:t>
            </w:r>
          </w:p>
        </w:tc>
        <w:tc>
          <w:tcPr>
            <w:tcW w:w="140" w:type="dxa"/>
            <w:vAlign w:val="bottom"/>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56.7</w:t>
            </w:r>
          </w:p>
        </w:tc>
      </w:tr>
      <w:tr>
        <w:trPr>
          <w:trHeight w:val="238"/>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4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6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52.7</w:t>
            </w:r>
          </w:p>
        </w:tc>
        <w:tc>
          <w:tcPr>
            <w:tcW w:w="14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44.5</w:t>
            </w:r>
          </w:p>
        </w:tc>
      </w:tr>
      <w:tr>
        <w:trPr>
          <w:trHeight w:val="243"/>
        </w:trPr>
        <w:tc>
          <w:tcPr>
            <w:tcW w:w="3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36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24.8</w:t>
            </w:r>
          </w:p>
        </w:tc>
      </w:tr>
      <w:tr>
        <w:trPr>
          <w:trHeight w:val="238"/>
        </w:trPr>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Goodyear worldwide tire units</w:t>
            </w:r>
          </w:p>
        </w:tc>
        <w:tc>
          <w:tcPr>
            <w:tcW w:w="4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184.5</w:t>
            </w:r>
          </w:p>
        </w:tc>
        <w:tc>
          <w:tcPr>
            <w:tcW w:w="16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169.3</w:t>
            </w:r>
          </w:p>
        </w:tc>
        <w:tc>
          <w:tcPr>
            <w:tcW w:w="14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126.0</w:t>
            </w:r>
          </w:p>
        </w:tc>
      </w:tr>
      <w:tr>
        <w:trPr>
          <w:trHeight w:val="20"/>
        </w:trPr>
        <w:tc>
          <w:tcPr>
            <w:tcW w:w="3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-187960</wp:posOffset>
            </wp:positionV>
            <wp:extent cx="10287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-187960</wp:posOffset>
            </wp:positionV>
            <wp:extent cx="9398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replacement and OE tire unit sales during the periods indicated were: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80" w:type="dxa"/>
            <w:vAlign w:val="bottom"/>
          </w:tcPr>
          <w:p>
            <w:pPr>
              <w:spacing w:after="0"/>
              <w:rPr>
                <w:sz w:val="16"/>
                <w:szCs w:val="16"/>
                <w:color w:val="auto"/>
              </w:rPr>
            </w:pPr>
          </w:p>
        </w:tc>
        <w:tc>
          <w:tcPr>
            <w:tcW w:w="5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GOODYEAR’S ANNUAL TIRE UNIT SALES — REPLACEMENT AND OE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82"/>
        </w:trPr>
        <w:tc>
          <w:tcPr>
            <w:tcW w:w="2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20" w:type="dxa"/>
            <w:vAlign w:val="bottom"/>
            <w:tcBorders>
              <w:bottom w:val="single" w:sz="8" w:color="auto"/>
            </w:tcBorders>
          </w:tcPr>
          <w:p>
            <w:pPr>
              <w:spacing w:after="0"/>
              <w:rPr>
                <w:sz w:val="24"/>
                <w:szCs w:val="24"/>
                <w:color w:val="auto"/>
              </w:rPr>
            </w:pPr>
          </w:p>
        </w:tc>
      </w:tr>
      <w:tr>
        <w:trPr>
          <w:trHeight w:val="169"/>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tires)</w:t>
            </w:r>
          </w:p>
        </w:tc>
        <w:tc>
          <w:tcPr>
            <w:tcW w:w="3860" w:type="dxa"/>
            <w:vAlign w:val="bottom"/>
          </w:tcPr>
          <w:p>
            <w:pPr>
              <w:spacing w:after="0"/>
              <w:rPr>
                <w:sz w:val="14"/>
                <w:szCs w:val="14"/>
                <w:color w:val="auto"/>
              </w:rPr>
            </w:pPr>
          </w:p>
        </w:tc>
        <w:tc>
          <w:tcPr>
            <w:tcW w:w="13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0" w:type="dxa"/>
            <w:vAlign w:val="bottom"/>
            <w:gridSpan w:val="3"/>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142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Replacement tire units</w:t>
            </w:r>
          </w:p>
        </w:tc>
        <w:tc>
          <w:tcPr>
            <w:tcW w:w="3860" w:type="dxa"/>
            <w:vAlign w:val="bottom"/>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8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134.1</w:t>
            </w:r>
          </w:p>
        </w:tc>
        <w:tc>
          <w:tcPr>
            <w:tcW w:w="140" w:type="dxa"/>
            <w:vAlign w:val="bottom"/>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95.0</w:t>
            </w:r>
          </w:p>
        </w:tc>
      </w:tr>
      <w:tr>
        <w:trPr>
          <w:trHeight w:val="238"/>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OE tire units</w:t>
            </w:r>
          </w:p>
        </w:tc>
        <w:tc>
          <w:tcPr>
            <w:tcW w:w="5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6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tcPr>
          <w:p>
            <w:pPr>
              <w:spacing w:after="0"/>
              <w:rPr>
                <w:sz w:val="20"/>
                <w:szCs w:val="20"/>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31.0</w:t>
            </w:r>
          </w:p>
        </w:tc>
      </w:tr>
      <w:tr>
        <w:trPr>
          <w:trHeight w:val="278"/>
        </w:trPr>
        <w:tc>
          <w:tcPr>
            <w:tcW w:w="2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Goodyear worldwide tire units</w:t>
            </w:r>
          </w:p>
        </w:tc>
        <w:tc>
          <w:tcPr>
            <w:tcW w:w="386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184.5</w:t>
            </w:r>
          </w:p>
        </w:tc>
        <w:tc>
          <w:tcPr>
            <w:tcW w:w="80" w:type="dxa"/>
            <w:vAlign w:val="bottom"/>
            <w:tcBorders>
              <w:top w:val="single" w:sz="8" w:color="auto"/>
              <w:bottom w:val="single" w:sz="8" w:color="auto"/>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169.3</w:t>
            </w:r>
          </w:p>
        </w:tc>
        <w:tc>
          <w:tcPr>
            <w:tcW w:w="14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126.0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-24765</wp:posOffset>
            </wp:positionV>
            <wp:extent cx="1028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-7620</wp:posOffset>
            </wp:positionV>
            <wp:extent cx="1028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-24765</wp:posOffset>
            </wp:positionV>
            <wp:extent cx="939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-7620</wp:posOffset>
            </wp:positionV>
            <wp:extent cx="939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91"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New tires are sold under highly competitive conditions throughout the world. On a worldwide basis, we have two major competitors: Bridgestone (based in Japan) and Michelin (based in France). Other significant competitors include Continental, Hankook, Kumho, Nexen, Pirelli, Sumitomo, Toyo, Yokohama and various regional tire manufacturers.</w:t>
      </w:r>
    </w:p>
    <w:p>
      <w:pPr>
        <w:spacing w:after="0" w:line="69"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We compete with other tire manufacturers on the basis of product design, performance, price and terms, reputation, warranty terms, customer service and consumer convenience. Goodyear, Cooper and Dunlop branded tires enjoy a high recognition factor and have a reputation for performance and product design. The Kelly, Mastercraft, Roadmaster, Debica, Sava and Fulda brands and various house brand tire lines offered by us, and tires manufactured and sold by us to private brand customers, compete primarily on the basis of value and price.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consider our tire businesses to be seasonal to any significant degree.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MERICAS</w:t>
      </w:r>
    </w:p>
    <w:p>
      <w:pPr>
        <w:spacing w:after="0" w:line="121"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Americas, our largest segment in terms of revenue, develops, manufactures, distributes and sells tires and related products and services in North, Central and South America, and sells tires to various export markets, primarily through intersegment sales. Americas manufactures tires in eight plants in the United States, two plants in Canada and six plants in Brazil, Chile, Colombia, Mexico and Peru.</w:t>
      </w:r>
    </w:p>
    <w:p>
      <w:pPr>
        <w:spacing w:after="0" w:line="69"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Americas manufactures and sells tires for automobiles, trucks, buses, earthmoving, mining and industrial equipment, aircraft, and various other applications.</w:t>
      </w:r>
    </w:p>
    <w:p>
      <w:pPr>
        <w:spacing w:after="0" w:line="55"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Goodyear brand radial passenger tire lines sold throughout Americas include the Assurance family of product lines for the premium and mid-tier passenger and cross-over utility segments; the Eagle and EfficientGrip Performance families of product lines for the high-performance segment; the Wrangler family of product lines for the sport utility vehicle and light truck segments; as well as the WinterCommand and Ultra Grip family of winter tires. Cooper brand radial passenger tire lines sold throughout Americas include those sold under the Mastercraft brand. Additionally, we offer Dunlop brand radial tire lines, including Signature and SP Sport for the passenger and performance segments; Grandtrek tires for the cross-over and sport</w:t>
      </w:r>
    </w:p>
    <w:p>
      <w:pPr>
        <w:spacing w:after="0" w:line="1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8" w:right="2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utility vehicle and light truck segments; and SP Winter, Winter Maxx and Grandtrek tires for the winter tire segment. Americas also manufactures and sells several lines of Kelly brand radial tires for passenger cars and light trucks including the Kelly Edge A/S, Edge HP and Edge AT. Cooper brand commercial tires sold throughout Americas include those sold under the Roadmaster brand. Our Americas commercial business provides commercial truck tires, retreads, services and business solutions to trucking fleets. Americas also:</w:t>
      </w:r>
    </w:p>
    <w:p>
      <w:pPr>
        <w:spacing w:after="0" w:line="74"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manufactures tread rubber and other tire retreading materials for trucks, heavy equipment and aviation,</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retreads truck, aviation and OTR tires, primarily as a service to its commercial customers,</w:t>
      </w:r>
    </w:p>
    <w:p>
      <w:pPr>
        <w:spacing w:after="0" w:line="8"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sells products and installation services online through our websites, </w:t>
      </w:r>
      <w:r>
        <w:rPr>
          <w:rFonts w:ascii="Times New Roman" w:cs="Times New Roman" w:eastAsia="Times New Roman" w:hAnsi="Times New Roman"/>
          <w:sz w:val="18"/>
          <w:szCs w:val="18"/>
          <w:u w:val="single" w:color="auto"/>
          <w:color w:val="auto"/>
        </w:rPr>
        <w:t>www.goodyear.com</w:t>
      </w:r>
      <w:r>
        <w:rPr>
          <w:rFonts w:ascii="Times New Roman" w:cs="Times New Roman" w:eastAsia="Times New Roman" w:hAnsi="Times New Roman"/>
          <w:sz w:val="18"/>
          <w:szCs w:val="18"/>
          <w:color w:val="auto"/>
        </w:rPr>
        <w:t xml:space="preserve"> for consumer tires and </w:t>
      </w:r>
      <w:r>
        <w:rPr>
          <w:rFonts w:ascii="Times New Roman" w:cs="Times New Roman" w:eastAsia="Times New Roman" w:hAnsi="Times New Roman"/>
          <w:sz w:val="18"/>
          <w:szCs w:val="18"/>
          <w:u w:val="single" w:color="auto"/>
          <w:color w:val="auto"/>
        </w:rPr>
        <w:t>www.goodyeartrucktires.com</w:t>
      </w:r>
      <w:r>
        <w:rPr>
          <w:rFonts w:ascii="Times New Roman" w:cs="Times New Roman" w:eastAsia="Times New Roman" w:hAnsi="Times New Roman"/>
          <w:sz w:val="18"/>
          <w:szCs w:val="18"/>
          <w:color w:val="auto"/>
        </w:rPr>
        <w:t xml:space="preserve"> for commercial tires,</w:t>
      </w:r>
    </w:p>
    <w:p>
      <w:pPr>
        <w:ind w:left="760" w:hanging="378"/>
        <w:spacing w:after="0" w:line="25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automotive maintenance and repair services at approximately 555 Company-owned retail outlets primarily under the Goodyear or Just Tires names,</w:t>
      </w:r>
    </w:p>
    <w:p>
      <w:pPr>
        <w:ind w:left="760" w:right="20" w:hanging="378"/>
        <w:spacing w:after="0" w:line="25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trucking fleets with new tires, retreads, mechanical service, preventative maintenance and roadside assistance from approximately 230 Company-owned locations, primarily Goodyear Commercial Tire &amp; Service Centers,</w:t>
      </w: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sells automotive repair and maintenance items, automotive equipment and accessories and other items to dealers and consumers,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sells chemical products and natural rubber to Goodyear’s other business segments and to unaffiliated customers, and</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miscellaneous other products and services.</w:t>
      </w:r>
    </w:p>
    <w:p>
      <w:pPr>
        <w:spacing w:after="0" w:line="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2022, Americas launched several new consumer tires under the Goodyear and Cooper brands, including the Goodyear Wrangler Workhorse HT and Wrangler Steadfast HT, the Mastercraft Courser Quest and Quest Plus, and the Mastercraft Courser Trail and Trail HD. Americas' commercial business launched new tires under Goodyear FuelMax, ArmorMax, UrbanMax and Endurance lines for our mixed service and city service customers. Americas also launched new tires under the Cooper ProSeries and WorkSeries lines and relaunched the Kelly Armorsteel Gen-2 portfolio for long haul, mixed service and city service customers.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 and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Tire unit sales to replacement and OE customers served by Americas during the periods indicated were: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40" w:type="dxa"/>
            <w:vAlign w:val="bottom"/>
          </w:tcPr>
          <w:p>
            <w:pPr>
              <w:spacing w:after="0"/>
              <w:rPr>
                <w:sz w:val="16"/>
                <w:szCs w:val="16"/>
                <w:color w:val="auto"/>
              </w:rPr>
            </w:pPr>
          </w:p>
        </w:tc>
        <w:tc>
          <w:tcPr>
            <w:tcW w:w="5340" w:type="dxa"/>
            <w:vAlign w:val="bottom"/>
            <w:gridSpan w:val="2"/>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AMERICAS UNIT SALES — REPLACEMENT AND OE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82"/>
        </w:trPr>
        <w:tc>
          <w:tcPr>
            <w:tcW w:w="27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20" w:type="dxa"/>
            <w:vAlign w:val="bottom"/>
            <w:tcBorders>
              <w:bottom w:val="single" w:sz="8" w:color="auto"/>
            </w:tcBorders>
          </w:tcPr>
          <w:p>
            <w:pPr>
              <w:spacing w:after="0"/>
              <w:rPr>
                <w:sz w:val="24"/>
                <w:szCs w:val="24"/>
                <w:color w:val="auto"/>
              </w:rPr>
            </w:pPr>
          </w:p>
        </w:tc>
      </w:tr>
      <w:tr>
        <w:trPr>
          <w:trHeight w:val="169"/>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tires)</w:t>
            </w:r>
          </w:p>
        </w:tc>
        <w:tc>
          <w:tcPr>
            <w:tcW w:w="4000" w:type="dxa"/>
            <w:vAlign w:val="bottom"/>
          </w:tcPr>
          <w:p>
            <w:pPr>
              <w:spacing w:after="0"/>
              <w:rPr>
                <w:sz w:val="14"/>
                <w:szCs w:val="14"/>
                <w:color w:val="auto"/>
              </w:rPr>
            </w:pPr>
          </w:p>
        </w:tc>
        <w:tc>
          <w:tcPr>
            <w:tcW w:w="13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0" w:type="dxa"/>
            <w:vAlign w:val="bottom"/>
            <w:gridSpan w:val="3"/>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142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Replacement tire units</w:t>
            </w:r>
          </w:p>
        </w:tc>
        <w:tc>
          <w:tcPr>
            <w:tcW w:w="4000" w:type="dxa"/>
            <w:vAlign w:val="bottom"/>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72.6</w:t>
            </w:r>
          </w:p>
        </w:tc>
        <w:tc>
          <w:tcPr>
            <w:tcW w:w="140" w:type="dxa"/>
            <w:vAlign w:val="bottom"/>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44.4</w:t>
            </w:r>
          </w:p>
        </w:tc>
      </w:tr>
      <w:tr>
        <w:trPr>
          <w:trHeight w:val="238"/>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OE tire units</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Pr>
          <w:p>
            <w:pPr>
              <w:spacing w:after="0"/>
              <w:rPr>
                <w:sz w:val="20"/>
                <w:szCs w:val="20"/>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12.3</w:t>
            </w:r>
          </w:p>
        </w:tc>
      </w:tr>
      <w:tr>
        <w:trPr>
          <w:trHeight w:val="278"/>
        </w:trPr>
        <w:tc>
          <w:tcPr>
            <w:tcW w:w="2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tire units</w:t>
            </w:r>
          </w:p>
        </w:tc>
        <w:tc>
          <w:tcPr>
            <w:tcW w:w="400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95.0</w:t>
            </w:r>
          </w:p>
        </w:tc>
        <w:tc>
          <w:tcPr>
            <w:tcW w:w="80" w:type="dxa"/>
            <w:vAlign w:val="bottom"/>
            <w:tcBorders>
              <w:top w:val="single" w:sz="8" w:color="auto"/>
              <w:bottom w:val="single" w:sz="8" w:color="auto"/>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85.9</w:t>
            </w:r>
          </w:p>
        </w:tc>
        <w:tc>
          <w:tcPr>
            <w:tcW w:w="14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56.7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-24765</wp:posOffset>
            </wp:positionV>
            <wp:extent cx="1028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-7620</wp:posOffset>
            </wp:positionV>
            <wp:extent cx="1028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-24765</wp:posOffset>
            </wp:positionV>
            <wp:extent cx="939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-7620</wp:posOffset>
            </wp:positionV>
            <wp:extent cx="939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8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Americas is a major supplier of tires to most manufacturers of automobiles, trucks, buses, aircraft, and earthmoving, mining and industrial equipment that have production facilities located in the Americas.</w:t>
      </w:r>
    </w:p>
    <w:p>
      <w:pPr>
        <w:spacing w:after="0" w:line="5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Americas' primary competitors are Bridgestone and Michelin. Other significant competitors include Continental, Nexen, Pirelli, and imports from other regions, primarily Asia.</w:t>
      </w:r>
    </w:p>
    <w:p>
      <w:pPr>
        <w:spacing w:after="0" w:line="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principal channel for the sale of Goodyear and Cooper brand tires in Americas is a large network of independent dealers. Goodyear, Cooper, Dunlop, Kelly and Mastercraft brand tires are also sold to numerous national and regional retailers, in Goodyear Company-owned stores in the United States, and through the wholesale channel, including through TireHub, LLC ("TireHub"), our national wholesale tire distributor in the United States, and a network of aligned U.S. regional wholesale tire distributors.</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products sold in the United States are subject to Federal Motor Vehicle Safety Standards (“FMVSS”) promulgated and enforced by the National Highway Traffic Safety Administration (“NHTSA”), which has established various standards and regulations applicable to tires sold in the United States and tires sold in a foreign country that are identical or substantially similar to tires sold in the United States. NHTSA has the authority to order the recall of automotive products, including tires, having a defect related to motor vehicle safety or that do not comply with a motor vehicle safety standard. In addition, the Transportation Recall Enhancement, Accountability, and Documentation Act (the “TREAD Act”) imposes numerous reporting requirements with respect to the early warning reporting of warranty claims, property damage claims, and bodily injury and fatality claims. The FMVSS also require tire manufacturers to comply with rigorous tire testing standards. Compliance with these regulations has increased the cost of producing and distributing tires in the United States.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UROPE,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IDDLE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AST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FRICA</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Europe, Middle East and Africa, our second largest segment in terms of revenue, develops, manufactures, distributes and sells tires for automobiles, trucks, buses, aircraft, motorcycles, and earthmoving, mining and industrial equipment throughout Europe, the Middle East and Africa under the Goodyear, Dunlop, Debica, Sava, Fulda, Cooper and Avon brands and other house brands, and sells tires to various export markets, primarily through intersegment sales. EMEA manufactures tires in sixteen plants in France, Germany, Luxembourg, Poland, Serbia, Slovenia, South Africa, Turkey and the United Kingdom. EMEA also:</w:t>
      </w:r>
    </w:p>
    <w:p>
      <w:pPr>
        <w:spacing w:after="0" w:line="74"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sells aviation tires and manufactures and sells retreaded aviation tires,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various retreading and related services for truck and OTR tires, primarily for its commercial truck tire customers,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offers automotive repair services at Company-owned retail outlets, and</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miscellaneous other products and services.</w:t>
      </w:r>
    </w:p>
    <w:p>
      <w:pPr>
        <w:spacing w:after="0" w:line="9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2022, EMEA launched a number of new consumer tires under the Goodyear, Dunlop, Debica, Sava and Fulda brands, including the Goodyear Eagle F1 Asymmetric 6 for the ultra-high performance segment, the Goodyear Eagle Sport 2 for the high performance segment and the Goodyear Ultra Grip Arctic 2 SUV for the winter studded segment. EMEA also enhanced its commercial tire portfolio in all product tiers. In addition, the Goodyear FuelMax Endurance range, which provides better fuel efficiency and lower CO</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emissions, was extended to additional sizes.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 and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Tire unit sales to replacement and OE customers served by EMEA during the periods indicated were: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80" w:type="dxa"/>
            <w:vAlign w:val="bottom"/>
          </w:tcPr>
          <w:p>
            <w:pPr>
              <w:spacing w:after="0"/>
              <w:rPr>
                <w:sz w:val="16"/>
                <w:szCs w:val="16"/>
                <w:color w:val="auto"/>
              </w:rPr>
            </w:pPr>
          </w:p>
        </w:tc>
        <w:tc>
          <w:tcPr>
            <w:tcW w:w="7540" w:type="dxa"/>
            <w:vAlign w:val="bottom"/>
            <w:gridSpan w:val="6"/>
          </w:tcPr>
          <w:p>
            <w:pPr>
              <w:ind w:left="640"/>
              <w:spacing w:after="0"/>
              <w:rPr>
                <w:sz w:val="20"/>
                <w:szCs w:val="20"/>
                <w:color w:val="auto"/>
              </w:rPr>
            </w:pPr>
            <w:r>
              <w:rPr>
                <w:rFonts w:ascii="Times New Roman" w:cs="Times New Roman" w:eastAsia="Times New Roman" w:hAnsi="Times New Roman"/>
                <w:sz w:val="14"/>
                <w:szCs w:val="14"/>
                <w:b w:val="1"/>
                <w:bCs w:val="1"/>
                <w:color w:val="auto"/>
              </w:rPr>
              <w:t>EUROPE, MIDDLE EAST AND AFRICA UNIT SALES — REPLACEMENT AND OE</w:t>
            </w:r>
          </w:p>
        </w:tc>
        <w:tc>
          <w:tcPr>
            <w:tcW w:w="1420" w:type="dxa"/>
            <w:vAlign w:val="bottom"/>
          </w:tcPr>
          <w:p>
            <w:pPr>
              <w:spacing w:after="0"/>
              <w:rPr>
                <w:sz w:val="16"/>
                <w:szCs w:val="16"/>
                <w:color w:val="auto"/>
              </w:rPr>
            </w:pPr>
          </w:p>
        </w:tc>
      </w:tr>
      <w:tr>
        <w:trPr>
          <w:trHeight w:val="282"/>
        </w:trPr>
        <w:tc>
          <w:tcPr>
            <w:tcW w:w="22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20" w:type="dxa"/>
            <w:vAlign w:val="bottom"/>
            <w:tcBorders>
              <w:bottom w:val="single" w:sz="8" w:color="auto"/>
            </w:tcBorders>
          </w:tcPr>
          <w:p>
            <w:pPr>
              <w:spacing w:after="0"/>
              <w:rPr>
                <w:sz w:val="24"/>
                <w:szCs w:val="24"/>
                <w:color w:val="auto"/>
              </w:rPr>
            </w:pPr>
          </w:p>
        </w:tc>
      </w:tr>
      <w:tr>
        <w:trPr>
          <w:trHeight w:val="169"/>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tires)</w:t>
            </w:r>
          </w:p>
        </w:tc>
        <w:tc>
          <w:tcPr>
            <w:tcW w:w="4460" w:type="dxa"/>
            <w:vAlign w:val="bottom"/>
          </w:tcPr>
          <w:p>
            <w:pPr>
              <w:spacing w:after="0"/>
              <w:rPr>
                <w:sz w:val="14"/>
                <w:szCs w:val="14"/>
                <w:color w:val="auto"/>
              </w:rPr>
            </w:pPr>
          </w:p>
        </w:tc>
        <w:tc>
          <w:tcPr>
            <w:tcW w:w="13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0" w:type="dxa"/>
            <w:vAlign w:val="bottom"/>
            <w:gridSpan w:val="3"/>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142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Replacement tire units</w:t>
            </w:r>
          </w:p>
        </w:tc>
        <w:tc>
          <w:tcPr>
            <w:tcW w:w="4460" w:type="dxa"/>
            <w:vAlign w:val="bottom"/>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41.7</w:t>
            </w:r>
          </w:p>
        </w:tc>
        <w:tc>
          <w:tcPr>
            <w:tcW w:w="140" w:type="dxa"/>
            <w:vAlign w:val="bottom"/>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34.0</w:t>
            </w:r>
          </w:p>
        </w:tc>
      </w:tr>
      <w:tr>
        <w:trPr>
          <w:trHeight w:val="238"/>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OE tire units</w:t>
            </w:r>
          </w:p>
        </w:tc>
        <w:tc>
          <w:tcPr>
            <w:tcW w:w="5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Pr>
          <w:p>
            <w:pPr>
              <w:spacing w:after="0"/>
              <w:rPr>
                <w:sz w:val="20"/>
                <w:szCs w:val="20"/>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10.5</w:t>
            </w:r>
          </w:p>
        </w:tc>
      </w:tr>
      <w:tr>
        <w:trPr>
          <w:trHeight w:val="278"/>
        </w:trPr>
        <w:tc>
          <w:tcPr>
            <w:tcW w:w="2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tire units</w:t>
            </w:r>
          </w:p>
        </w:tc>
        <w:tc>
          <w:tcPr>
            <w:tcW w:w="446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55.1</w:t>
            </w:r>
          </w:p>
        </w:tc>
        <w:tc>
          <w:tcPr>
            <w:tcW w:w="80" w:type="dxa"/>
            <w:vAlign w:val="bottom"/>
            <w:tcBorders>
              <w:top w:val="single" w:sz="8" w:color="auto"/>
              <w:bottom w:val="single" w:sz="8" w:color="auto"/>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52.7</w:t>
            </w:r>
          </w:p>
        </w:tc>
        <w:tc>
          <w:tcPr>
            <w:tcW w:w="14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-24765</wp:posOffset>
            </wp:positionV>
            <wp:extent cx="1028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-7620</wp:posOffset>
            </wp:positionV>
            <wp:extent cx="1028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-24765</wp:posOffset>
            </wp:positionV>
            <wp:extent cx="939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-7620</wp:posOffset>
            </wp:positionV>
            <wp:extent cx="939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EMEA is a significant supplier of tires to most vehicle manufacturers across the region.</w:t>
      </w:r>
    </w:p>
    <w:p>
      <w:pPr>
        <w:spacing w:after="0" w:line="11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EMEA’s primary competitors are Michelin, Bridgestone, Continental, Pirelli, several regional and local tire producers, and imports from other regions, primarily Asia.</w:t>
      </w:r>
    </w:p>
    <w:p>
      <w:pPr>
        <w:spacing w:after="0" w:line="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Goodyear and Dunlop brand tires are sold for replacement in EMEA through various channels of distribution, principally independent multi-brand tire dealers. In some areas, Goodyear brand tires, as well as Dunlop, Debica, Sava, Fulda, Cooper and Avon brand tires, are distributed through independent dealers, regional distributors and retail outlets, of which approximately 50 are owned by Goodyear. In 2020, we launched an initiative to better align our European distribution network in order to capture the full value of our products and brands in the marketplace. We continued to make progress on the initiative throughout 2021 and 2022.</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European operations are subject to regulation by the European Union. The Tire Safety Regulation sets performance standards that tires for passenger cars and light and commercial trucks need to meet for rolling resistance, wet grip braking (passenger car tires only) and noise in order to be sold in the European Union. The Tire Labeling Regulation applies to all passenger car, light truck and commercial truck tires and requires that consumers be informed about the tire's fuel efficiency, wet grip and noise characteristics.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SIA</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ACIFIC</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Asia Pacific segment develops, manufactures, distributes and sells tires for automobiles, trucks, buses, aircraft, farm, and earthmoving, mining and industrial equipment throughout the Asia Pacific region, and sells tires to various export markets, primarily through intersegment sales. Asia Pacific manufactures tires in nine plants in China, India, Indonesia, Japan, Malaysia and Thailand. Asia Pacific also:</w:t>
      </w:r>
    </w:p>
    <w:p>
      <w:pPr>
        <w:spacing w:after="0" w:line="69"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retreads truck tires and aviation tires,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manufactures tread rubber and other tire retreading materials for aviation tires,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automotive maintenance and repair services at Company-owned retail outlets, and</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miscellaneous other products and services.</w:t>
      </w:r>
    </w:p>
    <w:p>
      <w:pPr>
        <w:spacing w:after="0" w:line="11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2022, Asia Pacific released new consumer tires under the Goodyear brand for the premium passenger vehicle market, including the Goodyear Assurance ComfortTred tire. In addition, Asia Pacific released the first dedicated electric vehicle ("EV") tire, the Goodyear ElectricDrive line, targeting the fast-growing EV passenger and sport utility vehicle markets.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 and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Tire unit sales to replacement and OE customers served by Asia Pacific during the periods indicated were: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80" w:type="dxa"/>
            <w:vAlign w:val="bottom"/>
          </w:tcPr>
          <w:p>
            <w:pPr>
              <w:spacing w:after="0"/>
              <w:rPr>
                <w:sz w:val="16"/>
                <w:szCs w:val="16"/>
                <w:color w:val="auto"/>
              </w:rPr>
            </w:pPr>
          </w:p>
        </w:tc>
        <w:tc>
          <w:tcPr>
            <w:tcW w:w="5400" w:type="dxa"/>
            <w:vAlign w:val="bottom"/>
            <w:gridSpan w:val="2"/>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ASIA PACIFIC UNIT SALES — REPLACEMENT AND OE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82"/>
        </w:trPr>
        <w:tc>
          <w:tcPr>
            <w:tcW w:w="26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20" w:type="dxa"/>
            <w:vAlign w:val="bottom"/>
            <w:tcBorders>
              <w:bottom w:val="single" w:sz="8" w:color="auto"/>
            </w:tcBorders>
          </w:tcPr>
          <w:p>
            <w:pPr>
              <w:spacing w:after="0"/>
              <w:rPr>
                <w:sz w:val="24"/>
                <w:szCs w:val="24"/>
                <w:color w:val="auto"/>
              </w:rPr>
            </w:pPr>
          </w:p>
        </w:tc>
      </w:tr>
      <w:tr>
        <w:trPr>
          <w:trHeight w:val="169"/>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tires)</w:t>
            </w:r>
          </w:p>
        </w:tc>
        <w:tc>
          <w:tcPr>
            <w:tcW w:w="4060" w:type="dxa"/>
            <w:vAlign w:val="bottom"/>
          </w:tcPr>
          <w:p>
            <w:pPr>
              <w:spacing w:after="0"/>
              <w:rPr>
                <w:sz w:val="14"/>
                <w:szCs w:val="14"/>
                <w:color w:val="auto"/>
              </w:rPr>
            </w:pPr>
          </w:p>
        </w:tc>
        <w:tc>
          <w:tcPr>
            <w:tcW w:w="13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0" w:type="dxa"/>
            <w:vAlign w:val="bottom"/>
            <w:gridSpan w:val="3"/>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142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Replacement tire units</w:t>
            </w:r>
          </w:p>
        </w:tc>
        <w:tc>
          <w:tcPr>
            <w:tcW w:w="4060" w:type="dxa"/>
            <w:vAlign w:val="bottom"/>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16.6</w:t>
            </w:r>
          </w:p>
        </w:tc>
      </w:tr>
      <w:tr>
        <w:trPr>
          <w:trHeight w:val="238"/>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OE tire units</w:t>
            </w:r>
          </w:p>
        </w:tc>
        <w:tc>
          <w:tcPr>
            <w:tcW w:w="5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20"/>
                <w:szCs w:val="20"/>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8.2</w:t>
            </w:r>
          </w:p>
        </w:tc>
      </w:tr>
      <w:tr>
        <w:trPr>
          <w:trHeight w:val="278"/>
        </w:trPr>
        <w:tc>
          <w:tcPr>
            <w:tcW w:w="2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tire units</w:t>
            </w:r>
          </w:p>
        </w:tc>
        <w:tc>
          <w:tcPr>
            <w:tcW w:w="406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34.4</w:t>
            </w:r>
          </w:p>
        </w:tc>
        <w:tc>
          <w:tcPr>
            <w:tcW w:w="80" w:type="dxa"/>
            <w:vAlign w:val="bottom"/>
            <w:tcBorders>
              <w:top w:val="single" w:sz="8" w:color="auto"/>
              <w:bottom w:val="single" w:sz="8" w:color="auto"/>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30.7</w:t>
            </w:r>
          </w:p>
        </w:tc>
        <w:tc>
          <w:tcPr>
            <w:tcW w:w="14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-24765</wp:posOffset>
            </wp:positionV>
            <wp:extent cx="1028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-7620</wp:posOffset>
            </wp:positionV>
            <wp:extent cx="1028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-24765</wp:posOffset>
            </wp:positionV>
            <wp:extent cx="939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-7620</wp:posOffset>
            </wp:positionV>
            <wp:extent cx="939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Asia Pacific’s major competitors are Bridgestone and Michelin along with many other global brands present in different parts of the region, including Continental, Dunlop, Hankook and a large number of regional and local tire producers.</w:t>
      </w:r>
    </w:p>
    <w:p>
      <w:pPr>
        <w:spacing w:after="0" w:line="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Asia Pacific sells primarily Goodyear and Cooper brand tires throughout the region and also sells the Dunlop brand in Australia and New Zealand. Other brands of tires, such as Remington, Kelly, Mastercraft and Starfire, are sold in smaller quantities. Tires are sold through a network of licensed and franchised retail stores and multi-brand retailers through a network of wholesale dealers as well as through an increasing number of on-line outlets. In Australia, we also operate a network of approximately 110 retail stores, primarily under the Beaurepaires brand.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BUSINESS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Availability of Raw Materials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principal raw materials used by Goodyear are synthetic and natural rubber. Synthetic rubber accounted for approximately 50% of all rubber consumed by us in 2022. Our plants located in Beaumont and Houston, Texas supply a major portion of our global synthetic rubber requirements. We purchase all of our requirements for natural rubber in the world market.</w:t>
      </w:r>
    </w:p>
    <w:p>
      <w:pPr>
        <w:spacing w:after="0" w:line="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important raw materials and components we use are carbon black, steel cord, fabrics and petrochemical-based commodities. Substantially all of these raw materials and components are purchased from independent suppliers, except for certain chemicals we manufacture. We purchase most raw materials and components in significant quantities from several suppliers, except in those instances where only one or a few qualified sources are available. Increased demand for consumer products and supply chain disruptions as a result of the ongoing COVID-19 pandemic and other global events, including the conflict in Ukraine, has led to inflationary cost pressures, including higher costs for certain raw materials, higher transportation costs and higher energy costs. We anticipate the continued availability of raw materials and components we will require during 2023, subject to spot shortages and unexpected disruptions caused by the COVID-19 pandemic, natural disasters, such as hurricanes, or other events.</w:t>
      </w:r>
    </w:p>
    <w:p>
      <w:pPr>
        <w:spacing w:after="0" w:line="1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Substantial quantities of fuel and other petrochemical-based commodities are used in the production of tires, synthetic rubber and other products. Supplies of such fuels and commodities have been and are expected to continue to be available to us in quantities sufficient to satisfy our anticipated requirements, subject to spot shortages.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2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At December 31, 2022, we employed approximately 74,000 full-time and temporary associates throughout the world, including approximately 42,000 associates covered under collective bargaining agreements. Approximately 5,700 of our associates in the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United States are covered by a new master collective bargaining agreement between Goodyear and the United Steelworkers ("USW"), which was ratified in the second half of 2022 and expires in July 2026. Approximately 2,300 of our associates at our Texarkana and Findlay plants in the United States are covered by separate collective bargaining agreements with the USW, which expire in June 2024 and February 2024, respectively. In addition, approximately 800 of our associates in the United States are covered by other contracts with the USW and various other unions. Approximately 21,000 of our associates outside of the United States are covered by union contracts that currently have expired or that will expire in 2023, primarily in Germany, Poland, China, Mexico, Slovenia, France and Turkey. Unions represent a major portion of our associates in the United States and Europe.</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continue to experience increased labor-related costs and manufacturing inefficiencies associated with the ongoing tight labor supply, particularly in the U.S. To address this issue, we have accelerated hiring as necessary, increased training capacity and started to adjust future investment plans to consider not just the cost, but also the availability of qualified workers.</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Engaging and enabling our associates to realize their full potential is one of our core strategies. This starts with attracting top diverse talent and is followed by fostering inclusion, promoting equity through global inclusive leader training, offering opportunities for skill and career development, supporting health and wellness, providing a safe and healthy workplace, making a positive impact in our communities, and expecting our associates to know and comply with our compliance and ethics policies.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Talent Management — </w:t>
      </w:r>
      <w:r>
        <w:rPr>
          <w:rFonts w:ascii="Times New Roman" w:cs="Times New Roman" w:eastAsia="Times New Roman" w:hAnsi="Times New Roman"/>
          <w:sz w:val="18"/>
          <w:szCs w:val="18"/>
          <w:color w:val="auto"/>
        </w:rPr>
        <w:t>Our associates are the driving force behind our success. They underpin every aspect of our strategy and help us deliver value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shareholders and communities. We provide integrated talent management and learning solutions aimed at enabling our associates to reach their full personal and professional potential at Goodyear. We are guided by our talent strategy which focuses on talent attraction, talent development and talent engagement and retention. An example of how we attract talent is through campus recruiting into our intern and job rotational programs utilized by several of our functional teams. We offer a number of tools for talent development including the Goodyear Learning Center, which is our in-house collection of online courses available to all associates. In our manufacturing plants, one of the pillars of our plant optimization efforts is Continuous Skills Development, which focuses on developing problem-solving and decision-making skills.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Diversity and Inclusion — </w:t>
      </w:r>
      <w:r>
        <w:rPr>
          <w:rFonts w:ascii="Times New Roman" w:cs="Times New Roman" w:eastAsia="Times New Roman" w:hAnsi="Times New Roman"/>
          <w:sz w:val="18"/>
          <w:szCs w:val="18"/>
          <w:color w:val="auto"/>
        </w:rPr>
        <w:t>A diverse workforce is critical to our long-term success. Embracing and valuing differences allows us to attract top talent,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 associate satisfaction and engagement, foster innovation, and meld varying experiences and perspectives to drive enhanced customer service, business creativity and decision-making. Our goal is to create a work environment where people have a real sense of belonging and are able to thrive. Our commitment is reflected in the policies that govern our workforce, such as our Business Conduct Manual and Global Zero Tolerance policy and is evidenced in our recruiting strategies, succession planning, diversity and inclusion training and Employee Resource Groups (“ERGs”), which are key to our inclusion efforts. Our ERGs provide associates access to coaching, mentoring and professional development, and include ADAPT (Abled and Disabled Associates Partnering Together), Goodyear Asia India Middle East (AIM), Goodyear Black Network, Goodyear Veterans Association, Goodyear Women’s Network, Goodyear Pride Network, HOLA (Hispanic/Latino) and Next Generation Leaders.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Health and Wellness — </w:t>
      </w:r>
      <w:r>
        <w:rPr>
          <w:rFonts w:ascii="Times New Roman" w:cs="Times New Roman" w:eastAsia="Times New Roman" w:hAnsi="Times New Roman"/>
          <w:sz w:val="18"/>
          <w:szCs w:val="18"/>
          <w:color w:val="auto"/>
        </w:rPr>
        <w:t>Our wellness initiatives take a holistic view of associate health, including physical, emotional, financial and social health, to enable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associates to thrive and bring their best selves to work each day. Goodyear strives to be at the forefront of corporate wellness, and that goal is the driver behind our “GoodLife” wellness program, which fosters a culture of wellness for all Goodyear associates and their families. To meet the needs of our diverse workforce and their dependents, we offer varying robust benefits packages for our full-time and part-time associates globally.</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Workforce Safety and Wellness — </w:t>
      </w:r>
      <w:r>
        <w:rPr>
          <w:rFonts w:ascii="Times New Roman" w:cs="Times New Roman" w:eastAsia="Times New Roman" w:hAnsi="Times New Roman"/>
          <w:sz w:val="18"/>
          <w:szCs w:val="18"/>
          <w:color w:val="auto"/>
        </w:rPr>
        <w:t>Our vision is to have the safest operations in the world. We have established a goal of eliminating all serious injuries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fatalities in our workplace. To reduce the risk of serious injuries we invest in systems that enable us to receive reliable and structured data to enable decision making. We also work to improve our industrial hygiene to prevent work-related illness from noise and the substances used in the manufacturing process and we focus on ergonomics using a six-step problem-solving process to reduce injuries and maximize workplace performance.</w:t>
      </w:r>
    </w:p>
    <w:p>
      <w:pPr>
        <w:spacing w:after="0" w:line="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Community Engagement — </w:t>
      </w:r>
      <w:r>
        <w:rPr>
          <w:rFonts w:ascii="Times New Roman" w:cs="Times New Roman" w:eastAsia="Times New Roman" w:hAnsi="Times New Roman"/>
          <w:sz w:val="18"/>
          <w:szCs w:val="18"/>
          <w:color w:val="auto"/>
        </w:rPr>
        <w:t>Collaborating with community organizations energizes our associates and helps us build a better future. Our global strategy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efforts are an extension of our business and are aimed at safe mobility, inspiring students to reach their full potential and reducing our environmental impacts. We encourage our associates to participate in our Global Week of Volunteering.</w:t>
      </w:r>
    </w:p>
    <w:p>
      <w:pPr>
        <w:spacing w:after="0" w:line="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Compliance and Ethics — </w:t>
      </w:r>
      <w:r>
        <w:rPr>
          <w:rFonts w:ascii="Times New Roman" w:cs="Times New Roman" w:eastAsia="Times New Roman" w:hAnsi="Times New Roman"/>
          <w:sz w:val="18"/>
          <w:szCs w:val="18"/>
          <w:color w:val="auto"/>
        </w:rPr>
        <w:t>To “Act with Integrity” is a core component of our global strategy. Each associate is responsible for acting with honesty,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integrity and respect every day and everywhere we do business. Our Business Conduct Manual guides our Board of Directors, executive team and all associates globally. We require our global salaried associates to complete training annually on our Business Conduct Manual and periodically on subjects such as workplace respect (including discrimination and harassment), financial integrity, privacy and data protection, competition law, anti-corruption and anti-bribery, and being a compliance leader.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Trademarks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own approximately 1,800 product, process and equipment patents issued by the United States Patent Office and approximately 4,900 patents issued or granted in other countries around the world. We have approximately 500 applications for United States patents pending and approximately 800 patent applications on file in other countries around the world. While such patents and patent applications as a group are important, we do not consider any patent or patent application to be of such importance that the loss or expiration thereof would materially affect Goodyear or any business segment.</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own, control or use approximately 1,600 different trademarks, including several using the word “Goodyear,” the word “Dunlop” or the word “Cooper.” Approximately 9,300 registrations and 300 pending applications worldwide protect these trademarks. While such trademarks as a group are important, the only trademarks we consider material to our business, or to the business of any of our segments, are those using the word “Goodyear” or the word “Cooper,” and with respect to certain of our international business segments, those using the word “Dunlop.” We believe our trademarks are valid and most are of unlimited duration as long as they are adequately protected and appropriately used.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Government Regulations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extensive regulation under environmental and occupational safety and health laws and regulations worldwide. These laws and regulations relate to, among other things, air emissions, discharges to surface and underground waters, the generation, handling, storage, transportation and disposal of waste materials and hazardous substances, and workplace safety and health. We have several continuing programs designed to ensure compliance with foreign, federal, state and local environmental and occupational safety and health laws and regulations. We expect capital expenditures for pollution control facilities and occupational safety and health projects to be approximately $60 million in both 2023 and 2024.</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incur ongoing expenses to maintain and operate our pollution control facilities and conduct our other environmental activities, including the control and disposal of hazardous substances. These expenditures are expected to be sufficient to comply with existing environmental laws and regulations and are not expected to have a material adverse effect on our competitive position. In the future, we may incur increased costs and additional charges associated with environmental compliance and cleanup projects necessitated by the identification of new waste sites, the impact of new environmental laws and regulatory standards, or the availability of new technologies. Compliance with foreign, federal, state and local environmental laws and regulations in the future may require a material increase in our capital expenditures and could adversely affect our earnings and competitive position.</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compliance with complex foreign and U.S. laws and regulations that apply to our international operations increases our cost of doing business in international jurisdictions. These numerous and sometimes conflicting laws and regulations include import and export laws, anti-competition laws, anti-corruption laws, such as the U.S. Foreign Corrupt Practices Act, the U.K. Bribery Act and other local laws prohibiting corrupt payments to governmental officials, data privacy laws such as the European Union's General Data Protection Regulation ("GDPR"), tax laws, and accounting, internal control and disclosure requirements.</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Refer to “Description of Goodyear’s Business – Americas” and “Description of Goodyear’s Business – Europe, Middle East and Africa” included in this Item 1, “Business” for information regarding compliance with government regulations in each of those segments.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Climate Change and Sustainability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2021, we announced our climate ambition, which includes our goal to reach net-zero scope 1 and 2 and certain scope 3 greenhouse gas emissions by 2050, aligned with the Science-Based Targets initiative (“SBTi”) and its Net-Zero Standard. We also announced our commitment to achieve near-term science-based targets by 2030, including reducing scope 1 and 2 emissions by 46% and certain scope 3 emissions by 28%, as compared to 2019. Our climate ambition includes several other important long-term sustainability goals, including our commitments to use all renewable energy in our manufacturing facilities and processes by 2040, replace all petroleum-derived oils in our products by 2040 and develop a tire made of 100% sustainable materials by 2030.</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Climate considerations are driving change in the transportation sector. Advanced forms of mobility, such as electric vehicles, ride sharing and fleets, autonomous vehicles and connected vehicles, have the potential to reduce vehicle emissions and energy use. Companies in the transportation sector are setting ambitious climate goals that require the support of the entire supply chain to achieve.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established a robust process that uses internal and external insights to identify, assess and report climate-related risks and opportunities.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move to a low-carbon economy creates growth opportunities within the tire industry that we are well positioned to leverage through our continued innovation. We have a proven track record of producing tires for electric and autonomous vehicles, developing tires and rubber compounds that contribute to reduced greenhouse gas emissions by lowering rolling resistance and reducing tire weight, and providing fleet solution services that promote fuel efficiency. We maintain strong relationships with our supply chain partners which, coupled with our global scale, can be leveraged to either avoid or minimize climate-related supply chain disruptions.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Climate change poses risks that could adversely impact our operations, including risks related to our plans to continue to develop and supply the types of products, services and technologies requested by consumers. Such risks also include an increase in severe weather events that could temporarily disrupt our operations or supply chain or the operations of our customers and the cost of compliance associated with increased climate-related regulations globally, including increased disclosure obligations or being subject to carbon taxes or similar mechanisms in the European Union or the emergence of such programs in other countries. Refer to Item 1A. “Risk Factors” for a discussion of these and our other risk factors.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Federal, state, local and foreign governments and regulatory agencies continue to consider various options and measures to control greenhouse gas emissions in response to climate change. We strive to comply with all applicable laws and regulations, carefully monitor our energy usage and greenhouse gas emissions, and set company-wide and facility-specific goals to reduce our operational impacts. As part of our commitment to reduce our operational impact, we continue to focus on reducing energy consumption and emissions in our factories and utilizing renewable energy sources. We achieved our previously announced goal to procure 100% renewable electricity across all of our facilities in Europe and Turkey by the end of 2022.</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focus on the resiliency of our supply chain by developing alternative, more sustainable material sources and increasing our use of more sustainable materials that deliver either the same or enhanced product quality and performance. We also select suppliers that uphold fair working conditions, use sustainable harvesting practices and share our values. Our technology teams work to investigate and incorporate new technologies and materials, including renewable and recycled materials, that reduce our value chain greenhouse gas emissions. An example is our use of rice husk ash as an alternative to traditional silica.</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early 2023, we announced the release of a demonstration tire with 90% sustainable materials that is approved for road use. The development of this tire signals great progress toward our goal of developing a 100% sustainable-material tire by 2030.</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2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Set forth below are: (1) the names and ages of all executive officers of the Company at February 13, 2023, (2) all positions with the Company presently held by each such person, and (3) the positions held by, and principal areas of responsibility of, each such person during the last five years.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7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120" w:type="dxa"/>
            <w:vAlign w:val="bottom"/>
          </w:tcPr>
          <w:p>
            <w:pPr>
              <w:spacing w:after="0"/>
              <w:rPr>
                <w:sz w:val="15"/>
                <w:szCs w:val="15"/>
                <w:color w:val="auto"/>
              </w:rPr>
            </w:pPr>
          </w:p>
        </w:tc>
        <w:tc>
          <w:tcPr>
            <w:tcW w:w="8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371"/>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Richard J. Kramer</w:t>
            </w:r>
          </w:p>
        </w:tc>
        <w:tc>
          <w:tcPr>
            <w:tcW w:w="120" w:type="dxa"/>
            <w:vAlign w:val="bottom"/>
          </w:tcPr>
          <w:p>
            <w:pPr>
              <w:spacing w:after="0"/>
              <w:rPr>
                <w:sz w:val="24"/>
                <w:szCs w:val="24"/>
                <w:color w:val="auto"/>
              </w:rPr>
            </w:pPr>
          </w:p>
        </w:tc>
        <w:tc>
          <w:tcPr>
            <w:tcW w:w="7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Chairman, Chief Executive Officer and President</w:t>
            </w:r>
          </w:p>
        </w:tc>
        <w:tc>
          <w:tcPr>
            <w:tcW w:w="9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b w:val="1"/>
                <w:bCs w:val="1"/>
                <w:color w:val="auto"/>
              </w:rPr>
              <w:t>59</w:t>
            </w:r>
          </w:p>
        </w:tc>
      </w:tr>
    </w:tbl>
    <w:p>
      <w:pPr>
        <w:spacing w:after="0" w:line="224" w:lineRule="exact"/>
        <w:rPr>
          <w:sz w:val="20"/>
          <w:szCs w:val="20"/>
          <w:color w:val="auto"/>
        </w:rPr>
      </w:pPr>
    </w:p>
    <w:p>
      <w:pPr>
        <w:jc w:val="both"/>
        <w:ind w:left="20" w:right="20"/>
        <w:spacing w:after="0" w:line="265" w:lineRule="auto"/>
        <w:rPr>
          <w:sz w:val="20"/>
          <w:szCs w:val="20"/>
          <w:color w:val="auto"/>
        </w:rPr>
      </w:pPr>
      <w:r>
        <w:rPr>
          <w:rFonts w:ascii="Times New Roman" w:cs="Times New Roman" w:eastAsia="Times New Roman" w:hAnsi="Times New Roman"/>
          <w:sz w:val="18"/>
          <w:szCs w:val="18"/>
          <w:color w:val="auto"/>
        </w:rPr>
        <w:t>Mr. Kramer was elected Chief Executive Officer and President in April 2010 and Chairman in October 2010. He is the principal executive officer of the Company. Mr. Kramer joined Goodyear in 2000 and has served as Executive Vice President and Chief Financial Officer (June 2004 to August 2007), President, North America (March 2007 to February 2010) and Chief Operating Officer (June 2009 to April 2010).</w:t>
      </w:r>
    </w:p>
    <w:p>
      <w:pPr>
        <w:spacing w:after="0" w:line="133" w:lineRule="exact"/>
        <w:rPr>
          <w:sz w:val="20"/>
          <w:szCs w:val="20"/>
          <w:color w:val="auto"/>
        </w:rPr>
      </w:pPr>
    </w:p>
    <w:p>
      <w:pPr>
        <w:ind w:left="300"/>
        <w:spacing w:after="0"/>
        <w:tabs>
          <w:tab w:leader="none" w:pos="4420" w:val="left"/>
          <w:tab w:leader="none" w:pos="10820" w:val="left"/>
        </w:tabs>
        <w:rPr>
          <w:sz w:val="20"/>
          <w:szCs w:val="20"/>
          <w:color w:val="auto"/>
        </w:rPr>
      </w:pPr>
      <w:r>
        <w:rPr>
          <w:rFonts w:ascii="Times New Roman" w:cs="Times New Roman" w:eastAsia="Times New Roman" w:hAnsi="Times New Roman"/>
          <w:sz w:val="18"/>
          <w:szCs w:val="18"/>
          <w:b w:val="1"/>
          <w:bCs w:val="1"/>
          <w:color w:val="auto"/>
        </w:rPr>
        <w:t>Darren R. Wells</w:t>
      </w:r>
      <w:r>
        <w:rPr>
          <w:sz w:val="20"/>
          <w:szCs w:val="20"/>
          <w:color w:val="auto"/>
        </w:rPr>
        <w:tab/>
      </w:r>
      <w:r>
        <w:rPr>
          <w:rFonts w:ascii="Times New Roman" w:cs="Times New Roman" w:eastAsia="Times New Roman" w:hAnsi="Times New Roman"/>
          <w:sz w:val="18"/>
          <w:szCs w:val="18"/>
          <w:b w:val="1"/>
          <w:bCs w:val="1"/>
          <w:color w:val="auto"/>
        </w:rPr>
        <w:t>Executive Vice President and Chief Administrative Officer</w:t>
      </w:r>
      <w:r>
        <w:rPr>
          <w:sz w:val="20"/>
          <w:szCs w:val="20"/>
          <w:color w:val="auto"/>
        </w:rPr>
        <w:tab/>
      </w:r>
      <w:r>
        <w:rPr>
          <w:rFonts w:ascii="Times New Roman" w:cs="Times New Roman" w:eastAsia="Times New Roman" w:hAnsi="Times New Roman"/>
          <w:sz w:val="18"/>
          <w:szCs w:val="18"/>
          <w:b w:val="1"/>
          <w:bCs w:val="1"/>
          <w:color w:val="auto"/>
        </w:rPr>
        <w:t>57</w:t>
      </w:r>
    </w:p>
    <w:p>
      <w:pPr>
        <w:spacing w:after="0" w:line="255" w:lineRule="exact"/>
        <w:rPr>
          <w:sz w:val="20"/>
          <w:szCs w:val="20"/>
          <w:color w:val="auto"/>
        </w:rPr>
      </w:pPr>
    </w:p>
    <w:p>
      <w:pPr>
        <w:jc w:val="both"/>
        <w:ind w:left="20" w:right="20"/>
        <w:spacing w:after="0" w:line="256" w:lineRule="auto"/>
        <w:rPr>
          <w:sz w:val="20"/>
          <w:szCs w:val="20"/>
          <w:color w:val="auto"/>
        </w:rPr>
      </w:pPr>
      <w:r>
        <w:rPr>
          <w:rFonts w:ascii="Times New Roman" w:cs="Times New Roman" w:eastAsia="Times New Roman" w:hAnsi="Times New Roman"/>
          <w:sz w:val="18"/>
          <w:szCs w:val="18"/>
          <w:color w:val="auto"/>
        </w:rPr>
        <w:t>Mr. Wells was named Executive Vice President and Chief Administrative Officer on January 1, 2023. He is the executive officer responsible for Goodyear’s strategic and growth initiatives, as well as information technology activities. Mr. Wells served as Goodyear’s Executive Vice President and Chief Financial Officer from September 2018 to December 31, 2022 and from October 2008 to November 2013. He was previously employed by Goodyear from 2002 to 2015 and also served as President, Europe, Middle East and Africa (December 2013 to December 2015). Prior to rejoining Goodyear in 2018, Mr. Wells was an Executive in Residence and MBA Coach at the University of South Florida’s Muma College of Business from January 2018 to September 2018.</w:t>
      </w:r>
    </w:p>
    <w:p>
      <w:pPr>
        <w:spacing w:after="0" w:line="141" w:lineRule="exact"/>
        <w:rPr>
          <w:sz w:val="20"/>
          <w:szCs w:val="20"/>
          <w:color w:val="auto"/>
        </w:rPr>
      </w:pPr>
    </w:p>
    <w:p>
      <w:pPr>
        <w:ind w:left="300"/>
        <w:spacing w:after="0"/>
        <w:tabs>
          <w:tab w:leader="none" w:pos="4640" w:val="left"/>
          <w:tab w:leader="none" w:pos="10820" w:val="left"/>
        </w:tabs>
        <w:rPr>
          <w:sz w:val="20"/>
          <w:szCs w:val="20"/>
          <w:color w:val="auto"/>
        </w:rPr>
      </w:pPr>
      <w:r>
        <w:rPr>
          <w:rFonts w:ascii="Times New Roman" w:cs="Times New Roman" w:eastAsia="Times New Roman" w:hAnsi="Times New Roman"/>
          <w:sz w:val="18"/>
          <w:szCs w:val="18"/>
          <w:b w:val="1"/>
          <w:bCs w:val="1"/>
          <w:color w:val="auto"/>
        </w:rPr>
        <w:t>Christina L. Zamarro</w:t>
      </w:r>
      <w:r>
        <w:rPr>
          <w:sz w:val="20"/>
          <w:szCs w:val="20"/>
          <w:color w:val="auto"/>
        </w:rPr>
        <w:tab/>
      </w:r>
      <w:r>
        <w:rPr>
          <w:rFonts w:ascii="Times New Roman" w:cs="Times New Roman" w:eastAsia="Times New Roman" w:hAnsi="Times New Roman"/>
          <w:sz w:val="18"/>
          <w:szCs w:val="18"/>
          <w:b w:val="1"/>
          <w:bCs w:val="1"/>
          <w:color w:val="auto"/>
        </w:rPr>
        <w:t>Executive Vice President and Chief Financial Officer</w:t>
      </w:r>
      <w:r>
        <w:rPr>
          <w:sz w:val="20"/>
          <w:szCs w:val="20"/>
          <w:color w:val="auto"/>
        </w:rPr>
        <w:tab/>
      </w:r>
      <w:r>
        <w:rPr>
          <w:rFonts w:ascii="Times New Roman" w:cs="Times New Roman" w:eastAsia="Times New Roman" w:hAnsi="Times New Roman"/>
          <w:sz w:val="18"/>
          <w:szCs w:val="18"/>
          <w:b w:val="1"/>
          <w:bCs w:val="1"/>
          <w:color w:val="auto"/>
        </w:rPr>
        <w:t>51</w:t>
      </w:r>
    </w:p>
    <w:p>
      <w:pPr>
        <w:spacing w:after="0" w:line="40" w:lineRule="exact"/>
        <w:rPr>
          <w:sz w:val="20"/>
          <w:szCs w:val="20"/>
          <w:color w:val="auto"/>
        </w:rPr>
      </w:pPr>
    </w:p>
    <w:p>
      <w:pPr>
        <w:jc w:val="both"/>
        <w:ind w:left="20" w:right="20"/>
        <w:spacing w:after="0" w:line="265" w:lineRule="auto"/>
        <w:rPr>
          <w:sz w:val="20"/>
          <w:szCs w:val="20"/>
          <w:color w:val="auto"/>
        </w:rPr>
      </w:pPr>
      <w:r>
        <w:rPr>
          <w:rFonts w:ascii="Times New Roman" w:cs="Times New Roman" w:eastAsia="Times New Roman" w:hAnsi="Times New Roman"/>
          <w:sz w:val="18"/>
          <w:szCs w:val="18"/>
          <w:color w:val="auto"/>
        </w:rPr>
        <w:t>Ms. Zamarro was named Executive Vice President and Chief Financial Officer on January 1, 2023. She is Goodyear’s principal financial officer. Ms. Zamarro joined Goodyear in 2007 and has served as Vice President, Investor Relations (2014 to March 2018), Vice President, FP&amp;A and Investor Relations (April 2018 to April 2020) and Vice President, Finance and Treasurer (May 2020 to December 31, 2022).</w:t>
      </w:r>
    </w:p>
    <w:p>
      <w:pPr>
        <w:spacing w:after="0" w:line="133" w:lineRule="exact"/>
        <w:rPr>
          <w:sz w:val="20"/>
          <w:szCs w:val="20"/>
          <w:color w:val="auto"/>
        </w:rPr>
      </w:pPr>
    </w:p>
    <w:p>
      <w:pPr>
        <w:ind w:left="300"/>
        <w:spacing w:after="0"/>
        <w:tabs>
          <w:tab w:leader="none" w:pos="5900" w:val="left"/>
          <w:tab w:leader="none" w:pos="10820" w:val="left"/>
        </w:tabs>
        <w:rPr>
          <w:sz w:val="20"/>
          <w:szCs w:val="20"/>
          <w:color w:val="auto"/>
        </w:rPr>
      </w:pPr>
      <w:r>
        <w:rPr>
          <w:rFonts w:ascii="Times New Roman" w:cs="Times New Roman" w:eastAsia="Times New Roman" w:hAnsi="Times New Roman"/>
          <w:sz w:val="18"/>
          <w:szCs w:val="18"/>
          <w:b w:val="1"/>
          <w:bCs w:val="1"/>
          <w:color w:val="auto"/>
        </w:rPr>
        <w:t>Stephen R. McClellan</w:t>
      </w:r>
      <w:r>
        <w:rPr>
          <w:sz w:val="20"/>
          <w:szCs w:val="20"/>
          <w:color w:val="auto"/>
        </w:rPr>
        <w:tab/>
      </w:r>
      <w:r>
        <w:rPr>
          <w:rFonts w:ascii="Times New Roman" w:cs="Times New Roman" w:eastAsia="Times New Roman" w:hAnsi="Times New Roman"/>
          <w:sz w:val="18"/>
          <w:szCs w:val="18"/>
          <w:b w:val="1"/>
          <w:bCs w:val="1"/>
          <w:color w:val="auto"/>
        </w:rPr>
        <w:t>President, Americas</w:t>
      </w:r>
      <w:r>
        <w:rPr>
          <w:sz w:val="20"/>
          <w:szCs w:val="20"/>
          <w:color w:val="auto"/>
        </w:rPr>
        <w:tab/>
      </w:r>
      <w:r>
        <w:rPr>
          <w:rFonts w:ascii="Times New Roman" w:cs="Times New Roman" w:eastAsia="Times New Roman" w:hAnsi="Times New Roman"/>
          <w:sz w:val="18"/>
          <w:szCs w:val="18"/>
          <w:b w:val="1"/>
          <w:bCs w:val="1"/>
          <w:color w:val="auto"/>
        </w:rPr>
        <w:t>57</w:t>
      </w:r>
    </w:p>
    <w:p>
      <w:pPr>
        <w:spacing w:after="0" w:line="255" w:lineRule="exact"/>
        <w:rPr>
          <w:sz w:val="20"/>
          <w:szCs w:val="20"/>
          <w:color w:val="auto"/>
        </w:rPr>
      </w:pPr>
    </w:p>
    <w:p>
      <w:pPr>
        <w:jc w:val="both"/>
        <w:ind w:left="20" w:right="20"/>
        <w:spacing w:after="0" w:line="281" w:lineRule="auto"/>
        <w:rPr>
          <w:sz w:val="20"/>
          <w:szCs w:val="20"/>
          <w:color w:val="auto"/>
        </w:rPr>
      </w:pPr>
      <w:r>
        <w:rPr>
          <w:rFonts w:ascii="Times New Roman" w:cs="Times New Roman" w:eastAsia="Times New Roman" w:hAnsi="Times New Roman"/>
          <w:sz w:val="18"/>
          <w:szCs w:val="18"/>
          <w:color w:val="auto"/>
        </w:rPr>
        <w:t>Mr. McClellan was named President, Americas in January 2016. He is the executive officer responsible for Goodyear's operations in North, Central and South America. Mr. McClellan joined Goodyear in 1988.</w:t>
      </w:r>
    </w:p>
    <w:p>
      <w:pPr>
        <w:spacing w:after="0" w:line="118" w:lineRule="exact"/>
        <w:rPr>
          <w:sz w:val="20"/>
          <w:szCs w:val="20"/>
          <w:color w:val="auto"/>
        </w:rPr>
      </w:pPr>
    </w:p>
    <w:p>
      <w:pPr>
        <w:ind w:left="300"/>
        <w:spacing w:after="0"/>
        <w:tabs>
          <w:tab w:leader="none" w:pos="5040" w:val="left"/>
          <w:tab w:leader="none" w:pos="10820" w:val="left"/>
        </w:tabs>
        <w:rPr>
          <w:sz w:val="20"/>
          <w:szCs w:val="20"/>
          <w:color w:val="auto"/>
        </w:rPr>
      </w:pPr>
      <w:r>
        <w:rPr>
          <w:rFonts w:ascii="Times New Roman" w:cs="Times New Roman" w:eastAsia="Times New Roman" w:hAnsi="Times New Roman"/>
          <w:sz w:val="18"/>
          <w:szCs w:val="18"/>
          <w:b w:val="1"/>
          <w:bCs w:val="1"/>
          <w:color w:val="auto"/>
        </w:rPr>
        <w:t>Christopher R. Delaney</w:t>
      </w:r>
      <w:r>
        <w:rPr>
          <w:sz w:val="20"/>
          <w:szCs w:val="20"/>
          <w:color w:val="auto"/>
        </w:rPr>
        <w:tab/>
      </w:r>
      <w:r>
        <w:rPr>
          <w:rFonts w:ascii="Times New Roman" w:cs="Times New Roman" w:eastAsia="Times New Roman" w:hAnsi="Times New Roman"/>
          <w:sz w:val="18"/>
          <w:szCs w:val="18"/>
          <w:b w:val="1"/>
          <w:bCs w:val="1"/>
          <w:color w:val="auto"/>
        </w:rPr>
        <w:t>President, Europe, Middle East and Africa</w:t>
      </w:r>
      <w:r>
        <w:rPr>
          <w:sz w:val="20"/>
          <w:szCs w:val="20"/>
          <w:color w:val="auto"/>
        </w:rPr>
        <w:tab/>
      </w:r>
      <w:r>
        <w:rPr>
          <w:rFonts w:ascii="Times New Roman" w:cs="Times New Roman" w:eastAsia="Times New Roman" w:hAnsi="Times New Roman"/>
          <w:sz w:val="18"/>
          <w:szCs w:val="18"/>
          <w:b w:val="1"/>
          <w:bCs w:val="1"/>
          <w:color w:val="auto"/>
        </w:rPr>
        <w:t>61</w:t>
      </w:r>
    </w:p>
    <w:p>
      <w:pPr>
        <w:spacing w:after="0" w:line="255" w:lineRule="exact"/>
        <w:rPr>
          <w:sz w:val="20"/>
          <w:szCs w:val="20"/>
          <w:color w:val="auto"/>
        </w:rPr>
      </w:pPr>
    </w:p>
    <w:p>
      <w:pPr>
        <w:jc w:val="both"/>
        <w:ind w:left="20" w:right="20"/>
        <w:spacing w:after="0" w:line="265" w:lineRule="auto"/>
        <w:rPr>
          <w:sz w:val="20"/>
          <w:szCs w:val="20"/>
          <w:color w:val="auto"/>
        </w:rPr>
      </w:pPr>
      <w:r>
        <w:rPr>
          <w:rFonts w:ascii="Times New Roman" w:cs="Times New Roman" w:eastAsia="Times New Roman" w:hAnsi="Times New Roman"/>
          <w:sz w:val="18"/>
          <w:szCs w:val="18"/>
          <w:color w:val="auto"/>
        </w:rPr>
        <w:t>Mr. Delaney was named President, Europe, Middle East and Africa in September 2017. He is the executive officer responsible for Goodyear’s operations in Europe, the Middle East and Africa. Mr. Delaney joined Goodyear as President-Elect, Asia Pacific in August 2015, and has served as President, Asia Pacific (January 2016 to September 2017).</w:t>
      </w:r>
    </w:p>
    <w:p>
      <w:pPr>
        <w:spacing w:after="0" w:line="133" w:lineRule="exact"/>
        <w:rPr>
          <w:sz w:val="20"/>
          <w:szCs w:val="20"/>
          <w:color w:val="auto"/>
        </w:rPr>
      </w:pPr>
    </w:p>
    <w:p>
      <w:pPr>
        <w:ind w:left="300"/>
        <w:spacing w:after="0"/>
        <w:tabs>
          <w:tab w:leader="none" w:pos="5800" w:val="left"/>
          <w:tab w:leader="none" w:pos="10820" w:val="left"/>
        </w:tabs>
        <w:rPr>
          <w:sz w:val="20"/>
          <w:szCs w:val="20"/>
          <w:color w:val="auto"/>
        </w:rPr>
      </w:pPr>
      <w:r>
        <w:rPr>
          <w:rFonts w:ascii="Times New Roman" w:cs="Times New Roman" w:eastAsia="Times New Roman" w:hAnsi="Times New Roman"/>
          <w:sz w:val="18"/>
          <w:szCs w:val="18"/>
          <w:b w:val="1"/>
          <w:bCs w:val="1"/>
          <w:color w:val="auto"/>
        </w:rPr>
        <w:t>Nathaniel Madarang</w:t>
      </w:r>
      <w:r>
        <w:rPr>
          <w:sz w:val="20"/>
          <w:szCs w:val="20"/>
          <w:color w:val="auto"/>
        </w:rPr>
        <w:tab/>
      </w:r>
      <w:r>
        <w:rPr>
          <w:rFonts w:ascii="Times New Roman" w:cs="Times New Roman" w:eastAsia="Times New Roman" w:hAnsi="Times New Roman"/>
          <w:sz w:val="18"/>
          <w:szCs w:val="18"/>
          <w:b w:val="1"/>
          <w:bCs w:val="1"/>
          <w:color w:val="auto"/>
        </w:rPr>
        <w:t>President, Asia Pacific</w:t>
      </w:r>
      <w:r>
        <w:rPr>
          <w:sz w:val="20"/>
          <w:szCs w:val="20"/>
          <w:color w:val="auto"/>
        </w:rPr>
        <w:tab/>
      </w:r>
      <w:r>
        <w:rPr>
          <w:rFonts w:ascii="Times New Roman" w:cs="Times New Roman" w:eastAsia="Times New Roman" w:hAnsi="Times New Roman"/>
          <w:sz w:val="18"/>
          <w:szCs w:val="18"/>
          <w:b w:val="1"/>
          <w:bCs w:val="1"/>
          <w:color w:val="auto"/>
        </w:rPr>
        <w:t>52</w:t>
      </w:r>
    </w:p>
    <w:p>
      <w:pPr>
        <w:spacing w:after="0" w:line="255" w:lineRule="exact"/>
        <w:rPr>
          <w:sz w:val="20"/>
          <w:szCs w:val="20"/>
          <w:color w:val="auto"/>
        </w:rPr>
      </w:pPr>
    </w:p>
    <w:p>
      <w:pPr>
        <w:jc w:val="both"/>
        <w:ind w:left="20" w:right="20"/>
        <w:spacing w:after="0" w:line="265" w:lineRule="auto"/>
        <w:rPr>
          <w:sz w:val="20"/>
          <w:szCs w:val="20"/>
          <w:color w:val="auto"/>
        </w:rPr>
      </w:pPr>
      <w:r>
        <w:rPr>
          <w:rFonts w:ascii="Times New Roman" w:cs="Times New Roman" w:eastAsia="Times New Roman" w:hAnsi="Times New Roman"/>
          <w:sz w:val="18"/>
          <w:szCs w:val="18"/>
          <w:color w:val="auto"/>
        </w:rPr>
        <w:t>Mr. Madarang was named President, Asia Pacific in March 2021. He is the executive officer responsible for Goodyear’s operations in Asia, Australia, New Zealand and the Western Pacific. Mr. Madarang joined Goodyear in 2008 and has served as Project Director, Finance Transformation (October 2016 to June 2018), Vice President, Finance, Asia Pacific (July 2018 to September 2019) and Managing Director, China (October 2019 to February 2021).</w:t>
      </w:r>
    </w:p>
    <w:p>
      <w:pPr>
        <w:spacing w:after="0" w:line="133" w:lineRule="exact"/>
        <w:rPr>
          <w:sz w:val="20"/>
          <w:szCs w:val="20"/>
          <w:color w:val="auto"/>
        </w:rPr>
      </w:pPr>
    </w:p>
    <w:p>
      <w:pPr>
        <w:ind w:left="300"/>
        <w:spacing w:after="0"/>
        <w:tabs>
          <w:tab w:leader="none" w:pos="4480" w:val="left"/>
          <w:tab w:leader="none" w:pos="10820" w:val="left"/>
        </w:tabs>
        <w:rPr>
          <w:sz w:val="20"/>
          <w:szCs w:val="20"/>
          <w:color w:val="auto"/>
        </w:rPr>
      </w:pPr>
      <w:r>
        <w:rPr>
          <w:rFonts w:ascii="Times New Roman" w:cs="Times New Roman" w:eastAsia="Times New Roman" w:hAnsi="Times New Roman"/>
          <w:sz w:val="18"/>
          <w:szCs w:val="18"/>
          <w:b w:val="1"/>
          <w:bCs w:val="1"/>
          <w:color w:val="auto"/>
        </w:rPr>
        <w:t>Laura P. Duda</w:t>
      </w:r>
      <w:r>
        <w:rPr>
          <w:sz w:val="20"/>
          <w:szCs w:val="20"/>
          <w:color w:val="auto"/>
        </w:rPr>
        <w:tab/>
      </w:r>
      <w:r>
        <w:rPr>
          <w:rFonts w:ascii="Times New Roman" w:cs="Times New Roman" w:eastAsia="Times New Roman" w:hAnsi="Times New Roman"/>
          <w:sz w:val="18"/>
          <w:szCs w:val="18"/>
          <w:b w:val="1"/>
          <w:bCs w:val="1"/>
          <w:color w:val="auto"/>
        </w:rPr>
        <w:t>Senior Vice President and Chief Communications Officer</w:t>
      </w:r>
      <w:r>
        <w:rPr>
          <w:sz w:val="20"/>
          <w:szCs w:val="20"/>
          <w:color w:val="auto"/>
        </w:rPr>
        <w:tab/>
      </w:r>
      <w:r>
        <w:rPr>
          <w:rFonts w:ascii="Times New Roman" w:cs="Times New Roman" w:eastAsia="Times New Roman" w:hAnsi="Times New Roman"/>
          <w:sz w:val="18"/>
          <w:szCs w:val="18"/>
          <w:b w:val="1"/>
          <w:bCs w:val="1"/>
          <w:color w:val="auto"/>
        </w:rPr>
        <w:t>53</w:t>
      </w:r>
    </w:p>
    <w:p>
      <w:pPr>
        <w:spacing w:after="0" w:line="255" w:lineRule="exact"/>
        <w:rPr>
          <w:sz w:val="20"/>
          <w:szCs w:val="20"/>
          <w:color w:val="auto"/>
        </w:rPr>
      </w:pPr>
    </w:p>
    <w:p>
      <w:pPr>
        <w:jc w:val="both"/>
        <w:ind w:left="20" w:right="20"/>
        <w:spacing w:after="0" w:line="265" w:lineRule="auto"/>
        <w:rPr>
          <w:sz w:val="20"/>
          <w:szCs w:val="20"/>
          <w:color w:val="auto"/>
        </w:rPr>
      </w:pPr>
      <w:r>
        <w:rPr>
          <w:rFonts w:ascii="Times New Roman" w:cs="Times New Roman" w:eastAsia="Times New Roman" w:hAnsi="Times New Roman"/>
          <w:sz w:val="18"/>
          <w:szCs w:val="18"/>
          <w:color w:val="auto"/>
        </w:rPr>
        <w:t>Ms. Duda was named Senior Vice President and Chief Communications Officer in January 2019. She is the executive officer responsible for Goodyear’s communications activities worldwide. Ms. Duda joined Goodyear as Vice President, Corporate Communications in February 2016, and has served as Vice President, Communications, Americas (July 2016 to December 2018).</w:t>
      </w:r>
    </w:p>
    <w:p>
      <w:pPr>
        <w:spacing w:after="0" w:line="133" w:lineRule="exact"/>
        <w:rPr>
          <w:sz w:val="20"/>
          <w:szCs w:val="20"/>
          <w:color w:val="auto"/>
        </w:rPr>
      </w:pPr>
    </w:p>
    <w:p>
      <w:pPr>
        <w:ind w:left="300"/>
        <w:spacing w:after="0"/>
        <w:tabs>
          <w:tab w:leader="none" w:pos="3940" w:val="left"/>
          <w:tab w:leader="none" w:pos="10820" w:val="left"/>
        </w:tabs>
        <w:rPr>
          <w:sz w:val="20"/>
          <w:szCs w:val="20"/>
          <w:color w:val="auto"/>
        </w:rPr>
      </w:pPr>
      <w:r>
        <w:rPr>
          <w:rFonts w:ascii="Times New Roman" w:cs="Times New Roman" w:eastAsia="Times New Roman" w:hAnsi="Times New Roman"/>
          <w:sz w:val="18"/>
          <w:szCs w:val="18"/>
          <w:b w:val="1"/>
          <w:bCs w:val="1"/>
          <w:color w:val="auto"/>
        </w:rPr>
        <w:t>Christopher P. Helsel</w:t>
      </w:r>
      <w:r>
        <w:rPr>
          <w:sz w:val="20"/>
          <w:szCs w:val="20"/>
          <w:color w:val="auto"/>
        </w:rPr>
        <w:tab/>
      </w:r>
      <w:r>
        <w:rPr>
          <w:rFonts w:ascii="Times New Roman" w:cs="Times New Roman" w:eastAsia="Times New Roman" w:hAnsi="Times New Roman"/>
          <w:sz w:val="18"/>
          <w:szCs w:val="18"/>
          <w:b w:val="1"/>
          <w:bCs w:val="1"/>
          <w:color w:val="auto"/>
        </w:rPr>
        <w:t>Senior Vice President, Global Operations and Chief Technology Officer</w:t>
      </w:r>
      <w:r>
        <w:rPr>
          <w:sz w:val="20"/>
          <w:szCs w:val="20"/>
          <w:color w:val="auto"/>
        </w:rPr>
        <w:tab/>
      </w:r>
      <w:r>
        <w:rPr>
          <w:rFonts w:ascii="Times New Roman" w:cs="Times New Roman" w:eastAsia="Times New Roman" w:hAnsi="Times New Roman"/>
          <w:sz w:val="18"/>
          <w:szCs w:val="18"/>
          <w:b w:val="1"/>
          <w:bCs w:val="1"/>
          <w:color w:val="auto"/>
        </w:rPr>
        <w:t>57</w:t>
      </w:r>
    </w:p>
    <w:p>
      <w:pPr>
        <w:spacing w:after="0" w:line="255" w:lineRule="exact"/>
        <w:rPr>
          <w:sz w:val="20"/>
          <w:szCs w:val="20"/>
          <w:color w:val="auto"/>
        </w:rPr>
      </w:pPr>
    </w:p>
    <w:p>
      <w:pPr>
        <w:jc w:val="both"/>
        <w:ind w:left="20" w:right="20"/>
        <w:spacing w:after="0" w:line="265" w:lineRule="auto"/>
        <w:rPr>
          <w:sz w:val="20"/>
          <w:szCs w:val="20"/>
          <w:color w:val="auto"/>
        </w:rPr>
      </w:pPr>
      <w:r>
        <w:rPr>
          <w:rFonts w:ascii="Times New Roman" w:cs="Times New Roman" w:eastAsia="Times New Roman" w:hAnsi="Times New Roman"/>
          <w:sz w:val="18"/>
          <w:szCs w:val="18"/>
          <w:color w:val="auto"/>
        </w:rPr>
        <w:t>Mr. Helsel was named Senior Vice President, Global Operations and Chief Technology Officer in March 2021. He is the executive officer responsible for Goodyear’s global operations and research and development activities. Mr. Helsel joined Goodyear in 1996 and has served as Vice President and Chief Technology Officer (September 2017 to February 2019) and Senior Vice President and Chief Technology Officer (February 2019 to February 2021).</w:t>
      </w:r>
    </w:p>
    <w:p>
      <w:pPr>
        <w:spacing w:after="0" w:line="133" w:lineRule="exact"/>
        <w:rPr>
          <w:sz w:val="20"/>
          <w:szCs w:val="20"/>
          <w:color w:val="auto"/>
        </w:rPr>
      </w:pPr>
    </w:p>
    <w:p>
      <w:pPr>
        <w:ind w:left="300"/>
        <w:spacing w:after="0"/>
        <w:tabs>
          <w:tab w:leader="none" w:pos="5020" w:val="left"/>
          <w:tab w:leader="none" w:pos="10820" w:val="left"/>
        </w:tabs>
        <w:rPr>
          <w:sz w:val="20"/>
          <w:szCs w:val="20"/>
          <w:color w:val="auto"/>
        </w:rPr>
      </w:pPr>
      <w:r>
        <w:rPr>
          <w:rFonts w:ascii="Times New Roman" w:cs="Times New Roman" w:eastAsia="Times New Roman" w:hAnsi="Times New Roman"/>
          <w:sz w:val="18"/>
          <w:szCs w:val="18"/>
          <w:b w:val="1"/>
          <w:bCs w:val="1"/>
          <w:color w:val="auto"/>
        </w:rPr>
        <w:t>David E. Phillips</w:t>
      </w:r>
      <w:r>
        <w:rPr>
          <w:sz w:val="20"/>
          <w:szCs w:val="20"/>
          <w:color w:val="auto"/>
        </w:rPr>
        <w:tab/>
      </w:r>
      <w:r>
        <w:rPr>
          <w:rFonts w:ascii="Times New Roman" w:cs="Times New Roman" w:eastAsia="Times New Roman" w:hAnsi="Times New Roman"/>
          <w:sz w:val="18"/>
          <w:szCs w:val="18"/>
          <w:b w:val="1"/>
          <w:bCs w:val="1"/>
          <w:color w:val="auto"/>
        </w:rPr>
        <w:t>Senior Vice President and General Counsel</w:t>
      </w:r>
      <w:r>
        <w:rPr>
          <w:sz w:val="20"/>
          <w:szCs w:val="20"/>
          <w:color w:val="auto"/>
        </w:rPr>
        <w:tab/>
      </w:r>
      <w:r>
        <w:rPr>
          <w:rFonts w:ascii="Times New Roman" w:cs="Times New Roman" w:eastAsia="Times New Roman" w:hAnsi="Times New Roman"/>
          <w:sz w:val="18"/>
          <w:szCs w:val="18"/>
          <w:b w:val="1"/>
          <w:bCs w:val="1"/>
          <w:color w:val="auto"/>
        </w:rPr>
        <w:t>47</w:t>
      </w:r>
    </w:p>
    <w:p>
      <w:pPr>
        <w:spacing w:after="0" w:line="255" w:lineRule="exact"/>
        <w:rPr>
          <w:sz w:val="20"/>
          <w:szCs w:val="20"/>
          <w:color w:val="auto"/>
        </w:rPr>
      </w:pPr>
    </w:p>
    <w:p>
      <w:pPr>
        <w:jc w:val="both"/>
        <w:ind w:left="20" w:right="20"/>
        <w:spacing w:after="0" w:line="281" w:lineRule="auto"/>
        <w:rPr>
          <w:sz w:val="20"/>
          <w:szCs w:val="20"/>
          <w:color w:val="auto"/>
        </w:rPr>
      </w:pPr>
      <w:r>
        <w:rPr>
          <w:rFonts w:ascii="Times New Roman" w:cs="Times New Roman" w:eastAsia="Times New Roman" w:hAnsi="Times New Roman"/>
          <w:sz w:val="18"/>
          <w:szCs w:val="18"/>
          <w:color w:val="auto"/>
        </w:rPr>
        <w:t>Mr. Phillips was named Senior Vice President and General Counsel in June 2019. He is Goodyear's chief legal officer. Mr. Phillips joined Goodyear in 2011 and has served as Associate General Counsel, Americas (September 2016 to June 2019).</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20" w:type="dxa"/>
            <w:vAlign w:val="bottom"/>
          </w:tcPr>
          <w:p>
            <w:pPr>
              <w:spacing w:after="0"/>
              <w:rPr>
                <w:sz w:val="13"/>
                <w:szCs w:val="13"/>
                <w:color w:val="auto"/>
              </w:rPr>
            </w:pPr>
          </w:p>
        </w:tc>
        <w:tc>
          <w:tcPr>
            <w:tcW w:w="7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319"/>
        </w:trPr>
        <w:tc>
          <w:tcPr>
            <w:tcW w:w="1020" w:type="dxa"/>
            <w:vAlign w:val="bottom"/>
            <w:tcBorders>
              <w:top w:val="single" w:sz="8" w:color="0000FF"/>
            </w:tcBorders>
          </w:tcPr>
          <w:p>
            <w:pPr>
              <w:spacing w:after="0"/>
              <w:rPr>
                <w:sz w:val="24"/>
                <w:szCs w:val="24"/>
                <w:color w:val="auto"/>
              </w:rPr>
            </w:pPr>
          </w:p>
        </w:tc>
        <w:tc>
          <w:tcPr>
            <w:tcW w:w="19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24"/>
                <w:szCs w:val="24"/>
                <w:color w:val="auto"/>
              </w:rPr>
            </w:pPr>
          </w:p>
        </w:tc>
        <w:tc>
          <w:tcPr>
            <w:tcW w:w="7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120" w:type="dxa"/>
            <w:vAlign w:val="bottom"/>
          </w:tcPr>
          <w:p>
            <w:pPr>
              <w:spacing w:after="0"/>
              <w:rPr>
                <w:sz w:val="24"/>
                <w:szCs w:val="24"/>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147"/>
        </w:trPr>
        <w:tc>
          <w:tcPr>
            <w:tcW w:w="10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0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r>
      <w:tr>
        <w:trPr>
          <w:trHeight w:val="371"/>
        </w:trPr>
        <w:tc>
          <w:tcPr>
            <w:tcW w:w="29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Gary S. VanderLind</w:t>
            </w:r>
          </w:p>
        </w:tc>
        <w:tc>
          <w:tcPr>
            <w:tcW w:w="220" w:type="dxa"/>
            <w:vAlign w:val="bottom"/>
          </w:tcPr>
          <w:p>
            <w:pPr>
              <w:spacing w:after="0"/>
              <w:rPr>
                <w:sz w:val="24"/>
                <w:szCs w:val="24"/>
                <w:color w:val="auto"/>
              </w:rPr>
            </w:pPr>
          </w:p>
        </w:tc>
        <w:tc>
          <w:tcPr>
            <w:tcW w:w="7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Senior Vice President and Chief Human Resources Officer</w:t>
            </w:r>
          </w:p>
        </w:tc>
        <w:tc>
          <w:tcPr>
            <w:tcW w:w="10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b w:val="1"/>
                <w:bCs w:val="1"/>
                <w:color w:val="auto"/>
              </w:rPr>
              <w:t>60</w:t>
            </w:r>
          </w:p>
        </w:tc>
      </w:tr>
    </w:tbl>
    <w:p>
      <w:pPr>
        <w:spacing w:after="0" w:line="9" w:lineRule="exact"/>
        <w:rPr>
          <w:sz w:val="20"/>
          <w:szCs w:val="20"/>
          <w:color w:val="auto"/>
        </w:rPr>
      </w:pPr>
    </w:p>
    <w:p>
      <w:pPr>
        <w:ind w:left="40" w:right="220"/>
        <w:spacing w:after="0" w:line="265" w:lineRule="auto"/>
        <w:rPr>
          <w:sz w:val="20"/>
          <w:szCs w:val="20"/>
          <w:color w:val="auto"/>
        </w:rPr>
      </w:pPr>
      <w:r>
        <w:rPr>
          <w:rFonts w:ascii="Times New Roman" w:cs="Times New Roman" w:eastAsia="Times New Roman" w:hAnsi="Times New Roman"/>
          <w:sz w:val="18"/>
          <w:szCs w:val="18"/>
          <w:color w:val="auto"/>
        </w:rPr>
        <w:t>Mr. VanderLind was named Senior Vice President and Chief Human Resources Officer in February 2019. He is the executive officer responsible for Goodyear’s global human resources activities. Mr. VanderLind joined Goodyear in 1985 and has served as Vice President, Human Resources - Americas (September 2016 to January 2019).</w:t>
      </w:r>
    </w:p>
    <w:p>
      <w:pPr>
        <w:spacing w:after="0" w:line="133" w:lineRule="exact"/>
        <w:rPr>
          <w:sz w:val="20"/>
          <w:szCs w:val="20"/>
          <w:color w:val="auto"/>
        </w:rPr>
      </w:pPr>
    </w:p>
    <w:p>
      <w:pPr>
        <w:ind w:left="300"/>
        <w:spacing w:after="0"/>
        <w:tabs>
          <w:tab w:leader="none" w:pos="5540" w:val="left"/>
          <w:tab w:leader="none" w:pos="10820" w:val="left"/>
        </w:tabs>
        <w:rPr>
          <w:sz w:val="20"/>
          <w:szCs w:val="20"/>
          <w:color w:val="auto"/>
        </w:rPr>
      </w:pPr>
      <w:r>
        <w:rPr>
          <w:rFonts w:ascii="Times New Roman" w:cs="Times New Roman" w:eastAsia="Times New Roman" w:hAnsi="Times New Roman"/>
          <w:sz w:val="18"/>
          <w:szCs w:val="18"/>
          <w:b w:val="1"/>
          <w:bCs w:val="1"/>
          <w:color w:val="auto"/>
        </w:rPr>
        <w:t>Evan M. Scocos</w:t>
      </w:r>
      <w:r>
        <w:rPr>
          <w:sz w:val="20"/>
          <w:szCs w:val="20"/>
          <w:color w:val="auto"/>
        </w:rPr>
        <w:tab/>
      </w:r>
      <w:r>
        <w:rPr>
          <w:rFonts w:ascii="Times New Roman" w:cs="Times New Roman" w:eastAsia="Times New Roman" w:hAnsi="Times New Roman"/>
          <w:sz w:val="18"/>
          <w:szCs w:val="18"/>
          <w:b w:val="1"/>
          <w:bCs w:val="1"/>
          <w:color w:val="auto"/>
        </w:rPr>
        <w:t>Vice President and Controller</w:t>
      </w:r>
      <w:r>
        <w:rPr>
          <w:sz w:val="20"/>
          <w:szCs w:val="20"/>
          <w:color w:val="auto"/>
        </w:rPr>
        <w:tab/>
      </w:r>
      <w:r>
        <w:rPr>
          <w:rFonts w:ascii="Times New Roman" w:cs="Times New Roman" w:eastAsia="Times New Roman" w:hAnsi="Times New Roman"/>
          <w:sz w:val="18"/>
          <w:szCs w:val="18"/>
          <w:b w:val="1"/>
          <w:bCs w:val="1"/>
          <w:color w:val="auto"/>
        </w:rPr>
        <w:t>51</w:t>
      </w:r>
    </w:p>
    <w:p>
      <w:pPr>
        <w:spacing w:after="0" w:line="2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Mr. Scocos was named Vice President and Controller in June 2016. He is Goodyear's principal accounting officer. Mr. Scocos joined Goodyear in 2004.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family relationship exists between any of the above executive officers or between the executive officers and any director of the Company.</w:t>
      </w:r>
    </w:p>
    <w:p>
      <w:pPr>
        <w:spacing w:after="0" w:line="11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Each executive officer is elected by the Board of Directors of the Company at its annual meeting to a term of one year or until his or her successor is duly elected. In those instances where the person is elected at other than an annual meeting, such person’s term will expire at the next annual meeting.</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1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and other information contained in this Annual Report on Form 10-K when considering an investment decision with respect to our securities. Additional risks and uncertainties not presently known to us, or that we currently deem immaterial, may also impair our business operations. Any of the events discussed in the risk factors below may occur. If they do, our business, results of operations, financial condition or liquidity could be materially adversely affected. In such an instance, the trading price of our securities could decline, and you might lose all or part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Cooper Tire Acquisition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achieve all of the intended benefits of the acquisition of Cooper Tire and our integration efforts may disrupt our current plans or operations.</w:t>
      </w:r>
    </w:p>
    <w:p>
      <w:pPr>
        <w:spacing w:after="0" w:line="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we are on track to achieve the expected synergies from the Cooper Tire acquisition, there can be no assurance that we will be able to successfully complete the integration of Cooper Tire’s operations and assets or otherwise realize the remaining expected benefits of the acquisition (including additional operating and other cost synergies). We expect to continue our efforts to integrate Cooper Tire during the first half of 2023. Difficulties in integrating Cooper Tire and Goodyear may result in Goodyear performing differently than expected, in operational challenges, in the failure to realize or sustain anticipated run-rate cost synergies and efficiencies in the expected timeframe or at all, or in the difficulty or failure of utilizing our available U.S. tax attributes, in which case the Cooper Tire acquisition may not be accretive to earnings per share, may not improve our balance sheet position, may not enhance our ability to delever, and may not generate additional free cash flow due to reduced cash tax payments. The continued integration of the two companies may result in material challenges, including the diversion of management’s attention from ongoing business concerns; retaining key management and other employees; retaining or attracting business and operational relationships; the possibility of faulty assumptions underlying expectations regarding the integration process and associated expenses; consolidating corporate and administrative infrastructures and eliminating duplicative operations; coordinating geographically separate organizations; unanticipated issues in integrating information technology, communications and other systems; as well as potential unknown liabilities or unforeseen expenses or delays relating to integration.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Operations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and financial condition have been, and may continue to be, adversely impacted by the ongoing COVID-19 pandemic, or similar public health crises, and that impact may be material.</w:t>
      </w:r>
    </w:p>
    <w:p>
      <w:pPr>
        <w:spacing w:after="0" w:line="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COVID-19 pandemic has caused, and continues to cause, volatility in the global economy, the tire industry and our business. In response to the pandemic, international, federal, state and local public health and governmental authorities took extraordinary actions to contain and combat the outbreak and spread of COVID-19 throughout most regions of the world, including travel bans, quarantines, “stay-at-home” orders and similar mandates that caused many individuals to substantially restrict their daily activities and many businesses to curtail or cease normal operations, and they may take additional or further actions in the future.</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tire industry has been negatively impacted by this evolving situation. In 2020, there was a sudden and sharp decline in replacement tire demand and original equipment manufacturers suspended or severely limited automobile production globally. Recovery in automobile production globally has been constrained by supply chain disruptions, including an insufficient availability of semiconductor chips, caused by COVID-19 and a variety of global factors.</w:t>
      </w:r>
    </w:p>
    <w:p>
      <w:pPr>
        <w:spacing w:after="0" w:line="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ongoing COVID-19 pandemic, or similar public health crises, may result in decisions to change future production levels based on an evaluation of market demand signals, inventory and supply levels, as well as our ability to continue to safeguard the health of our associates. We have experienced, and may experience in the future, unexpected delays or obstacles, such as disruptions in our and our customers' supply chains or government mandates, that may hamper our ability to achieve planned production levels. Due to national and local efforts to contain the spread of COVID-19 and its related variants in certain countries, such as China, renewed stay-at-home orders and other restrictions on mobility required us to temporarily shut down or limit production at some of our facilities, including our facilities in Pulandian and Kunshan, China, at various times throughout 2022. Any suspension of production at our manufacturing facilities, or difficulties or inefficiencies in resuming or increasing production, is likely to adversely impact our future results of operations, financial condition and liquidity, and that impact may be material. In addition, our ability to continue implementing important strategic initiatives and capital expenditures may be reduced as we devote time and other resources to responding to the impacts of the COVID-19 pandemic or similar public health crises.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primary sources of liquidity are cash generated from our operating and financing activities. Our cash flows from operating activities are driven primarily by our operating results and changes in our working capital requirements and our cash flows from financing activities are dependent upon our ability to access credit or other capital. If the COVID-19 pandemic becomes more pronounced in markets where we operate, our liquidity position may deteriorate. While we actively monitor our liquidity and took a number of actions aimed at mitigating the negative consequences of the initial impact of the COVID-19 pandemic on our cash flows and liquidity, our cash flows may decline if global economic activity declines or we are unable to have sufficient access to credit or other capital. For example, the borrowing base under our first lien revolving credit facility is dependent, in significant part, on our eligible accounts receivable and inventory, which would decline if our sales and production levels declined. Additionally, our European revolving credit facility contains a leverage ratio covenant applicable to Goodyear Europe B.V. and its subsidiaries. While we are currently in compliance with this covenant, if we were unable to satisfy this covenant in the future or obtain a waiver from our lenders, we would no longer be able to access our €800 million European revolving credit facility or our pan-European accounts receivable securitization facility.</w:t>
      </w:r>
    </w:p>
    <w:p>
      <w:pPr>
        <w:spacing w:after="0" w:line="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situation surrounding the COVID-19 pandemic remains fluid. The full impact of the COVID-19 pandemic on our results of operations, financial condition and liquidity will depend on future developments, such as the ultimate duration and scope of the pandemic, resurgence in COVID-19 cases, travel restrictions, government mandated restrictions and regulations, business and workforce disruptions, the impact on demand for our products, the effectiveness of actions taken to contain and treat the disease, including the efficacy of and ability to widely distribute vaccinations and therapeutics, and whether the pandemic leads to recessionary conditions in any of our key markets. Accordingly, the ultimate impact on our results of operations, financial condition and liquidity cannot be determined at this time. To the extent that the COVID-19 pandemic adversely affects our results of operations, financial condition and liquidity, it may also have the effect of significantly heightening many of the other risks associated with our business, operations and indebtedness.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implement our strategic initiatives, our operating results, financial condition and liquidity may be materially adversely affected.</w:t>
      </w:r>
    </w:p>
    <w:p>
      <w:pPr>
        <w:spacing w:after="0" w:line="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pursuing important strategic initiatives, such as our innovation excellence, sales and marketing excellence and operational excellence initiatives. Our innovation excellence initiatives are designed to create leading technologies, products and services that anticipate the mobility and sustainability needs of consumers and fleets. Our sales and marketing excellence initiatives are intended to capture the value of our brands and grow our market share, helping our customers win in their markets and ensuring we are the preferred choice of consumers. Our operational excellence initiatives are aimed at improving our safety, quality and efficiency and creating an advantaged supply chain that delivers the right tire, to the right place, at the right time, at the right cost. If we fail to execute these initiatives successfully or if the assumptions used in developing the initiatives vary significantly from actual conditions, we may fail to achieve our financial goals.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our manufacturing footprint is less cost-competitive than that of our principal competitors. To begin to address this competitive disadvantage, we are curtailing production of tires for declining, less profitable segments of the tire market (including closure of our Melksham, United Kingdom tire manufacturing facility) and undertaking significant capital investments in building, expanding and modernizing certain manufacturing facilities around the world to strengthen the competitiveness of our manufacturing footprint and increase production of premium, large-rim diameter consumer tires. The failure to implement successfully this or our other important strategic initiatives may materially adversely affect our operating results, financial condition and liquidity.</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performance is also dependent on our ability to improve the volume and mix of higher margin tires we sell in our targeted market segments. In order to do so, we must be successful in developing, producing, marketing and selling products that consumers desire and that offer higher margins to us. Shifts in consumer demand away from higher margin tires could materially adversely affect our business. We have been capacity constrained from time to time with respect to the production of certain higher margin tires, particularly in the United States. When faced with these constraints, we try to alleviate them by utilizing our global manufacturing footprint to meet the demand for our tires and by adding manufacturing capacity. However, in spite of these initiatives, we may not be able to meet all of the demand for certain of our higher margin tires, which could harm our competitive position and limit our growth.</w:t>
      </w:r>
    </w:p>
    <w:p>
      <w:pPr>
        <w:spacing w:after="0" w:line="7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cannot assure you that our strategic initiatives will be successful. If not, we may not be able to achieve or sustain future profitability, which would impair our ability to meet our debt and other obligations and would otherwise negatively affect our operating results, financial condition and liquidity.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significant global competition and our market share could decline.</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New tires are sold under highly competitive conditions throughout the world. We compete with other tire manufacturers on the basis of product design, performance, price and terms, reputation, warranty terms, customer service and consumer convenience. On a worldwide basis, we have two major competitors, Bridgestone (based in Japan) and Michelin (based in France), that have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large shares of the markets of the countries in which they are based and are aggressively seeking to maintain or improve their worldwide market share. Other significant competitors include Continental, Hankook, Kumho, Nexen, Pirelli, Sumitomo, Toyo, Yokohama and various regional tire manufacturers. Our competitors produce significant numbers of tires in low-cost countries, and have announced plans to further increase their production capacity in countries around the globe. Increasingly, our competitors are making decisions on where to produce tires based not only on production cost, but in combination with total delivery cost, supply chain reliability and sustainability considerations. These increases in production capacity may result in even greater competition in the United States and elsewhere.</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ability to compete successfully will depend, in significant part, on our ability to continue to innovate and manufacture the types of tires demanded by consumers, and to reduce costs by such means as reducing excess and high-cost capacity, leveraging global purchasing, improving productivity, eliminating redundancies and increasing production at low-cost supply sources. If we are unable to compete successfully, our market share may decline, materially adversely affecting our results of operations and financial condition.</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automotive industry may experience significant changes due to the introduction of new technologies, such as electric and autonomous vehicles, or new services, business models or methods of travel, such as ride sharing. As the automotive industry evolves, we may need to provide a wider range of products and services to remain competitive, including products that we do not currently have the capability to manufacture or services that we do not currently offer. The demand for our products may also decline if automotive production declines and/or total vehicle miles traveled declines, including as a result of increasing fuel costs. If we do not accurately predict, prepare for and respond to market developments, technological innovations and changing customer and consumer needs and preferences, our results of operations and financial condition could be materially adversely affected.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capital expenditures may not be adequate to maintain our competitive position and may not be implemented in a timely or cost-effective manner.</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capital expenditures are limited by our liquidity and capital resources and by the need to pay our other expenses and to maintain adequate cash reserves and borrowing capacity to meet unexpected demands that may arise. We believe that our ratio of capital expenditures to sales is lower than the comparable ratio for our principal competitors.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Productivity improvements and manufacturing cost improvements may be required to offset potential increases in labor and raw material costs, including inflationary increases, and competitive price pressures. In addition, as part of our strategy to reduce high-cost and excess manufacturing capacity and to increase our capacity to produce higher margin tires, we may need to modernize or expand our facilities. We may also need to make additional capital expenditures in order to achieve our global climate ambition and related goals. We are currently undertaking significant construction, expansion and modernization projects globally.</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may not have sufficient resources to implement planned capital expenditures with minimal disruption to our existing manufacturing operations, or within desired time frames and budgets. Any disruption to our operations, delay in implementing capital improvements or unexpected costs may materially adversely affect our business and results of operations.</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If we are unable to make sufficient capital expenditures, or to maximize the efficiency of the capital expenditures we do make, we may be unable to achieve productivity improvements, which may harm our competitive position, to manufacture the products necessary to compete successfully in our targeted market segments, or to achieve our global climate ambition and related goals. In addition, plant construction and modernization may temporarily disrupt our manufacturing operations and lead to temporary increases in our costs.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prolonged economic downturn or economic uncertainty could adversely affect our business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Deterioration of global or regional economic conditions, including recession, financial instability, inflation, labor shortages or energy availability and costs (including fuel surcharges), could negatively impact our business and our results of operations. A prolonged economic downturn can adversely affect OE production levels and consumer spending habits on replacement tires, resulting in lower-than-expected net sales. Inflation, which has risen significantly, has and may continue to increase our operational costs, including labor, transportation and energy costs, and continued increases in interest rates in response to concerns about inflation may have the effect of further increasing economic uncertainty or creating recessionary economic conditions. As a result, instability and weakness of the U.S. and global economies, including due to recession, inflation, high unemployment, disruptions to financial markets, geopolitical events and other effects caused directly or indirectly by the COVID-19 pandemic, and the corresponding negative effects on consumer spending, may materially negatively affect our business and results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Raw material, energy and transportation costs may materially adversely affect our operating results and financial condition.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Raw material, energy and transportation costs can be volatile. Inflationary cost pressures, among other factors, may cause increases in the prices of natural and synthetic rubber, carbon black and petrochemical-based commodities. Market conditions, including actions by competitors, or contractual obligations may prevent us from passing any such increased costs on to our customers through timely price increases. Additionally, increased demand for consumer products and supply chain disruptions as a result of the pandemic and other global events, including port congestion and container shortages, has led to inflationary cost pressures on transportation. Higher raw material, energy and transportation costs around the world may offset our efforts to reduce our cost structure. High demand for and/or limited availability of raw materials and other energy sources could result in declining margins and operating results and adversely affect our financial condition. The volatility of raw material costs may cause our margins, operating results and liquidity to fluctuate. In addition, lower raw material costs may put downward pressure on the price of tires, which could ultimately reduce our margins and adversely affect our results of operations. If the Company is unable to obtain adequate sources of raw materials, energy or transportation, its operations could be interrupted. In addition, fluctuations in the price of gasoline for consumers can affect driving and purchasing habits and impact demand for tires.</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extend or renegotiate significant collective bargaining contracts with our labor unions as they expire from time to time, or if our unionized employees were to engage in a strike or other work stoppage or interruption, our business, results of operations, financial condition and liquidity could be materially adversely affected.</w:t>
      </w:r>
    </w:p>
    <w:p>
      <w:pPr>
        <w:spacing w:after="0" w:line="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party to collective bargaining contracts with our labor unions, which represent a significant number of our employees, including our collective bargaining agreements with the USW. The new Goodyear agreement with the USW, which covers approximately 5,700 of our associates in the United States at December 31, 2022, was ratified in the second half of 2022 and expires in July 2026. Approximately 2,300 of our associates at our Texarkana and Findlay plants in the United States at December 31, 2022 are covered by separate collective bargaining agreements with the USW, which expire in June 2024 and February 2024, respectively. In addition, approximately 21,000 of our associates outside of the United States are covered by union contracts that have expired or are expiring in 2023, primarily in Germany, Poland, China, Mexico, Slovenia, France and Turkey. Although we believe that our relations with our associates are satisfactory, no assurance can be given that we will be able to successfully extend or renegotiate our collective bargaining agreements as they expire from time to time. If we fail to extend or renegotiate our collective bargaining agreements, if disputes with our unions arise, or if our unionized workers engage in a strike or other work stoppage or interruption, we could experience a significant disruption of, or inefficiencies in, our operations or incur higher labor costs, which could have a material adverse effect on our business, results of operations, financial condition and liquidity.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have certain risks that may materially adversely affect our operating results, financial condition and liquidity.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manufacturing and distribution facilities throughout the world. Our international operations are subject to certain inherent risks, including:</w:t>
      </w:r>
    </w:p>
    <w:p>
      <w:pPr>
        <w:spacing w:after="0" w:line="117"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local economic conditions;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foreign currency fluctuations;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currency exchange controls;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taxes and restrictions on the withdrawal of foreign investment and earnings;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policies and regulations;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regulations;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price and profit margin controls;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expropriations of property;</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diplomatic relations of foreign countries with the United States;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instability of foreign governments;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hostility from local populations and insurrections or armed conflicts;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renegotiation or modification of existing agreements with governmental authorities;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and import restrictions;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27"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changes in laws or government policies.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likelihood of such occurrences and their potential effect on us vary from country to country and are unpredictable. Certain regions, including Latin America, Asia, Eastern Europe, the Middle East and Africa, are inherently more economically and politically volatile and, as a result, our business units that operate in these regions could be subject to significant fluctuations in sales and operating income from quarter to quarter. Because a significant percentage of our operating income in recent years has come from these regions, adverse fluctuations in the operating results in these regions could have a significant impact on our results of operations in future periods.</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compliance with complex foreign and U.S. laws and regulations that apply to our international operations increases our cost of doing business in international jurisdictions. These numerous and sometimes conflicting laws and regulations include import and export laws, anti-competition laws, anti-corruption laws, such as the U.S. Foreign Corrupt Practices Act, the U.K. Bribery Act and other local laws prohibiting corrupt payments to governmental officials, data privacy laws such as the GDPR, labor laws, tax laws, and accounting, internal control and disclosure requirements. Violations of these laws and regulations could result in civil and criminal fines, penalties and sanctions against us, our officers or our employees, prohibitions on the conduct of our business and on our ability to offer our products and services in one or more countries, and could also materially affect our reputation, business and results of operations. In certain foreign jurisdictions, there is a higher risk of fraud or corruption and greater difficulty in maintaining effective internal controls and compliance programs. Although we have implemented policies and procedures designed to promote compliance with applicable laws and regulations, there can be no assurance that our employees, contractors or agents will not violate our policies or applicable laws and regulations.</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Russia’s invasion of Ukraine and the resulting government sanctions could result in significant macroeconomic consequences, including increased inflationary pressures, market volatility, economic restrictions and business disruptions, which could negatively impact our business, financial condition and results of operations.</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it remains challenging to operate our business in Ukraine, we were able to resume shipments of tires into the country on a limited basis during the second quarter of 2022 and to expand our shipments during the second half of the year. In addition, we previously suspended all shipments of tires to Russia during the first quarter of 2022 and approved the discontinuation of our Russian operations in January 2023. These actions have not had and are not expected to have a direct material impact on our financial results. Nonetheless, the ongoing conflict has aggravated already challenging macroeconomic trends, including global supply chain disruptions, higher costs for certain raw materials and higher energy and transportation costs. The conflict has led to increases in the cost of energy and the potential for energy shortages, especially in Europe. We have taken steps to offset the increased cost, but we cannot predict the degree to or the time period over which energy costs will increase.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response to Russia’s invasion in Ukraine, a number of countries, including the United States, the United Kingdom and members of the European Union, have implemented economic sanctions on Russia and certain Russian enterprises and individuals. The conflict could result in further sanctions and embargoes, regional instability and potential retaliatory action by the Russian government, including cyber-attacks. While we continue to take actions to ensure the safety of our associates and the continuity of our business operations, the extent of the conflict’s impact on the global economy cannot be predicted.</w:t>
      </w:r>
    </w:p>
    <w:p>
      <w:pPr>
        <w:spacing w:after="0" w:line="1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Financial difficulties, work stoppages, supply disruptions or economic conditions affecting our major customers, dealers or suppliers could harm our business.</w:t>
      </w:r>
    </w:p>
    <w:p>
      <w:pPr>
        <w:spacing w:after="0" w:line="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tire industry has been negatively impacted by the COVID-19 pandemic. 2020 was characterized by a sudden and sharp decline in replacement tire demand and original equipment manufacturers suspending or severely limiting automobile production globally; the industry is still recovering. In addition, supply chain issues impacted new vehicle production throughout 2021 and 2022. As a result of these factors, automotive vehicle production and global tire industry demand continues to be difficult to predict.</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sales to our OE customers accounted for approximately 15% of our net sales in 2022, demand for our products by OE customers and production levels at our facilities are impacted by automotive vehicle production. Automotive production and sales are highly cyclical and sensitive to general economic conditions and other factors, such as credit availability, interest rates, fuel prices, and consumer preference and confidence. Economic declines that result in a significant reduction in automotive production would have an adverse effect on our sales to OE customers. We may experience future declines in sales volume due to declines in new vehicle production and sales, the performance, discontinuation or sale of certain OE brands, platforms or programs, increased competition, or weakness in the demand for replacement tires, which could result in us incurring under-absorbed fixed costs at our production facilities or slowing the rate at which we are able to recover those costs. At various times, some regions around the world may be more particularly impacted by these factors than other regions.</w:t>
      </w:r>
    </w:p>
    <w:p>
      <w:pPr>
        <w:spacing w:after="0" w:line="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Automotive production can also be affected by the ongoing pandemic, labor relation issues or shortages, financial difficulties or supply disruptions. Our OE customers could experience production disruptions resulting from their own or supplier labor,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financial or supply difficulties, or from government actions to contain and combat the outbreak and spread of COVID-19. Such events may cause an OE customer to reduce or suspend vehicle production. Other customers, such as dealers, retailers or distributors, may experience similar disruptions to their operations. As a result, a customer could halt or significantly reduce purchases of our products, which would harm our results of operations, financial condition and liquidity. We cannot predict when customers will decide to increase or decrease inventory levels or whether new inventory levels will approximate historical inventory levels. Uncertainty and other unexpected fluctuations could have a material adverse effect on our business and financial condition.</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suppliers could also experience production disruptions due to the ongoing pandemic or labor, financial, supply or transportation difficulties, or new environmental laws or stricter enforcement of existing environmental laws. Any such production disruptions may result in the unexpected closure of our suppliers' facilities or increases in the cost of our raw materials, which would adversely affect our results of operations and financial condition.</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addition, the bankruptcy, restructuring or consolidation of one or more of our major customers, dealers or suppliers could result in the write-off of accounts receivable, a reduction in purchases of our products or a supply disruption to our facilities, which could negatively affect our results of operations, financial condition and liquidity.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key personnel our business could be materially adversely affected.</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substantially depends on the continued service of key members of our management. The loss of the services of a significant number of members of our management could have a material adverse effect on our business. Our future success will also depend on our ability to attract and retain highly skilled personnel, such as engineering, marketing and senior management professionals. Competition for these employees is intense, and we could experience difficulty from time to time in hiring and retaining the personnel necessary to support our business. Our ability to attract and retain employees may also be hampered by downturns in the automotive and tire industries, which could result in reduced payments under our incentive compensation plans, as well as by greater competition due to the increase in use of remote working environments. If we do not succeed in retaining our current employees and attracting new high quality employees, our business could be materially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competition for highly skilled and talented workers, as well as labor shortages, could adversely affect our business.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number of factors may adversely affect the labor force available to us or increase labor costs, including high employment levels and government regulations. Although we have not experienced any material labor shortages to date, we have observed an increasingly competitive labor market. The increasing competition for highly skilled and talented employees has resulted, and could in the future result, in higher compensation costs and could result in difficulties in maintaining a capable workforce. If we are unable to hire and retain employees capable of performing at a high-level, or if mitigation measures we may take to respond to a decrease in labor availability, such as overtime and third-party outsourcing, have unintended negative effects, our business could be adversely affected. A sustained labor shortage, lack of skilled labor, increased turnover or labor cost inflation, caused by the ongoing COVID-19 pandemic or as a result of general macroeconomic factors, could lead to increased costs, such as increased overtime to meet demand and increased wage rates to attract and retain employees, which could negatively affect our ability to efficiently operate our manufacturing and distribution facilities and overall business and have other adverse effects on our results of operations and financial condition.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substantial fixed costs and, as a result, our operating income fluctuates disproportionately with changes in our net sales.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operate with significant operating and financial leverage. Significant portions of our manufacturing, selling, administrative and general expenses are fixed costs that neither increase nor decrease proportionately with sales. In addition, a significant portion of our interest expense is fixed. There can be no assurance that we would be able to reduce our fixed costs proportionately in response to a decline in our net sales and therefore our competitiveness could be significantly impacted. As a result, a decline in our net sales could result in a higher percentage decline in our income from operations and net income.</w:t>
      </w:r>
    </w:p>
    <w:p>
      <w:pPr>
        <w:spacing w:after="0" w:line="17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issues, including climate change, or legal, regulatory or market measures to address environmental issues, may negatively affect our business and operations and cause us to incur significant costs.</w:t>
      </w:r>
    </w:p>
    <w:p>
      <w:pPr>
        <w:spacing w:after="0" w:line="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manufacturing and distribution facilities are subject to numerous federal, state, local and foreign laws and regulations designed to protect the environment, including increased government regulations to limit carbon dioxide and other greenhouse gas emissions as a result of concern over climate change, and we expect that additional requirements with respect to environmental matters, including reporting requirements, will be imposed on us in the future. In addition, we have contractual</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indemnification obligations for environmental remediation costs and liabilities that may arise relating to certain divested operations.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also growing concern that carbon dioxide and other greenhouse gases in the atmosphere may have an adverse impact on global temperatures, weather patterns, and the frequency and severity of extreme weather and natural disasters. In the event that issues related to such climate change have a negative effect on our business, we may be subjected to decreased availability or less favorable pricing for certain raw materials, including natural rubber. Natural disasters and extreme weather conditions may also disrupt the productivity of our facilities, our supply chain or the operations of our customers. If the frequency or severity of extreme weather and natural disasters increases over time, we may experience a greater number of losses at certain of our facilities. Such losses could lead to an increase in the deductibles or cost of insurance for those facilities, or to the unavailability of insurance on terms that are acceptable to us.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manufacturing facilities may become subject to further limitations on the emission of greenhouse gases due to public policy concerns regarding climate change issues or other environmental or health and safety concerns. While the form of any additional regulations cannot be predicted, a “cap-and-trade” system similar to the one adopted in the European Union could be adopted in the United States. Any such “cap-and-trade” system (including the system currently in place in the European Union) or other limitations imposed on the emission of greenhouse gases could require us to increase our capital expenditures, use our cash to acquire emission credits or restructure our manufacturing operations, which could have a material adverse effect on our operating results, financial condition and liquidity.</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Material future expenditures may be necessary if compliance standards change, if material unknown conditions that require remediation are discovered, or if required remediation of known conditions becomes more extensive than expected. If we fail to comply with present and future environmental laws and regulations, we could be subject to future liabilities or the suspension of production, which could harm our business or results of operations. Environmental laws could also restrict our ability to expand our facilities or could require us to acquire costly equipment or to incur other significant expenses in connection with our manufacturing processes.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Capital Structure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ability to meet our obligations, to repay maturing indebtedness or to implement strategic initiatives may be dependent on our ability to access capital markets in the future and to improve our operating results.</w:t>
      </w:r>
    </w:p>
    <w:p>
      <w:pPr>
        <w:spacing w:after="0" w:line="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adequacy of our liquidity depends on our ability to achieve an appropriate combination of operating improvements, financing from third parties and access to capital markets. We may need to undertake additional financing actions in the capital markets in order to ensure that our future liquidity requirements are addressed or to implement strategic initiatives. These actions may include the issuance of additional debt or equity, or the factoring of our accounts receivable.</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access to the capital markets cannot be assured and is dependent on, among other things, the ability and willingness of financial institutions to extend credit on terms that are acceptable to us or our suppliers, or to honor future draws on our existing lines of credit, and the degree of success we have in implementing our strategic initiatives. We have continued our use of supplier financing programs and the factoring of our accounts receivable in order to improve our working capital efficiency and reduce our costs. If these programs become unavailable or less attractive to us or our suppliers, our liquidity could be adversely affected.</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Future liquidity requirements, or our inability to access cash deposits or make draws on our lines of credit, also may make it necessary for us to incur additional debt. A substantial portion of our assets is subject to liens securing our indebtedness. As a result, we are limited in our ability to pledge our remaining assets as security for additional secured indebtedness.</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inability to access the capital markets or incur additional debt in the future could have a material adverse effect on our liquidity and operations, and could require us to consider further measures, including deferring planned capital expenditures, reducing discretionary spending, selling additional assets and restructuring existing debt.</w:t>
      </w:r>
    </w:p>
    <w:p>
      <w:pPr>
        <w:spacing w:after="0" w:line="17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substantial amount of debt, which could restrict our growth, place us at a competitive disadvantage or otherwise materially adversely affect our financial health.</w:t>
      </w:r>
    </w:p>
    <w:p>
      <w:pPr>
        <w:spacing w:after="0" w:line="5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We have a substantial amount of debt. As of December 31, 2022, our debt (including finance leases) on a consolidated basis was approximately $7.9 billion. Our substantial amount of debt and other obligations could have important consequences. For example, it could:</w:t>
      </w:r>
    </w:p>
    <w:p>
      <w:pPr>
        <w:spacing w:after="0" w:line="55"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w:t>
      </w:r>
    </w:p>
    <w:p>
      <w:pPr>
        <w:spacing w:after="0" w:line="116"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our ability to obtain financing in the future for working capital, capital expenditures, research and development, acquisitions or general corporate requirements;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27"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economic and industry conditions;</w:t>
      </w:r>
    </w:p>
    <w:p>
      <w:pPr>
        <w:spacing w:after="0" w:line="116"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use cash flows from operating activities in other areas of our business or to return cash to shareholders because we would need to dedicate a substantial portion of these funds for payments on our indebtedness;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w:t>
      </w:r>
    </w:p>
    <w:p>
      <w:pPr>
        <w:spacing w:after="0" w:line="11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agreements governing our debt, including our credit agreements, limit, but do not prohibit, us from incurring additional debt and we may incur a significant amount of additional debt in the future, including additional secured debt. If new debt is added to our current debt levels, our ability to satisfy our debt obligations may become more limited.</w:t>
      </w:r>
    </w:p>
    <w:p>
      <w:pPr>
        <w:spacing w:after="0" w:line="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debt and other obligations will depend on our financial and operating performance, which, in turn, is subject to our ability to implement our strategic initiatives, prevailing economic conditions and certain financial, business and other factors beyond our control. If our cash flow and capital resources are insufficient to fund our debt service and other obligations, we may be forced to reduce or delay expansion plans and capital expenditures, sell material assets or operations, obtain additional capital or restructure our debt. We cannot assure you that our operating performance, cash flow and capital resources will be sufficient to pay our debt obligations when they become due. We cannot assure you that we would be able to dispose of material assets or operations, obtain additional capital or restructure our debt or other obligations if necessary or, even if we were able to take such actions, that we could do so on terms that are acceptable to us.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be in compliance with any material provision or covenant of our debt instruments, or a material reduction in the borrowing base under our revolving credit facility, could have a material adverse effect on our liquidity and operations.</w:t>
      </w:r>
    </w:p>
    <w:p>
      <w:pPr>
        <w:spacing w:after="0" w:line="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agreements governing our secured credit facilities, senior unsecured notes and our other outstanding indebtedness impose significant operating and financial restrictions on us. These restrictions may affect our ability to operate our business and may limit our ability to take advantage of potential business opportunities as they arise. These restrictions limit our ability to, among other things:</w:t>
      </w:r>
    </w:p>
    <w:p>
      <w:pPr>
        <w:spacing w:after="0" w:line="69"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 or issue redeemable preferred stock;</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repurchase shares or make certain other restricted payments or investments;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restrictions on the ability of our subsidiaries to pay dividends or to make other payments to us;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affiliate transactions;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sale/leaseback transactions;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mergers or consolidations or transfers of substantially all of our assets.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Availability under our first lien revolving credit facility is subject to a borrowing base, which is based on eligible accounts receivable and inventory, the value of our principal trademarks, the value of eligible machinery and equipment, and certain cash in an amount not to exceed $275 million. To the extent that our eligible accounts receivable and inventory and other components of the borrowing base decline in value, our borrowing base will decrease and the availability under that facility may decrease below its stated amount. In addition, if at any time the amount of outstanding borrowings and letters of credit under that facility exceeds the borrowing base, we are required to prepay borrowings and/or cash collateralize letters of credit sufficient to eliminate the excess.</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ability to comply with these covenants or to maintain our borrowing base may be affected by events beyond our control, including deteriorating economic conditions, and these events could require us to seek waivers or amendments of covenants or alternative sources of financing or to reduce expenditures. We cannot assure you that such waivers, amendments or alternative financing could be obtained, or if obtained, would be on terms acceptable to us.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breach of any of the covenants or restrictions contained in any of our existing or future financing agreements, including the financial covenants in our secured credit facilities, could result in an event of default under those agreements. Such a default could allow the lenders under our financing agreements, if the agreements so provide, to discontinue lending, to accelerate the related debt as well as any other debt to which a cross-acceleration or cross-default provision applies, and/or to declare all borrowings outstanding thereunder to be due and payable. In addition, the lenders could terminate any commitments they have to provide us with further funds. If any of these events occur, we cannot assure you that we will have sufficient funds available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to pay in full the total amount of obligations that become due as a result of any such acceleration, or that we will be able to find additional or alternative financing to refinance any such accelerated obligations. Even if we obtain additional or alternative financing, we cannot assure you that it would be on terms that would be acceptable to us.</w:t>
      </w:r>
    </w:p>
    <w:p>
      <w:pPr>
        <w:spacing w:after="0" w:line="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cannot assure you that we will be able to remain in compliance with the covenants to which we are subject in the future and, if we fail to do so, that we will be able to obtain waivers from our lenders or amend the covenants.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variable rate indebtedness subjects us to interest rate risk, which could cause our debt service obligations to increase significantly.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borrowings are at variable rates of interest and expose us to interest rate risk. If interest rates increase, our debt service obligations on the variable rate indebtedness would increase even though the amount borrowed remained the same, which would require us to use more of our available cash to service our indebtedness. There can also be no assurance that we will be able to enter into swap agreements or other hedging arrangements in the future if we desire to do so, or that any existing or future hedging arrangements will offset increases in interest rates. As of December 31, 2022, we had approximately $1.7 billion of variable rate debt outstanding.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 and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any disruption in, or failure of, our information technology systems.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upon the capacity, reliability and security of our information technology ("IT") systems across all of our major business functions, including our research and development, manufacturing, retail, financial and administrative functions. We also face the challenge of supporting our older systems and implementing upgrades when necessary, as well as the integration of Cooper Tire’s IT systems with Goodyear’s IT systems. Our security measures are focused on the prevention, detection and remediation of damage from computer viruses, unauthorized access, cyber-attack, natural disasters and other similar disruptions. We may incur significant costs in order to implement the security measures that we feel are necessary to protect our IT systems. However, our IT systems may remain vulnerable to damage despite our implementation of security measures that we deem to be appropriate. In addition, we are also dependent on third parties to provide important IT services relating to, among other things, human resources, electronic communications and certain finance functions.</w:t>
      </w:r>
    </w:p>
    <w:p>
      <w:pPr>
        <w:spacing w:after="0" w:line="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collect and store sensitive data, including intellectual property, proprietary business information and the proprietary business information of our customers and suppliers, as well as personally identifiable information of our customers and associates, in data centers and on information technology networks.</w:t>
      </w:r>
    </w:p>
    <w:p>
      <w:pPr>
        <w:spacing w:after="0" w:line="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we are subject to privacy, data protection, and information security laws and regulations (“Data Protection Laws”) in the United States and in jurisdictions around the globe that restrict the use, disclosure, transfer and processing of personal data. For example, we are subject to the GDPR, the California Consumer Privacy Act (“CCPA”), and the Brazilian Lei Geral de Proteção de Dados. Costs to comply with these Data Protection Laws are significant and the failure to comply with these laws could result in material legal exposure and business impact. The GDPR, for example, imposes onerous accountability obligations on companies, with penalties for non-compliance of up to the greater of €20 million or four percent of annual global revenue. The GDPR, and other Data Protection Laws, also grant corrective powers to supervisory authorities, including the ability to impose a limit on processing personal data or to order companies to cease operations.</w:t>
      </w:r>
    </w:p>
    <w:p>
      <w:pPr>
        <w:spacing w:after="0" w:line="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Data Protection Laws are part of an evolving global data protection landscape in which the number, complexity, requirements and consequences of non-compliance with these laws are increasing. This landscape includes legislative proposals recently adopted or currently pending in the United States, at both the federal and state levels, as well as in other jurisdictions, implementing new or additional requirements for data protection that could further increase compliance costs, the cost and complexity of delivering our products and services, and significantly affect our business.</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system failure, accident or security breach involving our or our third party's IT systems could result in disruptions to our operations. A breach in the security of our IT systems could include the theft of our intellectual property or trade secrets, negatively impact our manufacturing or retail operations, or result in the compromise of personal information of our employees, customers or suppliers. While we have, from time to time, experienced system failures, accidents and security and privacy breaches involving our IT systems, these incidents have not had a material impact on our operations, and we are not aware of any resulting theft, loss or disclosure of, or damage to, material data or confidential information. To the extent that any system failure, accident or security or privacy breach results in material disruptions to our operations or the theft, loss or disclosure of, or damage to, material data or confidential information, our reputation, business, results of operations and financial condition could be materially adversely affected.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adequately.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depends in part upon our ability to use and protect our proprietary technology and other intellectual property, which generally covers various aspects of the design and manufacture of our products and processes. We own and use tradenames and trademarks worldwide. We rely upon a combination of trade secrets, confidentiality policies, nondisclosure and other contractual arrangements and patent, copyright and trademark laws to protect our intellectual property rights. The steps we take in this regard may not be adequate to protect our intellectual property or to prevent or deter challenges or infringement or other violations of our intellectual property, and we may not be able to detect unauthorized use or take appropriate and timely steps to enforce our intellectual property rights.</w:t>
      </w:r>
    </w:p>
    <w:p>
      <w:pPr>
        <w:spacing w:after="0" w:line="7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addition, the laws of some countries may not protect and enforce our intellectual property rights to the same extent as the laws of the U.S. Further, while we believe we have rights to use all of the intellectual property we use, if we are found to infringe on the rights of others, we could be adversely impacted.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Damage to our brand and reputation could have an adverse effect on our business.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well-known and trusted brand names are a key competitive advantage. We believe that our future success depends, in part, on preserving, enhancing, and leveraging the value of our brands and executing our brand strategies, discussed above, which are designed to drive end-user demand for our products. A decline in the reputation of one or more of our brands as a result of deficiencies or defects in the design or manufacture of our products, or from legal proceedings, product recalls or warranty claims resulting from such deficiencies or defects, may harm our reputation, reduce demand for our products and adversely affect our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Litigation, Laws and Regulations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negatively impacted by changes in tariffs, trade agreements or other trade restrictions on imported tires, raw materials and other goods or equipment.</w:t>
      </w:r>
    </w:p>
    <w:p>
      <w:pPr>
        <w:spacing w:after="0" w:line="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imposition of new tariffs, changes in existing tariff rates, changes in or the repeal of trade agreements or other trade restrictions may reduce our flexibility to utilize our global manufacturing footprint to meet demand for our tires around the world. In addition, the imposition of tariffs in the United States may result in the tires subject to such tariffs being diverted to other regions of the world, such as Europe, Latin America or Asia, or in retaliatory tariffs or other actions by affected countries. Broad-based tariffs and other trade restrictions could also increase costs for our suppliers who may increase prices to us. Finally, tariffs and other trade restrictions may weaken the economies of key markets for us, such as China, resulting in lower economic growth rates and weakened demand for our products and services. These factors, individually or together, could materially adversely affect our results of operations, financial condition and liquidity.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significant costs in connection with our contingent liabilities and tax matters.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significant reserves for contingent liabilities and tax matters. The major categories of our contingent liabilities include workers' compensation and other employment-related claims, product liability and other tort claims, including asbestos claims, and environmental matters. Our recorded liabilities and estimates of reasonably possible losses for our contingent liabilities are based on our assessment of potential liability using the information available to us at the time and, where applicable, any past experience and recent and current trends with respect to similar matters. Our contingent liabilities are subject to inherent uncertainties, and unfavorable judicial or administrative decisions could occur that we did not anticipate. Such an unfavorable decision could include monetary damages, fines or other penalties or an injunction prohibiting us from taking certain actions or selling certain products. If such an unfavorable decision were to occur, it could result in a material adverse impact on our financial position and results of operations in the period in which the decision occurs, or in future periods.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calculation of our tax liabilities involves dealing with uncertainties in the application of complex tax regulations, including with respect to transfer pricing. While we apply consistent transfer pricing policies and practices globally, support transfer prices through economic studies, seek advance pricing agreements and joint audits to the extent possible and believe our transfer prices to be appropriate, such transfer prices, and related interpretations of tax laws, are occasionally challenged by various taxing authorities globally. We have received various tax assessments challenging our interpretations of applicable tax laws in various jurisdictions. Although we believe we have complied with applicable tax laws, have strong positions and defenses and have historically been successful in defending such claims, our results of operations could be materially adversely affected in the case we are unsuccessful in the defense of existing or future claims.</w:t>
      </w:r>
    </w:p>
    <w:p>
      <w:pPr>
        <w:spacing w:after="0" w:line="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If we wish to appeal any future adverse judgment in any of these proceedings, we may be required to post an appeal bond with the relevant court. If we were subject to a significant adverse judgment or experienced an interruption or reduction in the availability of bonding capacity, we may be required to provide letters of credit or post cash collateral, which may have a material adverse effect on our liquidity.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significant deferred tax assets, including foreign tax credits. We must generate sufficient earnings of the appropriate character in order to utilize our deferred tax assets prior to any applicable expiration dates. If our earnings remain flat or decline over an extended period of time, we may not be able to utilize certain of our deferred tax assets prior to their expiration and we may need to record a valuation allowance against them that could materially adversely affect our results of operations in the period in which the valuation allowance is recorded.</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further information regarding our contingent liabilities and tax matters, refer to Notes to the Consolidated Financial Statements No. 20, Commitments and Contingent Liabilities, and No. 7, Income Taxes. For further information regarding our accounting policies with respect to certain of our contingent liabilities and uncertain income tax positions, refer to “Item 7. Management's Discussion and Analysis of Financial Condition and Results of Operations — Critical Accounting Policies.”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extensive government regulations that may materially adversely affect our operating results.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are subject to regulation by the Department of Transportation through NHTSA, which has established various standards and regulations applicable to tires sold in the United States and tires sold in a foreign country that are identical or substantially similar to tires sold in the United States. NHTSA has the authority to order the recall of automotive products, including tires, having safety-related defects or that do not comply with a motor vehicle safety standard, and, in some cases, to assess penalties.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TREAD Act imposes numerous requirements with respect to the early warning reporting of warranty claims, property damage claims, and bodily injury and fatality claims and also requires tire manufacturers, among other things, to comply with revised and more rigorous tire testing standards. Compliance with the TREAD Act regulations has increased the cost of producing and distributing tires in the United States. We have been subject to recalls in the past and it is possible that a recall of our tires, including under the TREAD Act or in other countries under similar regulations, could occur in the future. A substantial recall or related penalties could have a material adverse effect on our reputation, operating results and financial condition.</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pursuant to the Energy Independence and Security Act of 2007, NHTSA may establish a national tire fuel efficiency consumer information program. If a related rule-making process is completed, certain tires sold in the United States would be required to be rated for rolling resistance, traction and tread wear. While the federal law preempts state tire fuel efficiency laws adopted after January 1, 2006, we may become subject to additional tire fuel efficiency legislation, either in the United States or other countries.</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European operations are subject to regulation by the European Union. Two regulations, the Tire Safety Regulation and the Tire Labeling Regulation, applicable to tires sold in the European Union have been adopted. The Tire Safety Regulation sets performance standards that tires for cars and light and commercial trucks need to meet for rolling resistance, wet grip braking (passenger car tires only) and noise in order to be sold in the European Union. The Tire Labeling Regulation applies to all passenger car, light truck and commercial truck tires and requires that consumers be informed about the tire's fuel efficiency, wet grip and noise characteristics. Other countries, such as Brazil, have also adopted tire labeling regulations, and additional countries may also introduce similar regulations in the future.</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Tires produced or sold in Europe also have to comply with various other standards, including environmental laws such as REACH (Registration, Evaluation, Authorisation and Restriction of Chemical Substances), which regulates the use of chemicals in the European Union. For example, REACH prohibits the use of highly aromatic oils in tires, which were used as compounding components to improve certain performance characteristics.</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These U.S. and European regulations, rules adopted to implement these regulations, or other similar regulations that may be adopted in the United States, Europe or elsewhere in the future may require us to alter or increase our capital spending and research and development plans or cease the production of certain tires, which could have a material adverse effect on our operating results.</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Laws and regulations governing environmental and occupational safety and health are complicated, change frequently and have tended to become stricter over time. As a manufacturing company, we are subject to these laws and regulations both inside and outside the United States. We may not be in complete compliance with such laws and regulations at all times. Our costs or liabilities relating to them may be more than the amount we have reserved, and that difference may be material.</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Compliance with the laws and regulations described above or any of the myriad of applicable foreign, federal, state and local laws and regulations currently in effect or that may be adopted in the future could materially adversely affect our competitive position, operating results, financial condition and liquidity.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foreign currency translation and transaction risks that may materially adversely affect our operating results, financial condition and liquidity.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financial position and results of operations of many of our international subsidiaries are initially recorded in various foreign currencies and then translated into U.S. dollars at the applicable exchange rate for inclusion in our financial statements. The strengthening of the U.S. dollar against these foreign currencies ordinarily has a negative impact on our reported sales and operating margin (and conversely, the weakening of the U.S. dollar against these foreign currencies has a positive impact). For the year ended December 31, 2022, foreign currency translation unfavorably affected sales by $1,114 million and unfavorably affected segment operating income by $16 million compared to the year ended December 31, 2021. The volatility of currency exchange rates may materially adversely affect our operating results.</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impacted by economic and supply disruptions associated with events beyond our control, such as war, including the current conflict between Russia and Ukraine, acts of terror, political unrest, public health concerns, labor disputes or natural disasters.</w:t>
      </w:r>
    </w:p>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manage businesses and facilities worldwide. Our facilities and operations, and the facilities and operations of our suppliers and customers, could be disrupted by events beyond our control, such as war, acts of terror, political unrest, public health concerns, labor disputes, or severe weather conditions or natural disasters. In addition, our operations could be adversely affected as a result of other disruptions at our facilities due to fire, electrical blackouts, power losses, telecommunications failures or other similar effects. Any such disruption could cause delays in the production and distribution of our products and the loss of sales and customers. We may not be insured against all such potential losses and, if insured, the insurance proceeds that we receive may not adequately compensate us for all of our losses.</w:t>
      </w:r>
    </w:p>
    <w:p>
      <w:pPr>
        <w:spacing w:after="0" w:line="18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manufacture our products in 57 manufacturing facilities located around the world including 18 plants in the United States.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AMERICAS MANUFACTURING FACILITIES. </w:t>
      </w:r>
      <w:r>
        <w:rPr>
          <w:rFonts w:ascii="Times New Roman" w:cs="Times New Roman" w:eastAsia="Times New Roman" w:hAnsi="Times New Roman"/>
          <w:sz w:val="18"/>
          <w:szCs w:val="18"/>
          <w:color w:val="auto"/>
        </w:rPr>
        <w:t>Americas owns or leases and operates 29 manufacturing facilities in 7 countries, including:</w:t>
      </w:r>
    </w:p>
    <w:p>
      <w:pPr>
        <w:spacing w:after="0" w:line="121"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tire plants,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chemical plants,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tire manufacturing equipment plants,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tire retread plants,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aviation retread plants,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mix plant.</w:t>
      </w:r>
    </w:p>
    <w:p>
      <w:pPr>
        <w:spacing w:after="0" w:line="11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EUROPE, MIDDLE EAST AND AFRICA MANUFACTURING FACILITIES. </w:t>
      </w:r>
      <w:r>
        <w:rPr>
          <w:rFonts w:ascii="Times New Roman" w:cs="Times New Roman" w:eastAsia="Times New Roman" w:hAnsi="Times New Roman"/>
          <w:sz w:val="18"/>
          <w:szCs w:val="18"/>
          <w:color w:val="auto"/>
        </w:rPr>
        <w:t>EMEA owns or leases and operates 18 manufacturing facilities in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countries, including:</w:t>
      </w:r>
    </w:p>
    <w:p>
      <w:pPr>
        <w:spacing w:after="0" w:line="50"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tire plants,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tire retread plant,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aviation retread plant.</w:t>
      </w:r>
    </w:p>
    <w:p>
      <w:pPr>
        <w:spacing w:after="0" w:line="1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ASIA PACIFIC MANUFACTURING FACILITIES. </w:t>
      </w:r>
      <w:r>
        <w:rPr>
          <w:rFonts w:ascii="Times New Roman" w:cs="Times New Roman" w:eastAsia="Times New Roman" w:hAnsi="Times New Roman"/>
          <w:sz w:val="18"/>
          <w:szCs w:val="18"/>
          <w:color w:val="auto"/>
        </w:rPr>
        <w:t>Asia Pacific owns and operates 10 manufacturing facilities in 6 countries, including 9 tire plants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1 aviation retread plant.</w:t>
      </w:r>
    </w:p>
    <w:p>
      <w:pPr>
        <w:spacing w:after="0" w:line="4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PLANT UTILIZATION. </w:t>
      </w:r>
      <w:r>
        <w:rPr>
          <w:rFonts w:ascii="Times New Roman" w:cs="Times New Roman" w:eastAsia="Times New Roman" w:hAnsi="Times New Roman"/>
          <w:sz w:val="18"/>
          <w:szCs w:val="18"/>
          <w:color w:val="auto"/>
        </w:rPr>
        <w:t>Our worldwide tire capacity utilization rate was approximately 89% during 2022 compared to approximately 87% in 2021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68% in 2020. The utilization rate in 2022 was reflective of our continued recovery from the pandemic-related factory shutdowns in 2020. The reported capacity utilization is an overall average for the Company. Our utilization rate can vary significantly between product lines, depending on the complexity of the tires, and between consumer and commercial tires, and can also vary between business segments.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OTHER FACILITIES. </w:t>
      </w:r>
      <w:r>
        <w:rPr>
          <w:rFonts w:ascii="Times New Roman" w:cs="Times New Roman" w:eastAsia="Times New Roman" w:hAnsi="Times New Roman"/>
          <w:sz w:val="18"/>
          <w:szCs w:val="18"/>
          <w:color w:val="auto"/>
        </w:rPr>
        <w:t>We also own and operate five research and development facilities and technical centers, three development centers,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innovation lab, and seven tire proving grounds. We lease our Corporate and Americas headquarters and our research and development facility and technical center in Akron, Ohio. We operate approximately 950 retail outlets for the sale of our tires to consumer and commercial customers, approximately 40 tire retreading facilities and approximately 300 warehouse distribution facilities. Substantially all of these facilities are leased. We do not consider any one of these leased properties to be material to our operations. For additional information regarding leased properties, refer to Notes to the Consolidated Financial Statements No. 14, Property, Plant and Equipment, and No. 15, Leases. Certain of our manufacturing facilities are mortgaged as collateral for our secured credit facilities. Refer to Note to the Consolidated Financial Statements No. 16, Financing Arrangements and Derivative Financial Instruments.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1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Asbestos Litigation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currently one of numerous defendants in legal proceedings in certain state and federal courts involving approximately 37,200 claimants at December 31, 2022 relating to their alleged exposure to materials containing asbestos in products allegedly manufactured by us or asbestos materials present at our facilities. We manufactured, among other things, rubber coated asbestos sheet gasket materials from 1914 through 1973 and aircraft brake assemblies containing asbestos materials prior to 1987. Some of the claimants are independent contractors or their employees who allege exposure to asbestos while working at certain of our facilities. It is expected that in a substantial portion of these cases there will be no evidence of exposure to a Goodyear manufactured product containing asbestos or asbestos in our facilities. The amount expended by us and our insurers on defense and claim resolution was $16 million during 2022. The plaintiffs in the pending cases allege that they were exposed to asbestos and, as a result of such exposure, suffer from various respiratory diseases, including in some cases mesothelioma and lung cancer. The plaintiffs are seeking unspecified actual and punitive damages and other relief. For additional information on asbestos litigation, refer to Note to the Consolidated Financial Statements No. 20, Commitments and Contingent Liabilities.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Derivative Litigation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24, 2018, a purported shareholder of the Company filed a derivative action on behalf of the Company in the Court of Common Pleas for Summit County, Ohio against certain of our directors, our chief executive officer, and certain former officers and directors. The complaint also names the Company as a nominal defendant. The lawsuit alleges, among other things, breach of fiduciary duties, waste of corporate assets and fraudulent concealment in connection with certain G159 tires manufactured by us from 1996 until 2003. The lawsuit seeks unspecified monetary damages, an award of attorney’s fees and expenses, and other legal and equitable relief. On September 25, 2020, the Court of Common Pleas dismissed the derivative action and the purported shareholder appealed that dismissal. On June 30, 2021, the Ohio Court of Appeals for the Ninth Judicial District reversed the trial court's judgment and remanded the case for further proceedings.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legal proceedings described above, various other legal actions, indirect tax assessments, claims and governmental investigations and proceedings covering a wide range of matters are pending against us, including claims and proceedings relating to several waste disposal sites that have been identified by the United States Environmental Protection Agency and similar agencies of various states for remedial investigation and cleanup, which sites were allegedly used by us in the past for the disposal of industrial waste materials. Based on available information, we do not consider any such action, assessment, claim, investigation or proceeding to be material, within the meaning of that term as used in Item 103 of Regulation S-K and the instructions thereto. For additional information regarding our legal proceedings, refer to Note to the Consolidated Financial Statements No. 20, Commitments and Contingent Liabilities.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5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principal market for our common stock is the Nasdaq Global Select Market (Stock Exchange Symbol: GT). At December 31, 2022, there were 12,009 holders of record of the 282,896,352 shares of our common stock then outstanding.</w:t>
      </w:r>
    </w:p>
    <w:p>
      <w:pPr>
        <w:spacing w:after="0" w:line="5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Set forth in the table below is certain information regarding the number of shares of our common stock that were subject to outstanding stock options or other compensation plan awards at December 31, 2022.</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Number of Shares</w:t>
            </w: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Remaining Available for</w:t>
            </w: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7"/>
              </w:rPr>
              <w:t>Number of Shares to be</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jc w:val="center"/>
              <w:ind w:right="206"/>
              <w:spacing w:after="0" w:line="135" w:lineRule="exact"/>
              <w:rPr>
                <w:sz w:val="20"/>
                <w:szCs w:val="20"/>
                <w:color w:val="auto"/>
              </w:rPr>
            </w:pPr>
            <w:r>
              <w:rPr>
                <w:rFonts w:ascii="Times New Roman" w:cs="Times New Roman" w:eastAsia="Times New Roman" w:hAnsi="Times New Roman"/>
                <w:sz w:val="13"/>
                <w:szCs w:val="13"/>
                <w:b w:val="1"/>
                <w:bCs w:val="1"/>
                <w:color w:val="auto"/>
                <w:w w:val="95"/>
              </w:rPr>
              <w:t>Weighted Average</w:t>
            </w:r>
          </w:p>
        </w:tc>
        <w:tc>
          <w:tcPr>
            <w:tcW w:w="100" w:type="dxa"/>
            <w:vAlign w:val="bottom"/>
          </w:tcPr>
          <w:p>
            <w:pPr>
              <w:spacing w:after="0"/>
              <w:rPr>
                <w:sz w:val="11"/>
                <w:szCs w:val="11"/>
                <w:color w:val="auto"/>
              </w:rPr>
            </w:pPr>
          </w:p>
        </w:tc>
        <w:tc>
          <w:tcPr>
            <w:tcW w:w="1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Future Issuance under</w:t>
            </w: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7"/>
              </w:rPr>
              <w:t>Issued upon Exercise of</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jc w:val="center"/>
              <w:ind w:right="206"/>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Exercise Price of</w:t>
            </w:r>
          </w:p>
        </w:tc>
        <w:tc>
          <w:tcPr>
            <w:tcW w:w="100" w:type="dxa"/>
            <w:vAlign w:val="bottom"/>
          </w:tcPr>
          <w:p>
            <w:pPr>
              <w:spacing w:after="0"/>
              <w:rPr>
                <w:sz w:val="11"/>
                <w:szCs w:val="11"/>
                <w:color w:val="auto"/>
              </w:rPr>
            </w:pPr>
          </w:p>
        </w:tc>
        <w:tc>
          <w:tcPr>
            <w:tcW w:w="1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Equity Compensation</w:t>
            </w: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6"/>
              </w:rPr>
              <w:t>Outstanding Options,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jc w:val="center"/>
              <w:ind w:right="226"/>
              <w:spacing w:after="0" w:line="135" w:lineRule="exact"/>
              <w:rPr>
                <w:sz w:val="20"/>
                <w:szCs w:val="20"/>
                <w:color w:val="auto"/>
              </w:rPr>
            </w:pPr>
            <w:r>
              <w:rPr>
                <w:rFonts w:ascii="Times New Roman" w:cs="Times New Roman" w:eastAsia="Times New Roman" w:hAnsi="Times New Roman"/>
                <w:sz w:val="13"/>
                <w:szCs w:val="13"/>
                <w:b w:val="1"/>
                <w:bCs w:val="1"/>
                <w:color w:val="auto"/>
                <w:w w:val="96"/>
              </w:rPr>
              <w:t>Outstanding Options,</w:t>
            </w:r>
          </w:p>
        </w:tc>
        <w:tc>
          <w:tcPr>
            <w:tcW w:w="100" w:type="dxa"/>
            <w:vAlign w:val="bottom"/>
          </w:tcPr>
          <w:p>
            <w:pPr>
              <w:spacing w:after="0"/>
              <w:rPr>
                <w:sz w:val="11"/>
                <w:szCs w:val="11"/>
                <w:color w:val="auto"/>
              </w:rPr>
            </w:pPr>
          </w:p>
        </w:tc>
        <w:tc>
          <w:tcPr>
            <w:tcW w:w="1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Plans (Excluding Shares</w:t>
            </w:r>
          </w:p>
        </w:tc>
        <w:tc>
          <w:tcPr>
            <w:tcW w:w="0" w:type="dxa"/>
            <w:vAlign w:val="bottom"/>
          </w:tcPr>
          <w:p>
            <w:pPr>
              <w:spacing w:after="0"/>
              <w:rPr>
                <w:sz w:val="1"/>
                <w:szCs w:val="1"/>
                <w:color w:val="auto"/>
              </w:rPr>
            </w:pPr>
          </w:p>
        </w:tc>
      </w:tr>
      <w:tr>
        <w:trPr>
          <w:trHeight w:val="167"/>
        </w:trPr>
        <w:tc>
          <w:tcPr>
            <w:tcW w:w="528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3"/>
                <w:szCs w:val="13"/>
                <w:b w:val="1"/>
                <w:bCs w:val="1"/>
                <w:color w:val="auto"/>
              </w:rPr>
              <w:t>Plan Category</w:t>
            </w:r>
          </w:p>
        </w:tc>
        <w:tc>
          <w:tcPr>
            <w:tcW w:w="120" w:type="dxa"/>
            <w:vAlign w:val="bottom"/>
          </w:tcPr>
          <w:p>
            <w:pPr>
              <w:spacing w:after="0"/>
              <w:rPr>
                <w:sz w:val="14"/>
                <w:szCs w:val="14"/>
                <w:color w:val="auto"/>
              </w:rPr>
            </w:pPr>
          </w:p>
        </w:tc>
        <w:tc>
          <w:tcPr>
            <w:tcW w:w="184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5"/>
              </w:rPr>
              <w:t>Warrants and Rights</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ind w:right="206"/>
              <w:spacing w:after="0"/>
              <w:rPr>
                <w:sz w:val="20"/>
                <w:szCs w:val="20"/>
                <w:color w:val="auto"/>
              </w:rPr>
            </w:pPr>
            <w:r>
              <w:rPr>
                <w:rFonts w:ascii="Times New Roman" w:cs="Times New Roman" w:eastAsia="Times New Roman" w:hAnsi="Times New Roman"/>
                <w:sz w:val="13"/>
                <w:szCs w:val="13"/>
                <w:b w:val="1"/>
                <w:bCs w:val="1"/>
                <w:color w:val="auto"/>
                <w:w w:val="96"/>
              </w:rPr>
              <w:t>Warrants and Rights</w:t>
            </w:r>
          </w:p>
        </w:tc>
        <w:tc>
          <w:tcPr>
            <w:tcW w:w="100" w:type="dxa"/>
            <w:vAlign w:val="bottom"/>
          </w:tcPr>
          <w:p>
            <w:pPr>
              <w:spacing w:after="0"/>
              <w:rPr>
                <w:sz w:val="14"/>
                <w:szCs w:val="14"/>
                <w:color w:val="auto"/>
              </w:rPr>
            </w:pPr>
          </w:p>
        </w:tc>
        <w:tc>
          <w:tcPr>
            <w:tcW w:w="18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6"/>
              </w:rPr>
              <w:t>Reflected in Column (a))</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(a)</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21,697,291  </w:t>
            </w:r>
            <w:r>
              <w:rPr>
                <w:rFonts w:ascii="Times New Roman" w:cs="Times New Roman" w:eastAsia="Times New Roman" w:hAnsi="Times New Roman"/>
                <w:sz w:val="21"/>
                <w:szCs w:val="21"/>
                <w:color w:val="auto"/>
                <w:vertAlign w:val="superscript"/>
              </w:rPr>
              <w:t>(1)</w:t>
            </w:r>
          </w:p>
        </w:tc>
        <w:tc>
          <w:tcPr>
            <w:tcW w:w="0" w:type="dxa"/>
            <w:vAlign w:val="bottom"/>
          </w:tcPr>
          <w:p>
            <w:pPr>
              <w:spacing w:after="0"/>
              <w:rPr>
                <w:sz w:val="1"/>
                <w:szCs w:val="1"/>
                <w:color w:val="auto"/>
              </w:rPr>
            </w:pPr>
          </w:p>
        </w:tc>
      </w:t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shareholders</w:t>
            </w:r>
          </w:p>
        </w:tc>
        <w:tc>
          <w:tcPr>
            <w:tcW w:w="1960" w:type="dxa"/>
            <w:vAlign w:val="bottom"/>
            <w:gridSpan w:val="2"/>
          </w:tcPr>
          <w:p>
            <w:pPr>
              <w:jc w:val="right"/>
              <w:ind w:right="69"/>
              <w:spacing w:after="0"/>
              <w:rPr>
                <w:sz w:val="20"/>
                <w:szCs w:val="20"/>
                <w:color w:val="auto"/>
              </w:rPr>
            </w:pPr>
            <w:r>
              <w:rPr>
                <w:rFonts w:ascii="Times New Roman" w:cs="Times New Roman" w:eastAsia="Times New Roman" w:hAnsi="Times New Roman"/>
                <w:sz w:val="18"/>
                <w:szCs w:val="18"/>
                <w:color w:val="auto"/>
              </w:rPr>
              <w:t>5,927,398</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46"/>
              <w:spacing w:after="0"/>
              <w:rPr>
                <w:sz w:val="20"/>
                <w:szCs w:val="20"/>
                <w:color w:val="auto"/>
              </w:rPr>
            </w:pPr>
            <w:r>
              <w:rPr>
                <w:rFonts w:ascii="Times New Roman" w:cs="Times New Roman" w:eastAsia="Times New Roman" w:hAnsi="Times New Roman"/>
                <w:sz w:val="18"/>
                <w:szCs w:val="18"/>
                <w:color w:val="auto"/>
              </w:rPr>
              <w:t>17.20</w:t>
            </w:r>
          </w:p>
        </w:tc>
        <w:tc>
          <w:tcPr>
            <w:tcW w:w="20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shareholders</w:t>
            </w:r>
          </w:p>
        </w:tc>
        <w:tc>
          <w:tcPr>
            <w:tcW w:w="120" w:type="dxa"/>
            <w:vAlign w:val="bottom"/>
          </w:tcPr>
          <w:p>
            <w:pPr>
              <w:spacing w:after="0"/>
              <w:rPr>
                <w:sz w:val="21"/>
                <w:szCs w:val="21"/>
                <w:color w:val="auto"/>
              </w:rPr>
            </w:pPr>
          </w:p>
        </w:tc>
        <w:tc>
          <w:tcPr>
            <w:tcW w:w="1840" w:type="dxa"/>
            <w:vAlign w:val="bottom"/>
          </w:tcPr>
          <w:p>
            <w:pPr>
              <w:jc w:val="right"/>
              <w:ind w:right="6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4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6"/>
        </w:trPr>
        <w:tc>
          <w:tcPr>
            <w:tcW w:w="5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CFF0FC"/>
            </w:tcBorders>
            <w:shd w:val="clear" w:color="auto" w:fill="CFF0FC"/>
          </w:tcPr>
          <w:p>
            <w:pPr>
              <w:spacing w:after="0"/>
              <w:rPr>
                <w:sz w:val="24"/>
                <w:szCs w:val="24"/>
                <w:color w:val="auto"/>
              </w:rPr>
            </w:pPr>
          </w:p>
        </w:tc>
        <w:tc>
          <w:tcPr>
            <w:tcW w:w="1840" w:type="dxa"/>
            <w:vAlign w:val="bottom"/>
            <w:tcBorders>
              <w:top w:val="single" w:sz="8" w:color="auto"/>
              <w:bottom w:val="single" w:sz="8" w:color="auto"/>
            </w:tcBorders>
            <w:shd w:val="clear" w:color="auto" w:fill="CFF0FC"/>
          </w:tcPr>
          <w:p>
            <w:pPr>
              <w:jc w:val="right"/>
              <w:ind w:right="69"/>
              <w:spacing w:after="0"/>
              <w:rPr>
                <w:sz w:val="20"/>
                <w:szCs w:val="20"/>
                <w:color w:val="auto"/>
              </w:rPr>
            </w:pPr>
            <w:r>
              <w:rPr>
                <w:rFonts w:ascii="Times New Roman" w:cs="Times New Roman" w:eastAsia="Times New Roman" w:hAnsi="Times New Roman"/>
                <w:sz w:val="18"/>
                <w:szCs w:val="18"/>
                <w:b w:val="1"/>
                <w:bCs w:val="1"/>
                <w:color w:val="auto"/>
              </w:rPr>
              <w:t>5,927,398</w:t>
            </w:r>
          </w:p>
        </w:tc>
        <w:tc>
          <w:tcPr>
            <w:tcW w:w="3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CFF0FC"/>
            </w:tcBorders>
            <w:shd w:val="clear" w:color="auto" w:fill="CFF0FC"/>
          </w:tcPr>
          <w:p>
            <w:pPr>
              <w:jc w:val="right"/>
              <w:ind w:right="46"/>
              <w:spacing w:after="0"/>
              <w:rPr>
                <w:sz w:val="20"/>
                <w:szCs w:val="20"/>
                <w:color w:val="auto"/>
              </w:rPr>
            </w:pPr>
            <w:r>
              <w:rPr>
                <w:rFonts w:ascii="Times New Roman" w:cs="Times New Roman" w:eastAsia="Times New Roman" w:hAnsi="Times New Roman"/>
                <w:sz w:val="18"/>
                <w:szCs w:val="18"/>
                <w:b w:val="1"/>
                <w:bCs w:val="1"/>
                <w:color w:val="auto"/>
              </w:rPr>
              <w:t>17.20</w:t>
            </w:r>
          </w:p>
        </w:tc>
        <w:tc>
          <w:tcPr>
            <w:tcW w:w="100" w:type="dxa"/>
            <w:vAlign w:val="bottom"/>
            <w:tcBorders>
              <w:bottom w:val="single" w:sz="8" w:color="CFF0FC"/>
            </w:tcBorders>
            <w:shd w:val="clear" w:color="auto" w:fill="CFF0FC"/>
          </w:tcPr>
          <w:p>
            <w:pPr>
              <w:spacing w:after="0"/>
              <w:rPr>
                <w:sz w:val="24"/>
                <w:szCs w:val="24"/>
                <w:color w:val="auto"/>
              </w:rPr>
            </w:pPr>
          </w:p>
        </w:tc>
        <w:tc>
          <w:tcPr>
            <w:tcW w:w="180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21,697,291</w:t>
            </w:r>
          </w:p>
        </w:tc>
        <w:tc>
          <w:tcPr>
            <w:tcW w:w="16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-24765</wp:posOffset>
            </wp:positionV>
            <wp:extent cx="939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-7620</wp:posOffset>
            </wp:positionV>
            <wp:extent cx="939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1028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1028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83" w:lineRule="exact"/>
        <w:rPr>
          <w:sz w:val="20"/>
          <w:szCs w:val="20"/>
          <w:color w:val="auto"/>
        </w:rPr>
      </w:pPr>
    </w:p>
    <w:p>
      <w:pPr>
        <w:jc w:val="both"/>
        <w:ind w:left="760" w:hanging="752"/>
        <w:spacing w:after="0" w:line="260"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equity compensation plans, up to a maximum of 2,229,290 performance shares in respect of performance periods ending on or subsequent to December 31, 2022, 103,492 shares of restricted stock and 1,374,608 restricted stock units have been awarded. In addition, up to 34,598 shares of common stock may be issued in respect of the deferred payout of awards made under our equity compensation plans. The number of performance shares indicated assumes the maximum possible payout that may be earned during the relevant performance periods.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1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per share amounts are diluted and refer to Goodyear net income.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Goodyear Tire &amp; Rubber Company is one of the world’s leading manufacturers of tires, with one of the most recognizable brand names in the world and operations in most regions of the world. We have a broad global footprint with 57 manufacturing facilities in 23 countries, including the United States. We operate our business through three operating segments representing our regional tire businesses: Americas; Europe, Middle East and Africa; and Asia Pacific.</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This management's discussion and analysis provides comparisons of material changes in the consolidated financial statements for the years ended December 31, 2022 and 2021. For a comparison of the years ended December 31, 2021 and 2020, refer to Management's Discussion and Analysis of Financial Condition and Results of Operations included in our annual report on Form 10-K for the year ended December 31, 2021.</w:t>
      </w:r>
    </w:p>
    <w:p>
      <w:pPr>
        <w:spacing w:after="0" w:line="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2023, we approved a rationalization plan and workforce reorganization that will result in an approximately 5% reduction in salaried staff globally, or about 500 positions, in response to a challenging industry environment and cost pressure driven by inflation. In certain foreign countries, relevant portions of the rationalization plan remain subject to consultation with employee representative bodies. We expect to substantially complete the rationalization plan during the first and second quarters of 2023 and estimate total pre-tax charges associated with this action to be approximately $55 million, of which approximately $39 million are expected to be cash charges primarily for associate-related and other exit costs, with the remainder representing non-cash charges primarily for accelerated depreciation and other asset-related charges. We recorded $37 million of pre-tax charges in the fourth quarter of 2022 and expect to record a majority of the remaining charges in the first quarter of 2023. A majority of the cash outflows associated with this plan relate to cash severance payments that are expected to be paid during the first half of 2023. The rationalization and reorganization will result in quarterly run-rate savings of approximately $15 million, beginning in the second quarter of 2023. Savings in the first quarter of 2023 are expected to be $5 million.</w:t>
      </w:r>
    </w:p>
    <w:p>
      <w:pPr>
        <w:spacing w:after="0" w:line="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October 2022, we approved a plan to close the Melksham, United Kingdom tire manufacturing facility ("Melksham"), which was acquired in conjunction with the merger between the Company and Cooper Tire. The plan is intended to address long-standing competitiveness issues at Melksham. The plan also (i) consolidates our premium motorcycle tire production in Europe into a single center of excellence based in our Montlucon, France tire manufacturing facility, (ii) discontinues Cooper Tire’s European motorsport program and (iii) transfers light truck tire production from the Montlucon facility to other tire manufacturing facilities in Europe. The plan includes approximately 320 job reductions at Melksham. The plan remains subject to consultation with relevant employee representative bodies. We expect to substantially complete this rationalization plan by the end of 2023 and estimate total pre-tax charges associated with this plan to be between $80 million and $90 million, of which $60 million to $70 million are expected to be cash charges primarily for associate-related and other exit costs, with the remainder representing non-cash charges primarily for accelerated depreciation and other asset-related charges. We recorded $34 million of pre-tax charges in 2022 related to this plan. The majority of the remaining charges and cash outflows associated with this plan are expected to occur in 2023.</w:t>
      </w:r>
    </w:p>
    <w:p>
      <w:pPr>
        <w:spacing w:after="0" w:line="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During the third quarter of 2022, members of the United Steelworkers ratified a new four-year master collective bargaining agreement with us. The new contract, which expires in July 2026, addresses compensation costs while providing operational improvements that increase manufacturing flexibility and productivity for our U.S. plants covered by the agreement.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On June 7, 2021, we completed the acquisition of Cooper Tire. Since the Closing Date, Cooper Tire's operating results have been incorporated into our consolidated results of operations. For periods that are not fully comparable, we discuss the impact of Cooper Tire's operating results separately up to the point within those periods when consolidated results became comparable.</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2022, our operating results reflected a difficult macroeconomic environment, including the strengthening of the U.S. dollar against most foreign currencies. Our results also reflect higher input costs mostly offset by price and product mix and the benefits of our acquisition of Cooper Tire. Challenging market conditions persist, driven by the direct and indirect macroeconomic effects of the ongoing COVID-19 pandemic, the conflict in Ukraine and other global events, that continue to negatively influence our results.</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global businesses are experiencing varying stages of recovery from the pandemic. National and local efforts during the year in certain countries, such as China, to contain the spread of COVID-19 and its related variants, such as renewed stay-at-home orders and other restrictions on mobility, continued to negatively impact economic conditions and our operations. For instance, some of our facilities, including our facilities in Pulandian and Kunshan, China, had to temporarily shut down or limit production at various times throughout the year because of these restrictions.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Increased demand for consumer products, supply chain disruptions and other factors have led to continuing inflationary cost pressures on our results, including higher costs for certain raw materials, higher transportation costs and higher energy costs. Energy cost increases have been more pronounced in Europe driven by the indirect impacts of the conflict in Ukraine. Furthermore, shortages of certain automobile parts, such as semiconductors, continue to affect OE manufacturers’ ability to produce consumer and commercial vehicles consistently, although the industry, and our volume, experienced some recovery during the second half of 2022.</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also continue to experience increased labor-related costs and manufacturing inefficiencies associated with the ongoing tight labor supply, particularly in the U.S. To address this issue, we have accelerated hiring as necessary, increased training capacity and started to adjust future investment plans to consider not just the cost, but also the availability of qualified workers.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most of our global tire manufacturing facilities operated at or near full capacity during 2022, in order to address softening industry demand and prevent the buildup of excess inventory, we reduced production in the fourth quarter of 2022 at most of our tire manufacturing facilities, resulting in a reduction of approximately 3.5 million units compared to production in the fourth quarter of 2021, primarily in Americas and EMEA. Decisions to change production levels in the future will be based on an evaluation of market demand signals and inventory and supply levels, as well as the availability of sufficient qualified labor and our ability to continue to safeguard the health of our associates.</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it remains challenging to operate our business in Ukraine, we were able to resume shipments of tires into the country on a limited basis during the second quarter of 2022 and to expand our shipments during the second half of the year. In addition, we previously suspended all shipments of tires to Russia during the first quarter of 2022 and approved the discontinuation of our Russian operations in January 2023. Goodyear’s sales in Ukraine and Russia represented 0.3% and 1.2%, respectively, of our total 2021 net sales of $17.5 billion. We do not have manufacturing operations in either Ukraine or Russia, and we continue to take numerous actions to ensure continuity of supply for raw materials used in manufacturing, some of which are sourced from the impacted area. These actions include increasing our safety stocks when possible, identifying substitutes where appropriate and building alternate supplier relationships where necessary. Nonetheless, the ongoing conflict continues to aggravate the already challenging macroeconomic trends described above, including global supply chain disruptions, higher costs for certain raw materials and higher transportation and energy costs. The situation continues to be very dynamic and we are continually assessing all potential impacts on our associates and business.</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results for 2022 include a 9.0% increase in tire unit shipments compared to 2021, reflecting the addition of Cooper Tire's operations for the full year, as well as some recovery in OE, including share gains from new OE fitments, despite ongoing supply chain disruptions and shortages. In addition to higher raw material costs, we incurred approximately $890 million of year-over-year incremental costs during 2022 related to inflation and other cost pressures, primarily higher transportation and energy costs, compared to $209 million in 2021.</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were $20,805 million in 2022, compared to $17,478 million in 2021. Net sales increased in 2022 primarily due to global improvements in price and product mix, the addition of incremental net sales from Cooper Tire during the first six months of 2022, higher sales in other tire related businesses, driven by increased third-party chemical sales in Americas, growth in EMEA's Fleet Solutions, higher aviation sales in Americas and EMEA, and increased retail sales in Americas, and higher tire volume in Asia Pacific and EMEA, partially offset by lower tire volume in Americas. These increases were partially offset by unfavorable foreign currency translation, primarily in EMEA and Asia Pacific, driven by the strengthening of the U.S. dollar.</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Goodyear net income in 2022 was $202 million, or $0.71 per share, compared to net income of $764 million, or $2.89 per share, in 2021. The decrease in Goodyear net income was primarily due to higher U.S. and Foreign Tax Expense, higher interest expense and higher rationalization charges. Income taxes in 2021 included discrete tax benefits of $340 million related to a reduction in valuation allowances on certain U.S. deferred tax assets primarily for foreign tax credits and $39 million to adjust our deferred tax assets in England for an enacted change in tax rate.</w:t>
      </w:r>
    </w:p>
    <w:p>
      <w:pPr>
        <w:spacing w:after="0" w:line="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total segment operating income for 2022 was $1,276 million, compared to $1,288 million in 2021. The $12 million decrease was primarily due to increased conversion costs of $462 million, higher transportation and import duty costs of $292 million, primarily in Americas and EMEA, and higher Selling, Administrative and General Expense ("SAG") of $96 million, all driven by the inflationary cost trends described above, as well as a favorable indirect tax ruling in Brazil of $69 million in 2021, a favorable settlement of $20 million in 2021 due to a reduction in certain U.S. duty rates on various Cooper Tire commercial tires from China imported into the U.S. during 2019, and unfavorable foreign currency translation of $16 million, primarily in Asia Pacific, driven by the strengthening of the U.S. dollar. These decreases were mostly offset by global improvements in price and product mix of $2,532 million, which more than offset higher raw material costs of $1,885 million, $72 million of amortization expense during the second half of 2021 related to a Cooper Tire fair value step-up in inventory acquired by Goodyear, and higher earnings in other tire-related businesses of $21 million, primarily due to higher aviation sales and retread sales in Americas and EMEA. The remainder of the change was driven by the addition of incremental Cooper Tire operating results during the first six months of 2022. Refer to "Results of Operations — Segment Information" for additional information.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31, 2022, we had $1,227 million of Cash and Cash Equivalents as well as $4,035 million of unused availability under our various credit agreements, compared to $1,088 million and $4,345 million, respectively, at December 31, 2021. The increase in cash and cash equivalents of $139 million was primarily due to net borrowings of $582 million, cash provided by operating activities of $521 million and cash proceeds of $108 million received from a sale and leaseback transaction in Americas in the second quarter of 2022, partially offset by capital expenditures of $1,061 million. Cash provided by operating activities reflects net income for the period of $209 million, which includes non-cash charges for depreciation and amortization of $964 million, non-cash rationalization charges of $129 million, non-cash net pension curtailment and settlement charges of $124 million, and a non-cash gain of $95 million related to the sale and leaseback transaction in Americas, partially offset by cash used for working capital of $689 million, rationalization payments of $95 million and pension contributions and direct payments of $60 million, as well as the impact of other changes to various assets and liabilities on the Balance Sheet. Refer to "Liquidity and Capital Resources" for additional information.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global economy continues to face uncertain macroeconomic conditions, including the ongoing effects of inflation, which have led to higher interest rates and lower consumer confidence. Uncertainties around the availability of energy in Europe have more profoundly affected consumer spending in that region. COVID-19 infections in China are expected to continue to negatively impact consumer spending in that country through the early part of 2023. Although the situation continues to improve, OE manufacturers continue to be affected by shortages of materials and components, limiting vehicle production. The combination of these and other factors have lowered tire industry volumes globally in the fourth quarter of 2022. We expect these soft industry conditions to persist in the first quarter of 2023, especially in Europe, which are expected to reduce our total volume by approximately 5% compared to the first quarter of 2022. Because of this industry softness in Europe, we anticipate segment operating income in EMEA will approach breakeven in the first quarter of 2023 but will return to levels of recent historical performance by the middle of the year.</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our raw material costs to increase approximately $200 million in 2023 compared to 2022, including the impact of the stronger U.S. dollar and higher transportation and supplier costs. This net increase includes higher raw material costs of approximately $300 million and $100 million in the first and second quarters of 2023, respectively, and lower raw material costs of approximately $200 million in the second half of the year. We anticipate price and product mix improvements to more than offset raw material cost increases in the first quarter of 2023 by approximately $100 million. Natural and synthetic rubber prices and other commodity prices historically have been volatile, and our raw material costs could change based on future cost fluctuations and changes in foreign exchange rates. We continue to focus on price and product mix, to substitute lower cost materials where possible, to work to identify additional substitution opportunities, to reduce the amount of material required in each tire, and to pursue alternative raw materials to minimize the impact of higher raw material costs.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higher raw material costs, we expect the impact of other inflationary cost pressures to persist, particularly with respect to transportation, labor and energy costs. We expect the negative impact from non-raw material inflation in the first quarter of 2023 will be approximately $175 million compared with the first quarter of 2022. We continue to focus on actions to offset costs other than raw materials through cost savings initiatives, including rationalization actions, further price actions and improvements in product mix. We also anticipate our first quarter 2023 results will be negatively impacted by our reduced production levels in the fourth quarter of 2022 of approximately 3.5 million tire units. We also plan to reduce our production levels in the first quarter of 2023 by the same number of units as the fourth quarter of 2022, which will impact our second quarter of 2023 results.</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full year of 2023, we expect working capital to be a source of operating cash flows of approximately $100 million. We anticipate our capital expenditures will be approximately $1.0 billion. Our capital expenditures in 2023 will be focused on projects to modernize certain of our manufacturing facilities and expand others to address anticipated future demand, in addition to capital expenditures to sustain our facilities. We anticipate our cash flows will include rationalization payments of approximately $100 million, as we continue to address our cost structure.</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Refer to “Item 1A. Risk Factors” for a discussion of the factors that may impact our business, results of operations, financial condition or liquidity and “Forward-Looking Information — Safe Harbor Statement” for a discussion of our use of forward-looking statements.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CONSOLIDATED</w:t>
      </w:r>
    </w:p>
    <w:p>
      <w:pPr>
        <w:spacing w:after="0" w:line="121"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Goodyear net income in 2022 was $202 million, or $0.71 per share, compared to net income of $764 million, or $2.89 per share, in 2021. The decrease in Goodyear net income was primarily due to higher U.S. and Foreign Tax Expense, higher interest expense and higher rationalization charges. Income taxes in 2021 included discrete tax benefits of $340 million related to the reduction in valuation allowances on certain U.S. deferred tax assets primarily for foreign tax credits and $39 million to adjust our deferred tax assets in England for an enacted change in the tax rate. Additionally, our 2021 earnings included the impact of a severe winter storm in the U.S., which was estimated to negatively impact earnings by $54 million ($44 million after-tax and minority).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21"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18"/>
          <w:szCs w:val="18"/>
          <w:color w:val="auto"/>
        </w:rPr>
        <w:t>Net sales in 2022 of $20,805 million increased $3,327 million, or 19.0%, compared to $17,478 million in 2021, primarily due to global improvements in price and product mix of $2,556 million, the addition of an incremental $1,532 million of net sales from Cooper Tire during the first six months of 2022, higher sales in other tire related businesses of $316 million, driven by increased third-party chemical sales in Americas, growth in EMEA's Fleet Solutions, higher aviation sales in Americas and EMEA, and increased retail sales in Americas, and higher tire volume of $41 million in Asia Pacific and EMEA, partially offset by lower tire volume in Americas. These increases were partially offset by unfavorable foreign currency translation of $1,114 million, primarily in EMEA and Asia Pacific, driven by the strengthening of the U.S. dollar. Goodyear worldwide tire unit net sales were $17,886 million and $14,917 million in 2022 and 2021, respectively. Consumer and commercial net sales were $13,163 million and $4,205 million in 2022, respectively. Consumer and commercial net sales were $11,118 million and $3,702 million in 2021, respectively.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tire unit sales for the periods indicated: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tires)</w:t>
            </w:r>
          </w:p>
        </w:tc>
        <w:tc>
          <w:tcPr>
            <w:tcW w:w="138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60" w:type="dxa"/>
            <w:vAlign w:val="bottom"/>
            <w:gridSpan w:val="2"/>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0" w:type="dxa"/>
            <w:vAlign w:val="bottom"/>
          </w:tcPr>
          <w:p>
            <w:pPr>
              <w:spacing w:after="0"/>
              <w:rPr>
                <w:sz w:val="14"/>
                <w:szCs w:val="14"/>
                <w:color w:val="auto"/>
              </w:rPr>
            </w:pPr>
          </w:p>
        </w:tc>
      </w:tr>
      <w:tr>
        <w:trPr>
          <w:trHeight w:val="236"/>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Replacement Units</w:t>
            </w:r>
          </w:p>
        </w:tc>
        <w:tc>
          <w:tcPr>
            <w:tcW w:w="13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62.3</w:t>
            </w:r>
          </w:p>
        </w:tc>
        <w:tc>
          <w:tcPr>
            <w:tcW w:w="1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55.3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12.7 %</w:t>
            </w:r>
          </w:p>
        </w:tc>
      </w:tr>
      <w:tr>
        <w:trPr>
          <w:trHeight w:val="251"/>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3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81.6</w:t>
            </w:r>
          </w:p>
        </w:tc>
        <w:tc>
          <w:tcPr>
            <w:tcW w:w="120" w:type="dxa"/>
            <w:vAlign w:val="bottom"/>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36"/>
        </w:trPr>
        <w:tc>
          <w:tcPr>
            <w:tcW w:w="67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143.9</w:t>
            </w:r>
          </w:p>
        </w:tc>
        <w:tc>
          <w:tcPr>
            <w:tcW w:w="1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134.1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0"/>
        </w:trPr>
        <w:tc>
          <w:tcPr>
            <w:tcW w:w="67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OE Units</w:t>
            </w: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10.3</w:t>
            </w:r>
          </w:p>
        </w:tc>
        <w:tc>
          <w:tcPr>
            <w:tcW w:w="1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51"/>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3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18.4 %</w:t>
            </w:r>
          </w:p>
        </w:tc>
      </w:tr>
      <w:tr>
        <w:trPr>
          <w:trHeight w:val="236"/>
        </w:trPr>
        <w:tc>
          <w:tcPr>
            <w:tcW w:w="67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40.6</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15.4 %</w:t>
            </w:r>
          </w:p>
        </w:tc>
      </w:tr>
      <w:tr>
        <w:trPr>
          <w:trHeight w:val="20"/>
        </w:trPr>
        <w:tc>
          <w:tcPr>
            <w:tcW w:w="6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223"/>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Goodyear worldwide tire units</w:t>
            </w:r>
          </w:p>
        </w:tc>
        <w:tc>
          <w:tcPr>
            <w:tcW w:w="13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184.5</w:t>
            </w:r>
          </w:p>
        </w:tc>
        <w:tc>
          <w:tcPr>
            <w:tcW w:w="1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169.3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0"/>
        </w:trPr>
        <w:tc>
          <w:tcPr>
            <w:tcW w:w="67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-1172210</wp:posOffset>
            </wp:positionV>
            <wp:extent cx="7132320" cy="3422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3422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-521970</wp:posOffset>
            </wp:positionV>
            <wp:extent cx="7132320" cy="5226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522605"/>
                    </a:xfrm>
                    <a:prstGeom prst="rect">
                      <a:avLst/>
                    </a:prstGeom>
                    <a:noFill/>
                  </pic:spPr>
                </pic:pic>
              </a:graphicData>
            </a:graphic>
          </wp:anchor>
        </w:drawing>
      </w:r>
    </w:p>
    <w:p>
      <w:pPr>
        <w:spacing w:after="0" w:line="83"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The increase in worldwide tire unit sales of 15.2 million units, or 9.0%, compared to 2021, included an increase of 9.8 million replacement tire units, or 7.3%, primarily due to the addition of Cooper Tire's units. OE tire units increased by 5.4 million units, or 15.4%, primarily due to higher vehicle production globally compared to 2021, despite ongoing supply chain disruptions and shortages, and share gains from new OE fitments. Consumer and commercial unit sales in 2022 were 169.0 million and 13.6 million, respectively. Consumer and commercial unit sales in 2021 were 154.2 million and 13.1 million,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p>
      <w:pPr>
        <w:spacing w:after="0" w:line="121"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18"/>
          <w:szCs w:val="18"/>
          <w:color w:val="auto"/>
        </w:rPr>
        <w:t>Cost of Goods Sold ("CGS") was $16,953 million in 2022, increasing $3,261 million, or 23.8%, from $13,692 million in 2021. CGS was 81.5% of sales in 2022 compared to 78.3% of sales in 2021. CGS in 2022 increased primarily due to higher raw material costs of $1,885 million, the addition of an incremental $1,194 million of CGS from Cooper Tire during the first six months of 2022, which includes a favorable year-over-year impact of $38 million ($29 million after-tax and minority) of amortization expense in 2021 related to the fair value adjustment to the Closing Date inventory of Cooper Tire that was acquired by Goodyear, higher conversion costs of $462 million driven by inflation and higher energy costs, higher costs in other tire-related businesses of $295 million driven by increased third-party chemical and retail sales in Americas and growth in EMEA's Fleet Solutions, higher transportation and import duty costs of $292 million primarily in Americas and EMEA, a favorable indirect tax ruling in Brazil of $69 million in 2021, of which $66 million ($43 million after-tax and minority) related to prior years, higher tire volume of $47 million, and a favorable adjustment of $20 million ($15 million after-tax and minority) in the second half of 2021 due to a reduction in certain U.S. duty rates on various Cooper Tire commercial tires from China imported into the U.S. during 2019. These increases were partially offset by foreign currency translation of $942 million, primarily in EMEA and Asia Pacific, driven by the strengthening of the U.S. dollar, and $72 million ($53 million after-tax and minority) of amortization expense during the second half of 2021 related to the fair value adjustment to the Closing Date inventory of Cooper Tire that was acquired by Goodyear.</w:t>
      </w:r>
    </w:p>
    <w:p>
      <w:pPr>
        <w:spacing w:after="0" w:line="1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8" w:right="2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CGS in 2022 included pension expense of $22 million compared to $21 million in 2021. CGS in 2022 also included a gain of $14 million ($11 million after-tax and minority) in the first half of 2022 due to a reduction in certain U.S. duty rates on various Cooper Tire commercial tires from China imported into the U.S. during 2020 and a gain of $7 million ($6 million after-tax and minority) in Americas related to insurance recoveries. CGS in 2022 included incremental savings from rationalization plans of $2 million compared to $63 million in 2021.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Administrative and General Expense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SAG was $2,798 million in 2022, increasing $99 million, or 3.7%, from $2,699 million in 2021. SAG was 13.4% of sales in 2022 compared to 15.4% of sales in 2021. SAG increased primarily due to the addition of incremental SAG from Cooper Tire during the first six months of 2022 and $130 million of cost increases reflecting the inflationary cost trends described above. These increases were partially offset by foreign currency translation of $156 million, primarily in EMEA and Asia Pacific, driven by the strengthening of the U.S. dollar, and lower wages and benefits of $36 million, driven by reduced incentive compensation. SAG in 2022 included pension expense of $15 million compared to $18 million in 2021. SAG in 2022 included incremental savings from rationalization plans of $12 million compared to $9 million in 2021.</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SAG and CGS in 2022 included $28 million and $9 million, respectively, of accelerated depreciation and asset write-offs, of which $30 million ($27 million after-tax and minority) in total related to rationalization activities. SAG and CGS in 2021 included a total of $6 million ($4 million after-tax and minority) of transaction costs related to the Cooper Tire acquisition.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Rationalizations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recorded net rationalization charges of $129 million ($120 million after-tax and minority) in 2022. Net rationalization charges include $37 million for the plan primarily to reduce salaried staff globally, $34 million for the plan to close Melksham, $24 million for a plan to reduce duplicative global SAG headcount and close redundant warehouse locations in Americas as part of our ongoing Cooper Tire integration efforts, $16 million related to the permanent closure of our tire manufacturing facility in Gadsden, Alabama, and $14 million related to the exit of our retail operations in South Africa.</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recorded net rationalization charges of $93 million ($82 million after-tax and minority) in 2021. Net rationalization charges include $38 million in Americas, primarily related to the permanent closure of our tire manufacturing facility in Gadsden, Alabama, $29 million related to a plan to reduce SAG headcount in EMEA, and $26 million related to a plan to modernize two of our manufacturing facilities in Germany.</w:t>
      </w:r>
    </w:p>
    <w:p>
      <w:pPr>
        <w:spacing w:after="0" w:line="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Upon completion of new plans initiated in 2022, we estimate that annual segment operating income (primarily SAG) will improve by approximately $150 million. The savings realized in 2022 from rationalization plans totaled $14 million ($12 million SAG and $2 million CGS).</w:t>
      </w:r>
    </w:p>
    <w:p>
      <w:pPr>
        <w:spacing w:after="0" w:line="55" w:lineRule="exact"/>
        <w:rPr>
          <w:sz w:val="20"/>
          <w:szCs w:val="20"/>
          <w:color w:val="auto"/>
        </w:rPr>
      </w:pPr>
    </w:p>
    <w:p>
      <w:pPr>
        <w:ind w:right="1500"/>
        <w:spacing w:after="0" w:line="375" w:lineRule="auto"/>
        <w:rPr>
          <w:sz w:val="20"/>
          <w:szCs w:val="20"/>
          <w:color w:val="auto"/>
        </w:rPr>
      </w:pPr>
      <w:r>
        <w:rPr>
          <w:rFonts w:ascii="Times New Roman" w:cs="Times New Roman" w:eastAsia="Times New Roman" w:hAnsi="Times New Roman"/>
          <w:sz w:val="18"/>
          <w:szCs w:val="18"/>
          <w:color w:val="auto"/>
        </w:rPr>
        <w:t xml:space="preserve">For further information, refer to Note to the Consolidated Financial Statements No. 4, Costs Associated with Rationalization Programs. </w:t>
      </w:r>
      <w:r>
        <w:rPr>
          <w:rFonts w:ascii="Times New Roman" w:cs="Times New Roman" w:eastAsia="Times New Roman" w:hAnsi="Times New Roman"/>
          <w:sz w:val="18"/>
          <w:szCs w:val="18"/>
          <w:b w:val="1"/>
          <w:bCs w:val="1"/>
          <w:color w:val="auto"/>
        </w:rPr>
        <w:t>Interest Expense</w:t>
      </w:r>
    </w:p>
    <w:p>
      <w:pPr>
        <w:jc w:val="both"/>
        <w:spacing w:after="0" w:line="260" w:lineRule="auto"/>
        <w:rPr>
          <w:sz w:val="20"/>
          <w:szCs w:val="20"/>
          <w:color w:val="auto"/>
        </w:rPr>
      </w:pPr>
      <w:r>
        <w:rPr>
          <w:rFonts w:ascii="Times New Roman" w:cs="Times New Roman" w:eastAsia="Times New Roman" w:hAnsi="Times New Roman"/>
          <w:sz w:val="18"/>
          <w:szCs w:val="18"/>
          <w:color w:val="auto"/>
        </w:rPr>
        <w:t>Interest expense was $451 million in 2022, increasing $64 million from $387 million in 2021. The increase was primarily due to a higher average debt balance of $8,266 million in 2022 compared to $7,267 million in 2021 and a higher average interest rate of 5.46% in 2022 compared to 5.33% in 2021. Interest expense in 2021 included a $6 million ($5 million after-tax and minority) charge related to the redemption of our former $1.0 billion 5.125% senior notes due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Other (Income) Expense was $75 million and $94 million of expense in 2022 and 2021, respectively. The $19 million decrease in expense was primarily due to net gains on asset and other sales of $115 million ($87 million after-tax and minority) in 2022 primarily related to the sale and leaseback transaction in Americas, $50 million ($42 million after-tax and minority) of transaction and other costs related to the Cooper Tire acquisition in 2021, net pension curtailment and settlement charges of $43 million ($32 million after-tax and minority) in 2021, and an out of period adjustment of $7 million ($7 million after-tax and minority) of expense related to foreign currency exchange in Americas in 2021. These decreases were partially offset by net pension curtailment and settlement charges of $124 million ($93 million after-tax and minority) in 2022, $48 million ($44 million after-tax and minority) of interest income related to the favorable indirect tax ruling in Brazil in 2021, $15 million of expense ($11 million after-tax and minority) for intellectual property-related legal claims in 2022, net gains on asset and other sales in 2021 of $12 million ($8 million after-tax and minority) primarily related to the sale of land in Hanau, Germany, and a favorable insurance settlement of $10 million ($8 million after-tax and minority) in 2021. The remainder of the difference is mostly attributable to higher interest income in 2022 compared to 2021, driven by higher interest rates.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refer to Note to the Consolidated Financial Statements No. 6, Other (Income) Expense.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Income tax expense in 2022 was $190 million on income before income taxes of $399 million. In 2022, income tax expense includes net discrete tax expense totaling $23 million ($23 million after minority interest), including a charge of $14 million to write off deferred tax assets related to tax loss carryforwards in the UK and a charge of $11 million to establish a full valuation allowance on our net deferred tax assets in Russia, partially offset by a net benefit of $2 million for various other items.</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Income tax benefit in 2021 was $267 million on income before income taxes of $513 million. In 2021, income tax benefit includes net discrete tax benefits totaling $409 million ($409 million after minority interest), including a reduction in our valuation allowances of $340 million for certain U.S. deferred tax assets for foreign tax credits and state tax loss carryforwards, a $39 million benefit to adjust our deferred tax assets in England for a second quarter enacted change in the tax rate, a $21 million benefit to reflect an increase in our estimated state tax rate used in calculating our U.S. net deferred tax assets as a result of a change in the overall mix of our earnings by state after including the impact of the acquisition of Cooper Tire, an $8 million benefit related to a favorable court ruling in Brazil, and a net benefit of $1 million for various other items.</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difference between our effective tax rate and the U.S. statutory rate of 21% for both 2022 and 2021 primarily relates to losses in certain foreign jurisdictions in which no tax benefits are recorded, income in certain foreign jurisdictions taxed at rates higher than the U.S. statutory rate, and the discrete items described above.</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16, 2022, the Inflation Reduction Act (the "Act") was signed into law in the U.S. The Act includes a new 15% corporate alternative minimum tax ("CAMT"). This CAMT applies to tax years beginning after December 31, 2022 for companies with average annual adjusted financial statement income over the previous three years in excess of $1 billion. For 2023, we do not anticipate this CAMT will apply to us due to the significant pandemic-driven losses we incurred in 2020. As allowed, we elected to not consider the estimated impact of potential future CAMT obligations for purposes of assessing valuation allowances on our deferred tax assets.</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31, 2022 and December 31, 2021, we had approximately $1.1 billion and $1.2 billion of U.S. federal, state and local net deferred tax assets, respectively, inclusive of valuation allowances totaling $26 million in each year primarily for state tax loss carryforwards with limited lives. Approximately $700 million of these U.S. net deferred tax assets have unlimited lives and approximately $400 million have limited lives and expire between 2023 and 2042. In the U.S., we have a cumulative loss for the three-year period ended December 31, 2022. However, as the three-year cumulative loss in the U.S. is driven by business disruptions created by the COVID-19 pandemic, primarily in 2020, and only includes the favorable impact of the Cooper Tire acquisition since the Closing Date, we also considered other objectively verifiable information in assessing our ability to utilize our net deferred tax assets, including continued favorable overall volume trends in the tire industry and our tire volume compared to 2020 levels. In addition, the Cooper Tire acquisition has generated significant incremental domestic earnings since the Closing Date and provides opportunities for cost and other operating synergies to further improve our U.S. profitability.</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31, 2022 and December 31, 2021, our U.S. net deferred tax assets described above include approximately $230 million and $340 million, respectively, of foreign tax credits with limited lives. Our earnings and forecasts of future profitability, taking into consideration recent trends, along with three significant sources of foreign income, provide us sufficient positive evidence that we will be able to utilize these net foreign tax credits which expire through 2032. Our sources of foreign income are (1) 100% of our domestic profitability can be re-characterized as foreign source income under current U.S. tax law to the extent domestic losses have offset foreign source income in prior years, (2) annual net foreign source income, exclusive of dividends, primarily from royalties, and (3) tax planning strategies, including accelerating income on cross border transactions, including sales of inventory or raw materials to our subsidiaries, reducing U.S. interest expense by, for example, reducing intercompany loans through repatriating current year earnings of foreign subsidiaries, and other financing transactions, all of which would increase our domestic profitability.</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consider our current forecasts of future profitability in assessing our ability to realize our deferred tax assets, including our foreign tax credits. These forecasts include the impact of recent trends, including various macroeconomic factors such as the impact of higher raw material, transportation, labor and energy costs, on our profitability, as well as the impact of tax planning strategies. These macroeconomic factors possess a high degree of volatility and can significantly impact our profitability. As such, there is a risk that future earnings will not be sufficient to fully utilize our U.S. net deferred tax assets, including our foreign tax credits. However, we believe our forecasts of future profitability along with the three significant sources of foreign income described above provide us sufficient positive, objectively verifiable evidence to conclude that it is more likely than not that, at December 31, 2022, our U.S. net deferred tax assets, including our foreign tax credits, will be fully utilized.</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2022 and December 31, 2021, we also had approximately $1.2 billion and $1.3 billion of foreign net deferred tax assets, respectively, and related valuation allowances of approximately $1.0 billion in each year.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$873 million on all of our net deferred tax assets. Each reporting period, we assess available positive and negative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evidence and estimate if sufficient future taxable income will be generated to utilize these existing deferred tax assets. We do not believe that sufficient positive evidence required to release valuation allowances having a significant impact on our financial position or results of operations will exist within the next twelve months.</w:t>
      </w:r>
    </w:p>
    <w:p>
      <w:pPr>
        <w:spacing w:after="0" w:line="6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For further information regarding income taxes and the realizability of our deferred tax assets, including our foreign tax credits, refer to "Critical Accounting Policies" and Note to the Consolidated Financial Statements No. 7, Income Taxes.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Minority Shareholders’ Net Income</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Minority shareholders’ net income was $7 million in 2022, compared to $16 million in 2021. The decrease in 2022 was primarily related to the impact of inflation on earnings of the minority interest in Turkey. Minority shareholders' net income in 2021 includes $3 million ($3 million after-tax) related to a settlement with a minority interest in Turkey.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SEGMENT INFORMATION</w:t>
      </w:r>
    </w:p>
    <w:p>
      <w:pPr>
        <w:spacing w:after="0" w:line="121"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Segment information reflects our strategic business units ("SBUs"), which are organized to meet customer requirements and global competition and are segmented on a regional basis. Since the Closing Date, Cooper Tire's operating results have been incorporated into each of our SBUs. For periods that are not fully comparable, we discuss the impact of Cooper Tire's operating results separately up to the point within those periods when Cooper Tire's results became comparable.</w:t>
      </w:r>
    </w:p>
    <w:p>
      <w:pPr>
        <w:spacing w:after="0" w:line="74"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Results of operations are measured based on net sales to unaffiliated customers and segment operating income. Each segment exports tires to other segments. The financial results of each segment exclude sales of tires exported to other segments, but include operating income derived from such transactions. Segment operating income is computed as follows: Net Sales less CGS (excluding asset write-off and accelerated depreciation charges) and SAG (including certain allocated corporate administrative expenses). Segment operating income also includes certain royalties and equity in earnings of most affiliates. Segment operating income does not include net rationalization charges (credits), asset sales, goodwill and other asset impairment charges and certain other items.</w:t>
      </w:r>
    </w:p>
    <w:p>
      <w:pPr>
        <w:spacing w:after="0" w:line="78"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Total segment operating income in 2022 was $1,276 million, a decrease of $12 million, or 0.9%, from $1,288 million in 2021. Total segment operating margin (segment operating income divided by segment sales) in 2022 was 6.1% compared to 7.4% in 2021.</w:t>
      </w:r>
    </w:p>
    <w:p>
      <w:pPr>
        <w:spacing w:after="0" w:line="55"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Management believes that total segment operating income is useful because it represents the aggregate value of income created by our SBUs and excludes items not directly related to the SBUs for performance evaluation purposes. Total segment operating income is the sum of the individual SBUs’ segment operating income. Refer to Note to the Consolidated Financial Statements No. 9, Business Segments, for further information and for a reconciliation of total segment operating income to Income (Loss) before Income Taxes.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4"/>
                <w:szCs w:val="14"/>
                <w:color w:val="auto"/>
              </w:rPr>
            </w:pPr>
          </w:p>
        </w:tc>
      </w:tr>
      <w:tr>
        <w:trPr>
          <w:trHeight w:val="236"/>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Units</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56.7</w:t>
            </w:r>
          </w:p>
        </w:tc>
        <w:tc>
          <w:tcPr>
            <w:tcW w:w="60" w:type="dxa"/>
            <w:vAlign w:val="bottom"/>
          </w:tcPr>
          <w:p>
            <w:pPr>
              <w:spacing w:after="0"/>
              <w:rPr>
                <w:sz w:val="20"/>
                <w:szCs w:val="20"/>
                <w:color w:val="auto"/>
              </w:rPr>
            </w:pPr>
          </w:p>
        </w:tc>
      </w:tr>
      <w:tr>
        <w:trPr>
          <w:trHeight w:val="238"/>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12,766</w:t>
            </w: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10,051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6,556</w:t>
            </w:r>
          </w:p>
        </w:tc>
        <w:tc>
          <w:tcPr>
            <w:tcW w:w="60" w:type="dxa"/>
            <w:vAlign w:val="bottom"/>
          </w:tcPr>
          <w:p>
            <w:pPr>
              <w:spacing w:after="0"/>
              <w:rPr>
                <w:sz w:val="20"/>
                <w:szCs w:val="20"/>
                <w:color w:val="auto"/>
              </w:rPr>
            </w:pPr>
          </w:p>
        </w:tc>
      </w:tr>
      <w:tr>
        <w:trPr>
          <w:trHeight w:val="247"/>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1"/>
                <w:szCs w:val="21"/>
                <w:color w:val="auto"/>
              </w:rPr>
            </w:pPr>
          </w:p>
        </w:tc>
      </w:tr>
      <w:tr>
        <w:trPr>
          <w:trHeight w:val="234"/>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40" w:type="dxa"/>
            <w:vAlign w:val="bottom"/>
          </w:tcPr>
          <w:p>
            <w:pPr>
              <w:spacing w:after="0"/>
              <w:rPr>
                <w:sz w:val="20"/>
                <w:szCs w:val="20"/>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8.6 %</w:t>
            </w:r>
          </w:p>
        </w:tc>
        <w:tc>
          <w:tcPr>
            <w:tcW w:w="32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9.1 %</w:t>
            </w:r>
          </w:p>
        </w:tc>
        <w:tc>
          <w:tcPr>
            <w:tcW w:w="3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r>
    </w:tbl>
    <w:p>
      <w:pPr>
        <w:spacing w:after="0" w:line="219"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Americas unit sales in 2022 increased 9.1 million units, or 10.6%, to 95.0 million units. Replacement tire volume increased 7.9 million units, or 10.8%, primarily due to the addition of incremental Cooper Tire units during the first six months of 2022, partially offset by a decrease in our consumer business in the U.S. OE tire volume increased 1.2 million units, or 9.5%, primarily due to continued recovery from the impact on vehicle production of global supply chain disruptions, including shortages of key manufacturing components, such as semiconductors, driven by our consumer business in the U.S., Canada and Brazil.</w:t>
      </w:r>
    </w:p>
    <w:p>
      <w:pPr>
        <w:spacing w:after="0" w:line="74"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Net sales in 2022 were $12,766 million, increasing $2,715 million, or 27.0%, from $10,051 million in 2021. The increase in net sales was primarily due to improvements in price and product mix of $1,402 million, driven by price increases, the addition of an incremental $1,355 million of net sales from Cooper Tire during the first six months of 2022, and higher sales in other tire-related businesses of $208 million, primarily due to higher third-party chemical, retail, aviation and retread sales. These increases were partially offset by lower tire volume of $258 million. We estimate that the severe winter storm in the U.S. negatively impacted Americas net sales in 2021 by approximately $35 million.</w:t>
      </w:r>
    </w:p>
    <w:p>
      <w:pPr>
        <w:spacing w:after="0" w:line="74" w:lineRule="exact"/>
        <w:rPr>
          <w:sz w:val="20"/>
          <w:szCs w:val="20"/>
          <w:color w:val="auto"/>
        </w:rPr>
      </w:pPr>
    </w:p>
    <w:p>
      <w:pPr>
        <w:jc w:val="both"/>
        <w:ind w:right="60"/>
        <w:spacing w:after="0" w:line="252" w:lineRule="auto"/>
        <w:rPr>
          <w:sz w:val="20"/>
          <w:szCs w:val="20"/>
          <w:color w:val="auto"/>
        </w:rPr>
      </w:pPr>
      <w:r>
        <w:rPr>
          <w:rFonts w:ascii="Times New Roman" w:cs="Times New Roman" w:eastAsia="Times New Roman" w:hAnsi="Times New Roman"/>
          <w:sz w:val="18"/>
          <w:szCs w:val="18"/>
          <w:color w:val="auto"/>
        </w:rPr>
        <w:t>Operating income in 2022 was $1,094 million, increasing $180 million, or 19.7%, from $914 million in 2021. The increase in operating income was due to improvements in price and product mix of $1,452 million, which more than offset higher raw material costs of $881 million, $61 million of amortization expense in the second half of 2021 related to the fair value adjustment to the Closing Date inventory of Cooper Tire that was acquired by Goodyear, higher earnings in other tire-related businesses of $8 million, and the net impact of out of period adjustments in 2021 totaling $6 million ($6 million after-tax and minority) of expense primarily related to inventory and accrued freight charges. These increases were partially offset by higher conversion costs of $242 million and higher transportation and import duty costs of $229 million, both driven by the inflationary cost trends described above, lower tire volume of $81 million, the favorable indirect tax ruling in Brazil of $69 million in 2021, the favorable adjustment of $20 million in the second half of 2021 due to the reduction in certain U.S. duty rates on various Cooper Tire commercial tires from China imported into the U.S. during 2019, and higher SAG of $11 million. The remainder of the change was driven by the addition of Cooper Tire's incremental operating results during the first six months of 2022, which included a favorable year-over-year impact of $35 million for amortization expense in 2021 related to the fair value step-up of inventory acquired by Goodyear. SAG for 2022 includes incremental savings from rationalization plans of $7 million. We estimate that the severe winter storm in the U.S. as well as a national strike in Colombia negatively impacted Americas operating income in 2021 by approximately $42 million and $9 million ($9 million after-tax and minority), respectively.</w:t>
      </w:r>
    </w:p>
    <w:p>
      <w:pPr>
        <w:spacing w:after="0" w:line="1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8" w:right="2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27"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Operating income in 2022 excluded net rationalization charges of $32 million and net gains on asset sales of $122 million, primarily related to the sale and leaseback transaction in the second quarter of 2022 and the sale and exit of certain retail locations in the fourth quarter of 2022. Operating income in 2021 excluded rationalization charges of $38 million and a net gain on asset sales of $1 million.</w:t>
      </w:r>
    </w:p>
    <w:p>
      <w:pPr>
        <w:spacing w:after="0" w:line="69"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8"/>
          <w:szCs w:val="18"/>
          <w:color w:val="auto"/>
        </w:rPr>
        <w:t>Americas' results are highly dependent upon the United States, which accounted for 84% of Americas' net sales in both 2022 and 2021. Results of operations in the United States are expected to continue to have a significant impact on Americas' future performance.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 Middle East and Africa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Units</w:t>
            </w:r>
          </w:p>
        </w:tc>
        <w:tc>
          <w:tcPr>
            <w:tcW w:w="32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20"/>
                <w:szCs w:val="20"/>
                <w:color w:val="auto"/>
              </w:rPr>
            </w:pPr>
          </w:p>
        </w:tc>
      </w:tr>
      <w:tr>
        <w:trPr>
          <w:trHeight w:val="238"/>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5,645</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5,243</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4,020</w:t>
            </w:r>
          </w:p>
        </w:tc>
        <w:tc>
          <w:tcPr>
            <w:tcW w:w="100" w:type="dxa"/>
            <w:vAlign w:val="bottom"/>
          </w:tcPr>
          <w:p>
            <w:pPr>
              <w:spacing w:after="0"/>
              <w:rPr>
                <w:sz w:val="20"/>
                <w:szCs w:val="20"/>
                <w:color w:val="auto"/>
              </w:rPr>
            </w:pPr>
          </w:p>
        </w:tc>
      </w:tr>
      <w:tr>
        <w:trPr>
          <w:trHeight w:val="247"/>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tcPr>
          <w:p>
            <w:pPr>
              <w:spacing w:after="0"/>
              <w:rPr>
                <w:sz w:val="21"/>
                <w:szCs w:val="21"/>
                <w:color w:val="auto"/>
              </w:rPr>
            </w:pPr>
          </w:p>
        </w:tc>
      </w:tr>
      <w:tr>
        <w:trPr>
          <w:trHeight w:val="234"/>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2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3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4.6 %</w:t>
            </w:r>
          </w:p>
        </w:tc>
        <w:tc>
          <w:tcPr>
            <w:tcW w:w="36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r>
    </w:tbl>
    <w:p>
      <w:pPr>
        <w:spacing w:after="0" w:line="219"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Europe, Middle East and Africa unit sales in 2022 increased 2.4 million units, or 4.5%, to 55.1 million units. Replacement tire volume increased 1.3 million units, or 3.1%, primarily in our consumer business, reflecting continued recovery from the COVID-19 pandemic during the first half of the year and the impacts of our ongoing initiative to align distribution in Europe, as well as the addition of incremental Cooper Tire units during the first six months of 2022. These increases were partially offset by industry declines in the second half of the year. OE tire volume increased 1.1 million units, or 10.1%, reflecting share gains driven by new consumer fitments and increased demand from improved vehicle production.</w:t>
      </w:r>
    </w:p>
    <w:p>
      <w:pPr>
        <w:spacing w:after="0" w:line="74"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Net sales in 2022 were $5,645 million, increasing $402 million, or 7.7%, from $5,243 million in 2021. Net sales increased primarily due to improvements in price and product mix of $999 million, driven by price increases, higher tire volume of $141 million, higher sales in other tire-related businesses of $115 million, primarily due to growth in Fleet Solutions and an increase in aviation, motorcycle and retread sales, and the addition of an incremental $105 million of net sales from Cooper Tire during the first six months of 2022. These increases were partially offset by unfavorable foreign currency translation of $954 million, driven by a weaker euro, Turkish lira, Polish zloty and British pound.</w:t>
      </w:r>
    </w:p>
    <w:p>
      <w:pPr>
        <w:spacing w:after="0" w:line="74"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Operating income in 2022 was $61 million, decreasing $178 million, or 74.5%, from $239 million in 2021. The decrease in operating income was primarily due to higher conversion costs of $217 million and higher transportation and import duty costs of $61 million, both driven by the inflationary cost trends described above, and higher SAG of $85 million primarily due to inflation, higher advertising costs and higher costs for wages and benefits. These decreases were partially offset by improvements in price and product mix of $894 million, which more than offset higher raw material costs of $767 million, higher tire volume of $36 million, and higher earnings in other tire-related businesses of $13 million. The remainder of the change was driven by the addition of Cooper Tire's incremental operating results during the first six months of 2022. SAG and conversion costs for 2022 include incremental savings from rationalization plans of $5 million and $2 million, respectively.</w:t>
      </w:r>
    </w:p>
    <w:p>
      <w:pPr>
        <w:spacing w:after="0" w:line="79"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Operating income in 2022 excluded net rationalization charges of $92 million and accelerated depreciation and asset write-offs of $20 million. Operating income in 2021 excluded net rationalization charges of $49 million, a net gain on asset sales of $13 million and accelerated depreciation and asset write-offs of $1 million.</w:t>
      </w:r>
    </w:p>
    <w:p>
      <w:pPr>
        <w:spacing w:after="0" w:line="69"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8"/>
          <w:szCs w:val="18"/>
          <w:color w:val="auto"/>
        </w:rPr>
        <w:t>EMEA’s results are highly dependent upon Germany, which accounted for 15% of EMEA’s net sales in both 2022 and 2021. Results of operations in Germany are expected to continue to have a significant impact on EMEA’s future performance.</w:t>
      </w:r>
    </w:p>
    <w:p>
      <w:pPr>
        <w:spacing w:after="0" w:line="1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Asia Pacific</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4"/>
                <w:szCs w:val="14"/>
                <w:color w:val="auto"/>
              </w:rPr>
            </w:pPr>
          </w:p>
        </w:tc>
      </w:tr>
      <w:tr>
        <w:trPr>
          <w:trHeight w:val="236"/>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Units</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24.8</w:t>
            </w:r>
          </w:p>
        </w:tc>
        <w:tc>
          <w:tcPr>
            <w:tcW w:w="60" w:type="dxa"/>
            <w:vAlign w:val="bottom"/>
          </w:tcPr>
          <w:p>
            <w:pPr>
              <w:spacing w:after="0"/>
              <w:rPr>
                <w:sz w:val="20"/>
                <w:szCs w:val="20"/>
                <w:color w:val="auto"/>
              </w:rPr>
            </w:pPr>
          </w:p>
        </w:tc>
      </w:tr>
      <w:tr>
        <w:trPr>
          <w:trHeight w:val="238"/>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2,184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1,745</w:t>
            </w:r>
          </w:p>
        </w:tc>
        <w:tc>
          <w:tcPr>
            <w:tcW w:w="60" w:type="dxa"/>
            <w:vAlign w:val="bottom"/>
          </w:tcPr>
          <w:p>
            <w:pPr>
              <w:spacing w:after="0"/>
              <w:rPr>
                <w:sz w:val="20"/>
                <w:szCs w:val="20"/>
                <w:color w:val="auto"/>
              </w:rPr>
            </w:pPr>
          </w:p>
        </w:tc>
      </w:tr>
      <w:tr>
        <w:trPr>
          <w:trHeight w:val="247"/>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21"/>
                <w:szCs w:val="21"/>
                <w:color w:val="auto"/>
              </w:rPr>
            </w:pPr>
          </w:p>
        </w:tc>
      </w:tr>
      <w:tr>
        <w:trPr>
          <w:trHeight w:val="234"/>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40" w:type="dxa"/>
            <w:vAlign w:val="bottom"/>
          </w:tcPr>
          <w:p>
            <w:pPr>
              <w:spacing w:after="0"/>
              <w:rPr>
                <w:sz w:val="20"/>
                <w:szCs w:val="20"/>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5.1 %</w:t>
            </w:r>
          </w:p>
        </w:tc>
        <w:tc>
          <w:tcPr>
            <w:tcW w:w="32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6.2 %</w:t>
            </w:r>
          </w:p>
        </w:tc>
        <w:tc>
          <w:tcPr>
            <w:tcW w:w="3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2.8 %</w:t>
            </w:r>
          </w:p>
        </w:tc>
      </w:tr>
    </w:tbl>
    <w:p>
      <w:pPr>
        <w:spacing w:after="0" w:line="219"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Asia Pacific unit sales in 2022 increased 3.7 million units, or 12.1%, to 34.4 million units. OE tire volume increased 3.1 million units, or 28.1%, primarily due to continued recovery from the impact on vehicle production of global supply chain disruptions, including shortages of key manufacturing components, such as semiconductors, the addition of incremental Cooper Tire units during the first six months of 2022, and share gains driven by new OE fitments. Replacement tire volume increased 0.6 million units, or 3.3%, primarily due to the addition of incremental Cooper Tire units during the first six months of 2022 and expansion of our distribution networks.</w:t>
      </w:r>
    </w:p>
    <w:p>
      <w:pPr>
        <w:spacing w:after="0" w:line="74"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Net sales in 2022 were $2,394 million, increasing $210 million, or 9.6%, from $2,184 million in 2021. Net sales increased due to higher tire volume of $158 million, improvements in price and product mix of $155 million, driven by price increases, and the addition of an incremental $72 million of net sales from Cooper Tire during the first six months of 2022. These increases were partially offset by unfavorable foreign currency translation of $168 million, primarily related to the strengthening of the U.S. dollar against the Japanese yen, Indian rupee, Chinese yuan and Australian dollar.</w:t>
      </w:r>
    </w:p>
    <w:p>
      <w:pPr>
        <w:spacing w:after="0" w:line="74"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Operating income in 2022 was $121 million, decreasing $14 million, or 10.4%, from $135 million in 2021. The decrease in operating income was primarily due to higher raw material costs of $237 million and unfavorable foreign currency translation of $21 million, primarily related to the strengthening of the U.S. dollar against the Japanese yen and Indian rupee. These decreases were partially offset by improvements in price and product mix of $186 million and higher tire volume of $39 million. The remainder of the change was driven by the addition of Cooper Tire's incremental operating results during the first six months of 2022.</w:t>
      </w:r>
    </w:p>
    <w:p>
      <w:pPr>
        <w:spacing w:after="0" w:line="74"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Asia Pacific’s results are highly dependent upon China and Australia. China accounted for 29% of Asia Pacific's net sales in both 2022 and 2021. Australia accounted for 24% of Asia Pacific’s net sales in both 2022 and 2021. Results of operations in China and Australia are expected to continue to have a significant impact on Asia Pacific's future performance.</w:t>
      </w:r>
    </w:p>
    <w:p>
      <w:pPr>
        <w:spacing w:after="0" w:line="17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8" w:right="2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primary sources of liquidity are cash generated from our operating and financing activities. Our cash flows from operating activities are driven primarily by our operating results and changes in our working capital requirements and our cash flows from financing activities are dependent upon our ability to access credit or other capital.</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15, 2022, we amended our $2.75 billion first lien revolving credit facility to change the base interest rate from LIBOR to SOFR.</w:t>
      </w:r>
    </w:p>
    <w:p>
      <w:pPr>
        <w:spacing w:after="0" w:line="11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On October 12, 2022, we amended and restated our European revolving credit facility. Significant changes to the European revolving credit facility include extending the maturity to January 14, 2028 and changing the base interest rate for loans denominated in U.S. dollars from LIBOR to SOFR.</w:t>
      </w:r>
    </w:p>
    <w:p>
      <w:pPr>
        <w:spacing w:after="0" w:line="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31, 2022, we had $1,227 million of Cash and Cash Equivalents, compared to $1,088 million at December 31, 2021. The increase in cash and cash equivalents of $139 million was primarily due to net borrowings of $582 million, cash provided by operating activities of $521 million and cash proceeds of $108 million received from the sale and leaseback transaction in Americas in the second quarter of 2022, partially offset by capital expenditures of $1,061 million. Cash provided by operating activities reflects net income for the period of $209 million, which includes non-cash charges for depreciation and amortization of $964 million, non-cash rationalization charges of $129 million, non-cash net pension curtailment and settlement charges of $124 million, and a non-cash gain of $95 million related to the sale and leaseback transaction in Americas, partially offset by cash used for working capital of $689 million, rationalization payments of $95 million and pension contributions and direct payments of $60 million, as well as the impact of other changes to various assets and liabilities on the Balance Sheet.</w:t>
      </w:r>
    </w:p>
    <w:p>
      <w:pPr>
        <w:spacing w:after="0" w:line="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At December 31, 2022 and 2021, we had $4,035 million and $4,345 million, respectively, of unused availability under our various credit agreements. The table below provides unused availability by our significant credit facilities as of December 31:</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 lien revolving credit facility</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2,747</w:t>
            </w:r>
          </w:p>
        </w:tc>
        <w:tc>
          <w:tcPr>
            <w:tcW w:w="18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2,314</w:t>
            </w: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revolving credit facility</w:t>
            </w:r>
          </w:p>
        </w:tc>
        <w:tc>
          <w:tcPr>
            <w:tcW w:w="380" w:type="dxa"/>
            <w:vAlign w:val="bottom"/>
          </w:tcPr>
          <w:p>
            <w:pPr>
              <w:spacing w:after="0"/>
              <w:rPr>
                <w:sz w:val="20"/>
                <w:szCs w:val="20"/>
                <w:color w:val="auto"/>
              </w:rPr>
            </w:pPr>
          </w:p>
        </w:tc>
        <w:tc>
          <w:tcPr>
            <w:tcW w:w="13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480</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908</w:t>
            </w: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516</w:t>
            </w: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622</w:t>
            </w: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Mexican credit facility</w:t>
            </w:r>
          </w:p>
        </w:tc>
        <w:tc>
          <w:tcPr>
            <w:tcW w:w="380" w:type="dxa"/>
            <w:vAlign w:val="bottom"/>
          </w:tcPr>
          <w:p>
            <w:pPr>
              <w:spacing w:after="0"/>
              <w:rPr>
                <w:sz w:val="20"/>
                <w:szCs w:val="20"/>
                <w:color w:val="auto"/>
              </w:rPr>
            </w:pPr>
          </w:p>
        </w:tc>
        <w:tc>
          <w:tcPr>
            <w:tcW w:w="13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w:t>
            </w:r>
          </w:p>
        </w:tc>
      </w:tr>
      <w:tr>
        <w:trPr>
          <w:trHeight w:val="243"/>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foreign and domestic debt</w:t>
            </w:r>
          </w:p>
        </w:tc>
        <w:tc>
          <w:tcPr>
            <w:tcW w:w="38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292</w:t>
            </w:r>
          </w:p>
        </w:tc>
        <w:tc>
          <w:tcPr>
            <w:tcW w:w="1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459</w:t>
            </w:r>
          </w:p>
        </w:tc>
      </w:tr>
      <w:tr>
        <w:trPr>
          <w:trHeight w:val="238"/>
        </w:trPr>
        <w:tc>
          <w:tcPr>
            <w:tcW w:w="766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4,035</w:t>
            </w:r>
          </w:p>
        </w:tc>
        <w:tc>
          <w:tcPr>
            <w:tcW w:w="5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4,345</w:t>
            </w:r>
          </w:p>
        </w:tc>
      </w:tr>
      <w:tr>
        <w:trPr>
          <w:trHeight w:val="20"/>
        </w:trPr>
        <w:tc>
          <w:tcPr>
            <w:tcW w:w="7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5955665</wp:posOffset>
            </wp:positionH>
            <wp:positionV relativeFrom="paragraph">
              <wp:posOffset>-187960</wp:posOffset>
            </wp:positionV>
            <wp:extent cx="120015"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0015" cy="188595"/>
                    </a:xfrm>
                    <a:prstGeom prst="rect">
                      <a:avLst/>
                    </a:prstGeom>
                    <a:noFill/>
                  </pic:spPr>
                </pic:pic>
              </a:graphicData>
            </a:graphic>
          </wp:anchor>
        </w:drawing>
      </w:r>
    </w:p>
    <w:p>
      <w:pPr>
        <w:spacing w:after="0" w:line="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expect our 2023 cash flow needs to include capital expenditures of approximately $1.0 billion. We also expect interest expense to be approximately $500 million; rationalization payments to be approximately $100 million; income tax payments to be approximately $200 million, excluding one-time items; and contributions to our funded pension plans to be $25 million to $50 million. We expect working capital to be a source of operating cash flows of approximately $100 million for the full year of 2023.</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actively monitor our liquidity and intend to operate our business in a way that allows us to address our cash flow needs with our existing cash and available credit if they cannot be funded by cash generated from operating or other financing activities. We believe that our liquidity position is adequate to fund our operating and investing needs and debt maturities for the next twelve months and to provide us with the ability to respond to further changes in the business environment.</w:t>
      </w:r>
    </w:p>
    <w:p>
      <w:pPr>
        <w:spacing w:after="0" w:line="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service debt and operational requirements is also dependent, in part, on the ability of our subsidiaries to make distributions of cash to various other entities in our consolidated group, whether in the form of dividends, loans or otherwise. In certain countries where we operate, such as China, South Africa, Serbia and Argentina, transfers of funds into or out of such countries by way of dividends, loans, advances or payments to third-party or affiliated suppliers are generally or periodically subject to certain requirements, such as obtaining approval from the foreign government and/or currency exchange board before net assets can be transferred out of the country. In addition, certain of our credit agreements and other debt instruments limit the ability of foreign subsidiaries to make distributions of cash. Thus, we would have to repay and/or amend these credit agreements and other debt instruments in order to use this cash to service our consolidated debt. Because of the inherent uncertainty of satisfactorily meeting these requirements or limitations, we do not consider the net assets of our subsidiaries, including our Chinese, South African, Serbian and Argentinian subsidiaries, which are subject to such requirements or limitations to be integral to our liquidity or our ability to service our debt and operational requirements. At December 31, 2022, approximately $1.0 billion of net assets, including approximately $225 million of cash and cash equivalents, were subject to such requirements. The requirements we must comply with to transfer funds out of China, South Africa, Serbia and Argentina have not adversely impacted our ability to make transfers out of those countries.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Position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2022, significant concentrations of cash and cash equivalents held by our international subsidiaries included the following amounts:</w:t>
      </w:r>
    </w:p>
    <w:p>
      <w:pPr>
        <w:spacing w:after="0" w:line="117"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$361 million or 29% in EMEA, primarily France, Belgium and England ($161 million or 15% at December 31, 2021),</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$316 million or 26% in Americas, primarily Chile, Brazil and Mexico ($320 million or 29% at December 31, 2021),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$301 million or 25% in Asia Pacific, primarily China, India and Australia ($317 million or 29% at December 31, 2021).</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deposited our cash and cash equivalents and entered into various credit agreements and derivative contracts with financial institutions that we considered to be substantial and creditworthy at the time of such transactions. We seek to control our exposure to these financial institutions by diversifying our deposits, credit agreements and derivative contracts across multiple financial institutions, by setting deposit and counterparty credit limits based on long term credit ratings and other indicators of credit risk such as credit default swap spreads, and by monitoring the financial strength of these financial institutions on a regular basis. We also enter into master netting agreements with counterparties when possible. By controlling and monitoring exposure to financial institutions in this manner, we believe that we effectively manage the risk of loss due to nonperformance by a financial institution. However, we cannot provide assurance that we will not experience losses or delays in accessing our deposits or lines of credit due to the nonperformance of a financial institution. Our inability to access our cash deposits or make draws on our lines of credit, or the inability of a counterparty to fulfill its contractual obligations to us, could have a material adverse effect on our liquidity, financial condition or results of operations in the period in which it occurs.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Net cash provided by operating activities was $521 million in 2022, decreasing $541 million compared to net cash provided by operating activities of $1,062 million in 2021.</w:t>
      </w:r>
    </w:p>
    <w:p>
      <w:pPr>
        <w:spacing w:after="0" w:line="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decrease in net cash provided by operating activities reflects a net increase in cash used for working capital of $330 million and a $12 million decrease in operating income from our SBUs, which includes a non-cash year-over-year benefit of $110 million related to the amortization of the Cooper Tire inventory fair value step-up in 2021. These decreases were partially offset by lower rationalization payments of $102 million, lower cash payments for transaction and other costs related to the Cooper Tire acquisition of $40 million, lower pension contributions and direct payments of $31 million, and lower cash payments for income taxes of $27 million. The remainder of the decrease in net cash provided by operating activities was primarily due to a net unfavorable change of $250 million in Balance Sheet accounts for Compensation and Benefits, Other Assets and Liabilities and Other Current Liabilities.</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net increase in cash used for working capital reflects a decrease in cash provided by Accounts Payable - Trade of $237 million and an increase in cash used for Inventory of $60 million and Accounts Receivable of $33 million. These changes were driven by the impact of the current year inflationary cost trends described above on our manufacturing operations and pricing.</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used for investing activities was $914 million in 2022, compared to $2,793 million in 2021. The $1,879 million decrease in cash used for investing activities primarily relates to the $1,856 million cash component of the purchase price, net of cash and restricted cash acquired, for the acquisition of Cooper Tire in 2021 and cash proceeds of $108 million in 2022 related to the sale and leaseback transaction in Americas. Capital expenditures were $1,061 million in 2022, increasing $80 million, compared to $981 million in 2021, primarily due to the addition of Cooper Tire's capital expenditures for the full year. Beyond expenditures required to sustain our facilities, capital expenditures in 2022 and 2021 primarily related to the modernization and expansion of tire manufacturing facilities around the world.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Net cash provided by financing activities was $575 million in 2022, compared to net cash provided by financing activities of $1,309 million in 2021. The $734 million decrease reflects lower net borrowings of $824 million, primarily due to borrowings in 2021 used to fund a portion of the Cooper Tire acquisition, partially offset by an increase in net cash provided by other financing transactions, primarily due to an increase in our liability to remit cash from factored account receivables to the purchaser of those receivables. No cash dividends were paid in 2022 or 2021.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Sources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aggregate, we had total credit arrangements of $11,806 million available at December 31, 2022, of which $4,035 million were unused, compared to $11,628 million available at December 31, 2021, of which $4,345 million were unused. At December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31, 2022, we had long term credit arrangements totaling $10,925 million, of which $3,566 million were unused, compared to $10,624 million and $3,785 million, respectively, at December 31, 2021. At December 31, 2022, we had short term committed and uncommitted credit arrangements totaling $881 million, of which $469 million were unused, compared to $1,004 million and $560 million, respectively, at December 31, 2021. The continued availability of the short term uncommitted arrangements is at the discretion of the relevant lender and may be terminated at any time.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Outstanding Notes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2022, we had $5,560 million of outstanding notes, compared to $5,591 million at December 31, 2021.</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$2.75 Billion Amended and Restated First Lien Revolving Credit Facility due 2026</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15, 2022, we amended our $2.75 billion first lien revolving credit facility to change the base interest rate from LIBOR to SOFR. Our first lien revolving credit facility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 The facility matures on June 8, 2026. Based on our current liquidity, amounts drawn under this facility bear interest at SOFR plus 125 basis points.</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Availability under the facility is subject to a borrowing base, which is based on (i) eligible accounts receivable and inventory of The Goodyear Tire &amp; Rubber Company and certain of its U.S. and Canadian subsidiaries, (ii) the value of our principal trademarks in an amount not to exceed $400 million, (iii) the value of eligible machinery and equipment, and (iv) certain cash in an amount not to exceed $275 million. To the extent that our eligible accounts receivable, inventory and other components of the borrowing base decline in value, our borrowing base will decrease and the availability under the facility may decrease below $2.75 billion. In addition, if the amount of outstanding borrowings and letters of credit under the facility exceeds the borrowing base, we would be required to prepay borrowings and/or cash collateralize letters of credit sufficient to eliminate the excess. As of December 31, 2022, our borrowing base was above the facility's stated amount of $2.75 billion.</w:t>
      </w:r>
    </w:p>
    <w:p>
      <w:pPr>
        <w:spacing w:after="0" w:line="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At December 31, 2022, we had no borrowings and $3 million of letters of credit issued under the revolving credit facility. At December 31, 2021, we had no borrowings and $19 million of letters of credit issued under the revolving credit facility.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€800 Million Amended and Restated Senior Secured European Revolving Credit Facility due 2028</w:t>
      </w:r>
    </w:p>
    <w:p>
      <w:pPr>
        <w:spacing w:after="0" w:line="11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On October 12, 2022, we amended and restated our European revolving credit facility. Significant changes to the European revolving credit facility include extending the maturity to January 14, 2028 and changing the base interest rate for loans denominated in U.S. dollars from LIBOR to SOFR.</w:t>
      </w:r>
    </w:p>
    <w:p>
      <w:pPr>
        <w:spacing w:after="0" w:line="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European revolving credit facility consists of (i) a €180 million German tranche that is available only to Goodyear Germany GmbH and (ii) a €620 million all-borrower tranche that is available to Goodyear Europe B.V. ("GEBV"), Goodyear Germany and Goodyear Operations S.A. Up to €175 million of swingline loans and €75 million in letters of credit are available for issuance under the all-borrower tranche. Subject to the consent of the lenders whose commitments are to be increased, we may request that the facility be increased by up to €200 million. Amounts drawn under this facility will bear interest at SOFR plus 150 basis points for loans denominated in U.S. dollars, EURIBOR plus 150 basis points for loans denominated in euros, and SONIA plus 150 basis points for loans denominated in pounds sterling. Undrawn amounts under the facility are subject to an annual commitment fee of 25 basis points.</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At December 31, 2022, there were no borrowings outstanding under the German tranche, $374 million (€350 million) of borrowings outstanding under the all-borrower tranche and no letters of credit outstanding under the European revolving credit facility. At December 31, 2021, we had no borrowings and no letters of credit outstanding under the European revolving credit facility.</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Each of our first lien revolving credit facility and our European revolving credit facility have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2020 under the first lien facility and December 31, 2021 under the European facility.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Facilities (On-Balance Sheet)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GEBV and certain other of our European subsidiaries are parties to a pan-European accounts receivable securitization facility that expires in 2027. The terms of the facility provide the flexibility to designate annually the maximum amount of funding available under the facility in an amount of not less than €30 million and not more than €450 million. For the period from October 19, 2021 through October 19, 2022, the designated maximum amount of the facility was €300 million. For the period from October 20, 2022 through October 18, 2023, the designated maximum amount of the facility remains at €300 million.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facility involves an ongoing daily sale of substantially all of the trade accounts receivable of certain GEBV subsidiaries. These subsidiaries retain servicing responsibilities. Utilization under this facility is based on eligible receivable balances.</w:t>
      </w:r>
    </w:p>
    <w:p>
      <w:pPr>
        <w:spacing w:after="0" w:line="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funding commitments under the facility will expire upon the earliest to occur of: (a) October 19, 2027,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first lien revolving credit facility; certain tax law changes; or certain changes to law, regulation or accounting standards), or (d) our request for early termination of the facility. The facility’s current back-up liquidity commitments will expire on October 18, 2023.</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At December 31, 2022, the amounts available and utilized under this program totaled $267 million (€250 million). At December 31, 2021, the amounts available and utilized under this program totaled $279 million (€246 million). The program does not qualify for sale accounting, and accordingly, these amounts are included in Long Term Debt and Finance Leases.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Factoring Facilities (Off-Balance Sheet)</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sold certain of our trade receivables under off-balance sheet programs. For these programs, we have concluded that there is generally no risk of loss to us from non-payment of the sold receivables. At December 31, 2022, the gross amount of receivables sold was $744 million, compared to $605 million at December 31, 2021. The increase from December 31, 2021 is primarily due to an increase in our accounts receivable as a result of higher sales prices.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Letters of Credit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2022, we had $229 million in letters of credit issued under bilateral letter of credit agreements and other foreign credit facilities.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Supplier Financing</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entered into payment processing agreements with several financial institutions. Under these agreements, the financial institutions act as our paying agents with respect to accounts payable due to our suppliers. These agreements also allow our suppliers to sell their receivables to the financial institutions at the sole discretion of both the supplier and the financial institution on terms that are negotiated between them. We are not always notified when our suppliers sell receivables under these programs. Our obligations to our suppliers, including the amounts due and scheduled payment dates, are not impacted by our suppliers' decisions to sell their receivables under these programs. Agreements for such supplier financing programs totaled up to $920 million and $630 million at December 31, 2022 and 2021, respectively. The increase from December 31, 2021 is primarily due to the overall increase in our cost base as a result of the Cooper Tire acquisition.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Further Information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ICE Benchmark Administration, the administrator of LIBOR, ceased publication of U.S. dollar LIBOR (“USD LIBOR”) for the one week and two month USD LIBOR tenors on December 31, 2021 and intends to cease publication for all other USD LIBOR tenors on June 30, 2023. We previously identified and evaluated our debt obligations and other contracts that refer to LIBOR and have amended our first lien revolving credit facility and our European revolving credit facility, which constituted the most significant of our LIBOR-based debt obligations and contracts, to replace LIBOR with SOFR. We do not believe that the discontinuation of LIBOR, or its replacement with an alternative reference rate or rates, will have a material impact on our results of operations, financial position or liquidity.</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For a further description of the terms of our outstanding notes, first lien revolving credit facility, European revolving credit facility and pan-European accounts receivable securitization facility, refer to Note to the Consolidated Financial Statements No. 16, Financing Arrangements and Derivative Financial Instruments.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Covenant Compliance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first lien revolving credit facility and some of the indentures governing our notes contain certain covenants that, among other things, limit our ability to incur additional debt or issue redeemable preferred stock, pay dividends, repurchase shares or make certain other restricted payments or investments, incur liens, sell assets, incur restrictions on the ability of our subsidiaries to pay dividends or to make other payments to us, enter into affiliate transactions, engage in sale and leaseback transactions, and consolidate, merge, sell or otherwise dispose of all or substantially all of our assets. These covenants are subject to significant exceptions and qualifications. Our first lien revolving credit facility and the indentures governing our notes also have customary defaults, including cross-defaults to material indebtedness of Goodyear and its subsidiaries.</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an additional financial covenant in our first lien revolving credit facility that is currently not applicable. We become subject to that financial covenant when the aggregate amount of our Parent Company (The Goodyear Tire &amp; Rubber Company) and guarantor subsidiaries cash and cash equivalents (“Available Cash”) plus our availability under our first lien revolving credit facility is less than $275 million. If this were to occur, our ratio of EBITDA to Consolidated Interest Expense may not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2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be less than 2.0 to 1.0 for the most recent period of four consecutive fiscal quarters. As of December 31, 2022, our unused availability under this facility of $2,747 million plus our Available Cash of $174 million totaled $2,921 million, which is in excess of $275 million.</w:t>
      </w:r>
    </w:p>
    <w:p>
      <w:pPr>
        <w:spacing w:after="0" w:line="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our European revolving credit facility contains non-financial covenants similar to the non-financial covenants in our first lien revolving credit facility that are described above and a financial covenant applicable only to GEBV and its subsidiaries. This financial covenant provides that we are not permitted to allow GEBV’s ratio of Consolidated Net GEBV Indebtedness to Consolidated GEBV EBITDA for a period of four consecutive fiscal quarters to be greater than 3.0 to 1.0 at the end of any fiscal quarter. Consolidated Net GEBV Indebtedness is determined net of the sum of cash and cash equivalents in excess of $100 million held by GEBV and its subsidiaries, cash and cash equivalents in excess of $150 million held by the Parent Company and its U.S. subsidiaries, and availability under our first lien revolving credit facility if the ratio of EBITDA to Consolidated Interest Expense described above is not applicable and the conditions to borrowing under the first lien revolving credit facility are met. Consolidated Net GEBV Indebtedness also excludes loans from other consolidated Goodyear entities. This financial covenant is also included in our pan-European accounts receivable securitization facility. At December 31, 2022, we were in compliance with this financial covenant.</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credit facilities also state that we may only incur additional debt or make restricted payments that are not otherwise expressly permitted if, after giving effect to the debt incurrence or the restricted payment, our ratio of EBITDA to Consolidated Interest Expense for the prior four fiscal quarters would exceed 2.0 to 1.0. Certain of our senior note indentures have substantially similar limitations on incurring debt and making restricted payments. Our credit facilities and indentures also permit the incurrence of additional debt through other provisions in those agreements without regard to our ability to satisfy the ratio-based incurrence test described above. We believe that these other provisions provide us with sufficient flexibility to incur additional debt necessary to meet our operating, investing and financing needs without regard to our ability to satisfy the ratio-based incurrence test.</w:t>
      </w:r>
    </w:p>
    <w:p>
      <w:pPr>
        <w:spacing w:after="0" w:line="7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Covenants could change based upon a refinancing or amendment of an existing facility, or additional covenants may be added in connection with the incurrence of new debt.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we were in compliance with the currently applicable material covenants imposed by our principal credit facilities and indentures.</w:t>
      </w:r>
    </w:p>
    <w:p>
      <w:pPr>
        <w:spacing w:after="0" w:line="1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terms “Available Cash,” “EBITDA,” “Consolidated Interest Expense,” “Consolidated Net GEBV Indebtedness” and “Consolidated GEBV EBITDA” have the meanings given them in the respective credit facilities.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Potential Future Financings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addition to the financing activities described above, we may seek to undertake additional financing actions which could include restructuring bank debt or capital markets transactions, possibly including the issuance of additional debt or equity. Given the inherent uncertainty of market conditions, access to the capital markets cannot be assured.</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future liquidity requirements may make it necessary for us to incur additional debt. However, a substantial portion of our assets are already subject to liens securing our indebtedness. As a result, we are limited in our ability to pledge our remaining assets as security for additional secured indebtedness. In addition, no assurance can be given as to our ability to raise additional unsecured debt.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Dividends and Common Stock Repurchase Program</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Under our primary credit facilities and some of our note indentures, we are permitted to pay dividends on and repurchase our capital stock (which constitute restricted payments) as long as no default will have occurred and be continuing, additional indebtedness can be incurred under the credit facilities or indentures following the payment, and certain financial tests are satisfied.</w:t>
      </w:r>
    </w:p>
    <w:p>
      <w:pPr>
        <w:spacing w:after="0" w:line="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During 2020, we paid cash dividends of $37 million on our common stock. This excludes dividends earned on stock based compensation plans of $1 million. On April 16, 2020, we announced that we suspended the quarterly dividend on our common stock. No cash dividends were paid in 2022 or 2021.</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may repurchase shares delivered to us by employees as payment for the exercise price of stock options and the withholding taxes due upon the exercise of stock options or the vesting or payment of stock awards. During 2022, 2021, and 2020, we did not repurchase any shares from our employees.</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restrictions imposed by our credit facilities and indentures are not expected to affect our ability to pay dividends or repurchase our capital stock in the future.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Asset Dispositions</w:t>
      </w:r>
    </w:p>
    <w:p>
      <w:pPr>
        <w:spacing w:after="0" w:line="1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restrictions on asset sales imposed by our material indebtedness have not affected our ability to divest non-core businesses, and those divestitures have not affected our ability to comply with those restrictions.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our subsidiaries, which are listed on Exhibit 22.1 to this Annual Report on Form 10-K and are generally holding or operating companies, have guaranteed our obligations under the $800 million outstanding principal amount of 9.5% senior notes due 2025, the $900 million outstanding principal amount of 5% senior notes due 2026, the $700 million outstanding principal amount of 4.875% senior notes due 2027, the $850 million outstanding principal amount of 5% senior notes due 2029, the $550 million outstanding principal amount of 5.25% senior notes due April 2031, the $600 million outstanding principal amount of 5.25% senior notes due July 2031 and the $450 million outstanding principal amount of 5.625% senior notes due 2033 (collectively, the “Notes”).</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Notes have been issued by The Goodyear Tire &amp; Rubber Company (the “Parent Company”) and are its senior unsecured obligations. The Notes rank equally in right of payment with all of our existing and future senior unsecured obligations and senior to any of our future subordinated indebtedness. The Notes are effectively subordinated to our existing and future secured indebtedness to the extent of the assets securing that indebtedness. The Notes are fully and unconditionally guaranteed on a joint and several basis by each of our wholly-owned U.S. and Canadian subsidiaries that also guarantee our obligations under our first lien revolving credit facility (such guarantees, the “Guarantees”; and, such guaranteeing subsidiaries, the “Subsidiary Guarantors”). The Guarantees are senior unsecured obligations of the Subsidiary Guarantors and rank equally in right of payment with all existing and future senior unsecured obligations of our Subsidiary Guarantors. The Guarantees are effectively subordinated to existing and future secured indebtedness of the Subsidiary Guarantors to the extent of the assets securing that indebtedness.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Notes are structurally subordinated to all of the existing and future debt and other liabilities, including trade payables, of our subsidiaries that do not guarantee the Notes (the “Non-Guarantor Subsidiaries”). The Non-Guarantor Subsidiaries will have no obligation, contingent or otherwise, to pay amounts due under the Notes or to make funds available to pay those amounts. Certain Non-Guarantor Subsidiaries are limited in their ability to remit funds to us by means of dividends, advances or loans due to required foreign government and/or currency exchange board approvals or limitations in credit agreements or other debt instruments of those subsidiaries.</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Subsidiary Guarantors, as primary obligors and not merely as sureties, jointly and severally irrevocably and unconditionally guarantee on a senior unsecured basis the performance and full and punctual payment when due of all obligations of the Parent Company under the Notes and the related indentures, whether for payment of principal of or interest on the Notes, expenses, indemnification or otherwise. The Guarantees of the Subsidiary Guarantors are subject to release in limited circumstances only upon the occurrence of certain customary conditions.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Although the Guarantees provide the holders of Notes with a direct unsecured claim against the assets of the Subsidiary Guarantors, under U.S. federal bankruptcy law and comparable provisions of U.S. state fraudulent transfer laws, in certain circumstances a court could cancel a Guarantee and order the return of any payments made thereunder to the Subsidiary Guarantor or to a fund for the benefit of its creditors.</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 court might take these actions if it found, among other things, that when the Subsidiary Guarantors incurred the debt evidenced by their Guarantee (i) they received less than reasonably equivalent value or fair consideration for the incurrence of the debt and (ii) any one of the following conditions was satisfied:</w:t>
      </w:r>
    </w:p>
    <w:p>
      <w:pPr>
        <w:spacing w:after="0" w:line="69"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insolvent or rendered insolvent by reason of the incurrence;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engaged in a business or transaction for which its remaining assets constituted unreasonably small capital; or</w:t>
      </w:r>
    </w:p>
    <w:p>
      <w:pPr>
        <w:spacing w:after="0" w:line="116"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intended to incur, or believed (or reasonably should have believed) that it would incur, debts beyond its ability to pay as those debts matured.</w:t>
      </w:r>
    </w:p>
    <w:p>
      <w:pPr>
        <w:spacing w:after="0" w:line="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applying the above factors, a court would likely find that a Subsidiary Guarantor did not receive fair consideration or reasonably equivalent value for its Guarantee, except to the extent that it benefited directly or indirectly from the issuance of the Notes. The determination of whether a guarantor was or was not rendered “insolvent” when it entered into its guarantee will vary depending on the law of the jurisdiction being applied. Generally, an entity would be considered insolvent if the sum of its debts (including contingent or unliquidated debts) is greater than all of its assets at a fair valuation or if the present fair salable value of its assets is less than the amount that will be required to pay its probable liability on its existing debts, including contingent or unliquidated debts, as they mature.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Under Canadian federal bankruptcy and insolvency laws and comparable provincial laws on preferences, fraudulent conveyances or other challengeable or voidable transactions, the Guarantees could be challenged as a preference, fraudulent conveyance, transfer at undervalue or other challengeable or voidable transaction. The test to be applied varies among the different pieces of legislation, but as a general matter these types of challenges may arise in circumstances where:</w:t>
      </w:r>
    </w:p>
    <w:p>
      <w:pPr>
        <w:spacing w:after="0" w:line="74"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intended to defeat, hinder, delay, defraud or prejudice creditors or others;</w:t>
      </w:r>
    </w:p>
    <w:p>
      <w:pPr>
        <w:spacing w:after="0" w:line="116" w:lineRule="exact"/>
        <w:rPr>
          <w:rFonts w:ascii="Times New Roman" w:cs="Times New Roman" w:eastAsia="Times New Roman" w:hAnsi="Times New Roman"/>
          <w:sz w:val="18"/>
          <w:szCs w:val="18"/>
          <w:color w:val="auto"/>
        </w:rPr>
      </w:pPr>
    </w:p>
    <w:p>
      <w:pPr>
        <w:jc w:val="both"/>
        <w:ind w:left="760" w:hanging="378"/>
        <w:spacing w:after="0" w:line="260"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taken within a specified period of time prior to the commencement of proceedings under Canadian bankruptcy, insolvency or restructuring legislation in respect of a Subsidiary Guarantor, the consideration received by the Subsidiary Guarantor was conspicuously less than the fair market value of the consideration given, and the Subsidiary Guarantor was insolvent or rendered insolvent by such action and (in some circumstances, or) such action was intended to defraud, defeat or delay a creditor;</w:t>
      </w:r>
    </w:p>
    <w:p>
      <w:pPr>
        <w:spacing w:after="0" w:line="73" w:lineRule="exact"/>
        <w:rPr>
          <w:rFonts w:ascii="Times New Roman" w:cs="Times New Roman" w:eastAsia="Times New Roman" w:hAnsi="Times New Roman"/>
          <w:sz w:val="18"/>
          <w:szCs w:val="18"/>
          <w:color w:val="auto"/>
        </w:rPr>
      </w:pPr>
    </w:p>
    <w:p>
      <w:pPr>
        <w:jc w:val="both"/>
        <w:ind w:left="760" w:hanging="378"/>
        <w:spacing w:after="0" w:line="265"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taken within a specified period of time prior to the commencement of proceedings under Canadian bankruptcy, insolvency or restructuring legislation in respect of a Subsidiary Guarantor and such action was taken, or is deemed to have been taken, with a view to giving a creditor a preference over other creditors or, in some circumstances, had the effect of giving a creditor a preference over other creditors; or</w:t>
      </w:r>
    </w:p>
    <w:p>
      <w:pPr>
        <w:spacing w:after="0" w:line="69" w:lineRule="exact"/>
        <w:rPr>
          <w:rFonts w:ascii="Times New Roman" w:cs="Times New Roman" w:eastAsia="Times New Roman" w:hAnsi="Times New Roman"/>
          <w:sz w:val="18"/>
          <w:szCs w:val="18"/>
          <w:color w:val="auto"/>
        </w:rPr>
      </w:pPr>
    </w:p>
    <w:p>
      <w:pPr>
        <w:ind w:left="760" w:right="20" w:hanging="378"/>
        <w:spacing w:after="0" w:line="28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 Guarantor is found to have acted in a manner that was oppressive, unfairly prejudicial to or unfairly disregarded the interests of any shareholder, creditor, director, officer or other interested party.</w:t>
      </w:r>
    </w:p>
    <w:p>
      <w:pPr>
        <w:spacing w:after="0" w:line="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in certain insolvency proceedings a Canadian court may subordinate claims in respect of the Guarantees to other claims against a Subsidiary Guarantor under the principle of equitable subordination if the court determines that (1) the holder of Notes engaged in some type of inequitable or improper conduct, (2) the inequitable or improper conduct resulted in injury to other creditors or conferred an unfair advantage upon the holder of Notes and (3) equitable subordination is not inconsistent with the provisions of the relevant solvency statute.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court canceled a Guarantee, the holders of Notes would no longer have a claim against that Subsidiary Guarantor or its assets.</w:t>
      </w:r>
    </w:p>
    <w:p>
      <w:pPr>
        <w:spacing w:after="0" w:line="11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Each Guarantee is limited, by its terms, to an amount not to exceed the maximum amount that can be guaranteed by the applicable Subsidiary Guarantor without rendering the Guarantee, as it relates to that Subsidiary Guarantor, voidable under applicable law relating to fraudulent conveyance or fraudulent transfer or similar laws affecting the rights of creditors generally.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Each Subsidiary Guarantor is a consolidated subsidiary of the Parent Company at the date of the balance sheet presented. The following tables present summarized financial information for the Parent Company and the Subsidiary Guarantors on a combined basis after elimination of (i) intercompany transactions and balances among the Parent Company and the Subsidiary Guarantors and (ii) equity in earnings from and investments in any Non-Guarantor Subsidiary.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tcPr>
          <w:p>
            <w:pPr>
              <w:jc w:val="center"/>
              <w:ind w:right="458"/>
              <w:spacing w:after="0"/>
              <w:rPr>
                <w:sz w:val="20"/>
                <w:szCs w:val="20"/>
                <w:color w:val="auto"/>
              </w:rPr>
            </w:pPr>
            <w:r>
              <w:rPr>
                <w:rFonts w:ascii="Times New Roman" w:cs="Times New Roman" w:eastAsia="Times New Roman" w:hAnsi="Times New Roman"/>
                <w:sz w:val="14"/>
                <w:szCs w:val="14"/>
                <w:b w:val="1"/>
                <w:bCs w:val="1"/>
                <w:color w:val="auto"/>
              </w:rPr>
              <w:t>Summarized Balance Sheet</w:t>
            </w:r>
          </w:p>
        </w:tc>
      </w:tr>
      <w:tr>
        <w:trPr>
          <w:trHeight w:val="131"/>
        </w:trPr>
        <w:tc>
          <w:tcPr>
            <w:tcW w:w="7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60" w:type="dxa"/>
            <w:vAlign w:val="bottom"/>
          </w:tcPr>
          <w:p>
            <w:pPr>
              <w:jc w:val="center"/>
              <w:ind w:right="458"/>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tcPr>
          <w:p>
            <w:pPr>
              <w:jc w:val="center"/>
              <w:ind w:right="43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796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Total Current Assets</w:t>
            </w:r>
            <w:r>
              <w:rPr>
                <w:rFonts w:ascii="Times New Roman" w:cs="Times New Roman" w:eastAsia="Times New Roman" w:hAnsi="Times New Roman"/>
                <w:sz w:val="24"/>
                <w:szCs w:val="24"/>
                <w:color w:val="auto"/>
                <w:vertAlign w:val="superscript"/>
              </w:rPr>
              <w:t>(1)</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8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5,657</w:t>
            </w:r>
          </w:p>
        </w:tc>
      </w:tr>
      <w:tr>
        <w:trPr>
          <w:trHeight w:val="238"/>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Assets</w:t>
            </w:r>
          </w:p>
        </w:tc>
        <w:tc>
          <w:tcPr>
            <w:tcW w:w="420" w:type="dxa"/>
            <w:vAlign w:val="bottom"/>
          </w:tcPr>
          <w:p>
            <w:pPr>
              <w:spacing w:after="0"/>
              <w:rPr>
                <w:sz w:val="20"/>
                <w:szCs w:val="20"/>
                <w:color w:val="auto"/>
              </w:rPr>
            </w:pPr>
          </w:p>
        </w:tc>
        <w:tc>
          <w:tcPr>
            <w:tcW w:w="28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8,463</w:t>
            </w:r>
          </w:p>
        </w:tc>
      </w:tr>
      <w:tr>
        <w:trPr>
          <w:trHeight w:val="247"/>
        </w:trPr>
        <w:tc>
          <w:tcPr>
            <w:tcW w:w="79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860" w:type="dxa"/>
            <w:vAlign w:val="bottom"/>
            <w:shd w:val="clear" w:color="auto" w:fill="CFF0FC"/>
          </w:tcPr>
          <w:p>
            <w:pPr>
              <w:spacing w:after="0"/>
              <w:rPr>
                <w:sz w:val="21"/>
                <w:szCs w:val="21"/>
                <w:color w:val="auto"/>
              </w:rPr>
            </w:pPr>
          </w:p>
        </w:tc>
      </w:tr>
      <w:tr>
        <w:trPr>
          <w:trHeight w:val="238"/>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8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3,124</w:t>
            </w:r>
          </w:p>
        </w:tc>
      </w:tr>
      <w:tr>
        <w:trPr>
          <w:trHeight w:val="247"/>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420" w:type="dxa"/>
            <w:vAlign w:val="bottom"/>
            <w:shd w:val="clear" w:color="auto" w:fill="CFF0FC"/>
          </w:tcPr>
          <w:p>
            <w:pPr>
              <w:spacing w:after="0"/>
              <w:rPr>
                <w:sz w:val="21"/>
                <w:szCs w:val="21"/>
                <w:color w:val="auto"/>
              </w:rPr>
            </w:pPr>
          </w:p>
        </w:tc>
        <w:tc>
          <w:tcPr>
            <w:tcW w:w="28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8,594</w:t>
            </w:r>
          </w:p>
        </w:tc>
      </w:tr>
    </w:tbl>
    <w:p>
      <w:pPr>
        <w:spacing w:after="0" w:line="90" w:lineRule="exact"/>
        <w:rPr>
          <w:sz w:val="20"/>
          <w:szCs w:val="20"/>
          <w:color w:val="auto"/>
        </w:rPr>
      </w:pPr>
    </w:p>
    <w:p>
      <w:pPr>
        <w:ind w:left="760" w:hanging="752"/>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receivables due from Non-Guarantor Subsidiaries of $1,499 million as of December 31, 2022.</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Summarized Statement of Operations</w:t>
            </w:r>
          </w:p>
        </w:tc>
      </w:tr>
      <w:tr>
        <w:trPr>
          <w:trHeight w:val="131"/>
        </w:trPr>
        <w:tc>
          <w:tcPr>
            <w:tcW w:w="7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20" w:type="dxa"/>
            <w:vAlign w:val="bottom"/>
          </w:tcPr>
          <w:p>
            <w:pPr>
              <w:jc w:val="center"/>
              <w:ind w:right="295"/>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7"/>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6"/>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30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11,909</w:t>
            </w:r>
          </w:p>
        </w:tc>
      </w:tr>
      <w:tr>
        <w:trPr>
          <w:trHeight w:val="238"/>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Pr>
          <w:p>
            <w:pPr>
              <w:spacing w:after="0"/>
              <w:rPr>
                <w:sz w:val="20"/>
                <w:szCs w:val="20"/>
                <w:color w:val="auto"/>
              </w:rPr>
            </w:pPr>
          </w:p>
        </w:tc>
        <w:tc>
          <w:tcPr>
            <w:tcW w:w="3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9,769</w:t>
            </w:r>
          </w:p>
        </w:tc>
      </w:tr>
      <w:tr>
        <w:trPr>
          <w:trHeight w:val="247"/>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260" w:type="dxa"/>
            <w:vAlign w:val="bottom"/>
            <w:shd w:val="clear" w:color="auto" w:fill="CFF0FC"/>
          </w:tcPr>
          <w:p>
            <w:pPr>
              <w:spacing w:after="0"/>
              <w:rPr>
                <w:sz w:val="21"/>
                <w:szCs w:val="21"/>
                <w:color w:val="auto"/>
              </w:rPr>
            </w:pPr>
          </w:p>
        </w:tc>
        <w:tc>
          <w:tcPr>
            <w:tcW w:w="30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1,511</w:t>
            </w:r>
          </w:p>
        </w:tc>
      </w:tr>
      <w:tr>
        <w:trPr>
          <w:trHeight w:val="238"/>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Rationalizations</w:t>
            </w:r>
          </w:p>
        </w:tc>
        <w:tc>
          <w:tcPr>
            <w:tcW w:w="260" w:type="dxa"/>
            <w:vAlign w:val="bottom"/>
          </w:tcPr>
          <w:p>
            <w:pPr>
              <w:spacing w:after="0"/>
              <w:rPr>
                <w:sz w:val="20"/>
                <w:szCs w:val="20"/>
                <w:color w:val="auto"/>
              </w:rPr>
            </w:pPr>
          </w:p>
        </w:tc>
        <w:tc>
          <w:tcPr>
            <w:tcW w:w="3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35</w:t>
            </w:r>
          </w:p>
        </w:tc>
      </w:tr>
      <w:tr>
        <w:trPr>
          <w:trHeight w:val="247"/>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spacing w:after="0"/>
              <w:rPr>
                <w:sz w:val="21"/>
                <w:szCs w:val="21"/>
                <w:color w:val="auto"/>
              </w:rPr>
            </w:pPr>
          </w:p>
        </w:tc>
        <w:tc>
          <w:tcPr>
            <w:tcW w:w="30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358</w:t>
            </w:r>
          </w:p>
        </w:tc>
      </w:tr>
      <w:tr>
        <w:trPr>
          <w:trHeight w:val="23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43"/>
        </w:trPr>
        <w:tc>
          <w:tcPr>
            <w:tcW w:w="796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Income before Income Taxes</w:t>
            </w:r>
            <w:r>
              <w:rPr>
                <w:rFonts w:ascii="Times New Roman" w:cs="Times New Roman" w:eastAsia="Times New Roman" w:hAnsi="Times New Roman"/>
                <w:sz w:val="24"/>
                <w:szCs w:val="24"/>
                <w:color w:val="auto"/>
                <w:vertAlign w:val="superscript"/>
              </w:rPr>
              <w:t>(2)</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30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354</w:t>
            </w:r>
          </w:p>
        </w:tc>
      </w:tr>
      <w:tr>
        <w:trPr>
          <w:trHeight w:val="243"/>
        </w:trPr>
        <w:tc>
          <w:tcPr>
            <w:tcW w:w="7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20" w:type="dxa"/>
            <w:vAlign w:val="bottom"/>
          </w:tcPr>
          <w:p>
            <w:pPr>
              <w:spacing w:after="0"/>
              <w:rPr>
                <w:sz w:val="21"/>
                <w:szCs w:val="21"/>
                <w:color w:val="auto"/>
              </w:rPr>
            </w:pPr>
          </w:p>
        </w:tc>
      </w:tr>
      <w:tr>
        <w:trPr>
          <w:trHeight w:val="243"/>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30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300</w:t>
            </w:r>
          </w:p>
        </w:tc>
      </w:tr>
      <w:tr>
        <w:trPr>
          <w:trHeight w:val="234"/>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Goodyear 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3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300</w:t>
            </w:r>
          </w:p>
        </w:tc>
      </w:tr>
    </w:tbl>
    <w:p>
      <w:pPr>
        <w:spacing w:after="0" w:line="98" w:lineRule="exact"/>
        <w:rPr>
          <w:sz w:val="20"/>
          <w:szCs w:val="20"/>
          <w:color w:val="auto"/>
        </w:rPr>
      </w:pPr>
    </w:p>
    <w:p>
      <w:pPr>
        <w:ind w:left="760" w:hanging="752"/>
        <w:spacing w:after="0" w:line="28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from intercompany transactions with Non-Guarantor Subsidiaries of $577 million for the year ended December 31, 2022, primarily from royalties, dividends, interest and intercompany product sales.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contractual obligations and commitments to make future payments as of December 31, 2022:</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Beyond</w:t>
            </w:r>
          </w:p>
        </w:tc>
      </w:tr>
      <w:tr>
        <w:trPr>
          <w:trHeight w:val="187"/>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2027</w:t>
            </w:r>
          </w:p>
        </w:tc>
      </w:tr>
      <w:tr>
        <w:trPr>
          <w:trHeight w:val="236"/>
        </w:trPr>
        <w:tc>
          <w:tcPr>
            <w:tcW w:w="426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Debt Obligations</w:t>
            </w:r>
            <w:r>
              <w:rPr>
                <w:rFonts w:ascii="Times New Roman" w:cs="Times New Roman" w:eastAsia="Times New Roman" w:hAnsi="Times New Roman"/>
                <w:sz w:val="24"/>
                <w:szCs w:val="24"/>
                <w:color w:val="auto"/>
                <w:vertAlign w:val="superscript"/>
              </w:rPr>
              <w:t>(1)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7,665</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615</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578</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969</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3,503</w:t>
            </w:r>
          </w:p>
        </w:tc>
      </w:tr>
      <w:tr>
        <w:trPr>
          <w:trHeight w:val="243"/>
        </w:trPr>
        <w:tc>
          <w:tcPr>
            <w:tcW w:w="42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Finance Lease Obligations</w:t>
            </w:r>
            <w:r>
              <w:rPr>
                <w:rFonts w:ascii="Times New Roman" w:cs="Times New Roman" w:eastAsia="Times New Roman" w:hAnsi="Times New Roman"/>
                <w:sz w:val="24"/>
                <w:szCs w:val="24"/>
                <w:color w:val="auto"/>
                <w:vertAlign w:val="superscript"/>
              </w:rPr>
              <w:t>(2)</w:t>
            </w:r>
          </w:p>
        </w:tc>
        <w:tc>
          <w:tcPr>
            <w:tcW w:w="160" w:type="dxa"/>
            <w:vAlign w:val="bottom"/>
          </w:tcPr>
          <w:p>
            <w:pPr>
              <w:spacing w:after="0"/>
              <w:rPr>
                <w:sz w:val="21"/>
                <w:szCs w:val="21"/>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231</w:t>
            </w:r>
          </w:p>
        </w:tc>
      </w:tr>
      <w:tr>
        <w:trPr>
          <w:trHeight w:val="243"/>
        </w:trPr>
        <w:tc>
          <w:tcPr>
            <w:tcW w:w="426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Interest Payments</w:t>
            </w:r>
            <w:r>
              <w:rPr>
                <w:rFonts w:ascii="Times New Roman" w:cs="Times New Roman" w:eastAsia="Times New Roman" w:hAnsi="Times New Roman"/>
                <w:sz w:val="24"/>
                <w:szCs w:val="24"/>
                <w:color w:val="auto"/>
                <w:vertAlign w:val="superscript"/>
              </w:rPr>
              <w:t>(3)</w:t>
            </w: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2,398</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404</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850</w:t>
            </w:r>
          </w:p>
        </w:tc>
      </w:tr>
      <w:tr>
        <w:trPr>
          <w:trHeight w:val="243"/>
        </w:trPr>
        <w:tc>
          <w:tcPr>
            <w:tcW w:w="42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24"/>
                <w:szCs w:val="24"/>
                <w:color w:val="auto"/>
                <w:vertAlign w:val="superscript"/>
              </w:rPr>
              <w:t>(4)</w:t>
            </w:r>
          </w:p>
        </w:tc>
        <w:tc>
          <w:tcPr>
            <w:tcW w:w="160" w:type="dxa"/>
            <w:vAlign w:val="bottom"/>
          </w:tcPr>
          <w:p>
            <w:pPr>
              <w:spacing w:after="0"/>
              <w:rPr>
                <w:sz w:val="21"/>
                <w:szCs w:val="21"/>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436</w:t>
            </w:r>
          </w:p>
        </w:tc>
      </w:tr>
      <w:tr>
        <w:trPr>
          <w:trHeight w:val="243"/>
        </w:trPr>
        <w:tc>
          <w:tcPr>
            <w:tcW w:w="426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Pension Benefits</w:t>
            </w:r>
            <w:r>
              <w:rPr>
                <w:rFonts w:ascii="Times New Roman" w:cs="Times New Roman" w:eastAsia="Times New Roman" w:hAnsi="Times New Roman"/>
                <w:sz w:val="24"/>
                <w:szCs w:val="24"/>
                <w:color w:val="auto"/>
                <w:vertAlign w:val="superscript"/>
              </w:rPr>
              <w:t>(5)</w:t>
            </w: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42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Other Postretirement Benefits</w:t>
            </w:r>
            <w:r>
              <w:rPr>
                <w:rFonts w:ascii="Times New Roman" w:cs="Times New Roman" w:eastAsia="Times New Roman" w:hAnsi="Times New Roman"/>
                <w:sz w:val="24"/>
                <w:szCs w:val="24"/>
                <w:color w:val="auto"/>
                <w:vertAlign w:val="superscript"/>
              </w:rPr>
              <w:t>(6)</w:t>
            </w:r>
          </w:p>
        </w:tc>
        <w:tc>
          <w:tcPr>
            <w:tcW w:w="160" w:type="dxa"/>
            <w:vAlign w:val="bottom"/>
          </w:tcPr>
          <w:p>
            <w:pPr>
              <w:spacing w:after="0"/>
              <w:rPr>
                <w:sz w:val="21"/>
                <w:szCs w:val="21"/>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115</w:t>
            </w:r>
          </w:p>
        </w:tc>
      </w:tr>
      <w:tr>
        <w:trPr>
          <w:trHeight w:val="243"/>
        </w:trPr>
        <w:tc>
          <w:tcPr>
            <w:tcW w:w="426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Workers’ Compensation</w:t>
            </w:r>
            <w:r>
              <w:rPr>
                <w:rFonts w:ascii="Times New Roman" w:cs="Times New Roman" w:eastAsia="Times New Roman" w:hAnsi="Times New Roman"/>
                <w:sz w:val="24"/>
                <w:szCs w:val="24"/>
                <w:color w:val="auto"/>
                <w:vertAlign w:val="superscript"/>
              </w:rPr>
              <w:t>(7)</w:t>
            </w: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137</w:t>
            </w:r>
          </w:p>
        </w:tc>
      </w:tr>
      <w:tr>
        <w:trPr>
          <w:trHeight w:val="243"/>
        </w:trPr>
        <w:tc>
          <w:tcPr>
            <w:tcW w:w="42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Binding Commitments</w:t>
            </w:r>
            <w:r>
              <w:rPr>
                <w:rFonts w:ascii="Times New Roman" w:cs="Times New Roman" w:eastAsia="Times New Roman" w:hAnsi="Times New Roman"/>
                <w:sz w:val="24"/>
                <w:szCs w:val="24"/>
                <w:color w:val="auto"/>
                <w:vertAlign w:val="superscript"/>
              </w:rPr>
              <w:t>(8)</w:t>
            </w:r>
          </w:p>
        </w:tc>
        <w:tc>
          <w:tcPr>
            <w:tcW w:w="160" w:type="dxa"/>
            <w:vAlign w:val="bottom"/>
          </w:tcPr>
          <w:p>
            <w:pPr>
              <w:spacing w:after="0"/>
              <w:rPr>
                <w:sz w:val="21"/>
                <w:szCs w:val="21"/>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2,706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1,790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4260" w:type="dxa"/>
            <w:vAlign w:val="bottom"/>
            <w:tcBorders>
              <w:bottom w:val="single" w:sz="8" w:color="CFF0FC"/>
            </w:tcBorders>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Uncertain Income Tax Positions</w:t>
            </w:r>
            <w:r>
              <w:rPr>
                <w:rFonts w:ascii="Times New Roman" w:cs="Times New Roman" w:eastAsia="Times New Roman" w:hAnsi="Times New Roman"/>
                <w:sz w:val="24"/>
                <w:szCs w:val="24"/>
                <w:color w:val="auto"/>
                <w:vertAlign w:val="superscript"/>
              </w:rPr>
              <w:t>(9)</w:t>
            </w:r>
          </w:p>
        </w:tc>
        <w:tc>
          <w:tcPr>
            <w:tcW w:w="1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15,180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3,198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1,732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1,825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1,568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1,551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5,306</w:t>
            </w:r>
          </w:p>
        </w:tc>
      </w:tr>
      <w:tr>
        <w:trPr>
          <w:trHeight w:val="20"/>
        </w:trPr>
        <w:tc>
          <w:tcPr>
            <w:tcW w:w="4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3284220</wp:posOffset>
            </wp:positionH>
            <wp:positionV relativeFrom="paragraph">
              <wp:posOffset>-187960</wp:posOffset>
            </wp:positionV>
            <wp:extent cx="85725"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-187960</wp:posOffset>
            </wp:positionV>
            <wp:extent cx="85725"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-187960</wp:posOffset>
            </wp:positionV>
            <wp:extent cx="76835"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-187960</wp:posOffset>
            </wp:positionV>
            <wp:extent cx="76835" cy="188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-187960</wp:posOffset>
            </wp:positionV>
            <wp:extent cx="76835"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-187960</wp:posOffset>
            </wp:positionV>
            <wp:extent cx="76835"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188595"/>
                    </a:xfrm>
                    <a:prstGeom prst="rect">
                      <a:avLst/>
                    </a:prstGeom>
                    <a:noFill/>
                  </pic:spPr>
                </pic:pic>
              </a:graphicData>
            </a:graphic>
          </wp:anchor>
        </w:drawing>
      </w:r>
    </w:p>
    <w:p>
      <w:pPr>
        <w:spacing w:after="0" w:line="83" w:lineRule="exact"/>
        <w:rPr>
          <w:sz w:val="20"/>
          <w:szCs w:val="20"/>
          <w:color w:val="auto"/>
        </w:rPr>
      </w:pPr>
    </w:p>
    <w:p>
      <w:pPr>
        <w:ind w:left="760" w:right="20" w:hanging="752"/>
        <w:spacing w:after="0" w:line="260"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obligations include Notes Payable and Overdrafts, and excludes the impact of deferred financing fees, unamortized discounts, and a fair value step-up related to the Cooper Tire acquisition.</w:t>
      </w:r>
    </w:p>
    <w:p>
      <w:pPr>
        <w:spacing w:after="0" w:line="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lease payments for finance lease obligations are $759 million.</w:t>
      </w:r>
    </w:p>
    <w:p>
      <w:pPr>
        <w:spacing w:after="0" w:line="8" w:lineRule="exact"/>
        <w:rPr>
          <w:rFonts w:ascii="Times New Roman" w:cs="Times New Roman" w:eastAsia="Times New Roman" w:hAnsi="Times New Roman"/>
          <w:sz w:val="18"/>
          <w:szCs w:val="18"/>
          <w:color w:val="auto"/>
        </w:rPr>
      </w:pPr>
    </w:p>
    <w:p>
      <w:pPr>
        <w:jc w:val="both"/>
        <w:ind w:left="760" w:hanging="752"/>
        <w:spacing w:after="0" w:line="250"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future interest payments related to our existing debt obligations and finance leases based on fixed and variable interest rates specified in the associated debt and lease agreements. The amounts provided relate only to existing debt obligations and do not assume the refinancing or replacement of such debt or future changes in variable interest rates.</w:t>
      </w:r>
    </w:p>
    <w:p>
      <w:pPr>
        <w:jc w:val="both"/>
        <w:ind w:left="760" w:hanging="752"/>
        <w:spacing w:after="0" w:line="250"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obligations have not been reduced by minimum sublease rentals of $11 million, $9 million, $7 million, $4 million, $2 million and $3 million in each of the periods above, respectively, for a total of $36 million. Payments, net of minimum sublease rentals, total $1,292 million. The present value of the net operating lease payments, including sublease rentals, is $991 million. The operating leases relate to, among other things, real estate, vehicles, data processing equipment and miscellaneous other assets. No asset is leased from any related party.</w:t>
      </w:r>
    </w:p>
    <w:p>
      <w:pPr>
        <w:jc w:val="both"/>
        <w:ind w:left="760" w:hanging="752"/>
        <w:spacing w:after="0" w:line="255"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related to pension benefits is actuarially determined and is reflective of obligations as of December 31, 2022. Although subject to change, the amounts set forth in the table represent the mid-point of the range of our expected contributions for funded U.S. and non-U.S. pension plans, plus expected cash funding of direct participant payments to our U.S. and non-U.S. pension plans.</w:t>
      </w:r>
    </w:p>
    <w:p>
      <w:pPr>
        <w:spacing w:after="0" w:line="76" w:lineRule="exact"/>
        <w:rPr>
          <w:rFonts w:ascii="Times New Roman" w:cs="Times New Roman" w:eastAsia="Times New Roman" w:hAnsi="Times New Roman"/>
          <w:sz w:val="18"/>
          <w:szCs w:val="18"/>
          <w:color w:val="auto"/>
        </w:rPr>
      </w:pPr>
    </w:p>
    <w:p>
      <w:pPr>
        <w:jc w:val="both"/>
        <w:ind w:left="76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significant contributions to fully fund our U.S. pension plans in 2013 and 2014. We have no minimum funding requirements for our funded U.S. pension plans under current ERISA law or the provisions of our USW collective bargaining agreement, including a provision which requires us to maintain an annual ERISA funded status for the Goodyear hourly U.S. pension plan of at least 97%.</w:t>
      </w:r>
    </w:p>
    <w:p>
      <w:pPr>
        <w:spacing w:after="0" w:line="69" w:lineRule="exact"/>
        <w:rPr>
          <w:rFonts w:ascii="Times New Roman" w:cs="Times New Roman" w:eastAsia="Times New Roman" w:hAnsi="Times New Roman"/>
          <w:sz w:val="18"/>
          <w:szCs w:val="18"/>
          <w:color w:val="auto"/>
        </w:rPr>
      </w:pPr>
    </w:p>
    <w:p>
      <w:pPr>
        <w:jc w:val="both"/>
        <w:ind w:left="76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U.S. pension contributions will be affected by our ability to offset changes in future interest rates with returns from our asset portfolios and any changes to ERISA law. For further information on the U.S. pension investment strategy, refer to Note to the Consolidated Financial Statements No. 18, Pension, Other Postretirement Benefits and Savings Plans.</w:t>
      </w:r>
    </w:p>
    <w:p>
      <w:pPr>
        <w:spacing w:after="0" w:line="69"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non-U.S. contributions are affected by factors such as:</w:t>
      </w:r>
    </w:p>
    <w:p>
      <w:pPr>
        <w:spacing w:after="0" w:line="116"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interest rate levels,</w:t>
      </w:r>
    </w:p>
    <w:p>
      <w:pPr>
        <w:spacing w:after="0" w:line="116"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asset returns, and</w:t>
      </w:r>
    </w:p>
    <w:p>
      <w:pPr>
        <w:spacing w:after="0" w:line="116"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contributions in excess of the minimum requirements could impact the amount and timing of future contributions.</w:t>
      </w:r>
    </w:p>
    <w:p>
      <w:pPr>
        <w:spacing w:after="0" w:line="116" w:lineRule="exact"/>
        <w:rPr>
          <w:rFonts w:ascii="Times New Roman" w:cs="Times New Roman" w:eastAsia="Times New Roman" w:hAnsi="Times New Roman"/>
          <w:sz w:val="18"/>
          <w:szCs w:val="18"/>
          <w:color w:val="auto"/>
        </w:rPr>
      </w:pPr>
    </w:p>
    <w:p>
      <w:pPr>
        <w:jc w:val="both"/>
        <w:ind w:left="760" w:hanging="752"/>
        <w:spacing w:after="0" w:line="257"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payments presented above are expected payments for the next 10 years. The payments for other postretirement benefits reflect the estimated benefit payments of the plans using the provisions currently in effect. Under the relevant summary plan descriptions or plan documents, we have the right to modify or terminate the plans. The obligation related to other postretirement benefits is actuarially determined on an annual basis.</w:t>
      </w:r>
    </w:p>
    <w:p>
      <w:pPr>
        <w:ind w:left="760" w:hanging="752"/>
        <w:spacing w:after="0" w:line="250"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payments for workers’ compensation obligations are based upon recent historical payment patterns on claims. The present value of anticipated claims payments for workers’ compensation is $187 million.</w:t>
      </w:r>
    </w:p>
    <w:p>
      <w:pPr>
        <w:jc w:val="both"/>
        <w:ind w:left="760" w:hanging="752"/>
        <w:spacing w:after="0" w:line="255"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Binding commitments are for raw materials, capital expenditures, utilities, and various other types of contracts. The obligations to purchase raw materials include supply contracts at both fixed and variable prices. Those with variable prices are based on index rates for those commodities at December 31, 2022.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19" w:lineRule="exact"/>
        <w:rPr>
          <w:sz w:val="20"/>
          <w:szCs w:val="20"/>
          <w:color w:val="auto"/>
        </w:rPr>
      </w:pPr>
    </w:p>
    <w:p>
      <w:pPr>
        <w:ind w:left="760" w:hanging="752"/>
        <w:spacing w:after="0" w:line="281"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primarily represent expected payments with interest for uncertain income tax positions as of December 31, 2022. We have reflected them in the period in which we believe they will be ultimately settled based upon our experience with these matters.</w:t>
      </w:r>
    </w:p>
    <w:p>
      <w:pPr>
        <w:spacing w:after="0" w:line="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Additional other long term liabilities include items such as general and product liabilities, environmental liabilities and miscellaneous other long term liabilities. These other liabilities are not contractual obligations by nature. We cannot, with any degree of reliability, determine the years in which these liabilities might ultimately be settled. Accordingly, these other long term liabilities are not included in the above table.</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pursuant to certain long term agreements, we will purchase varying amounts of certain raw materials and finished goods at agreed upon base prices that may be subject to periodic adjustments for changes in raw material costs and market price adjustments, or in quantities that may be subject to periodic adjustments for changes in our or our suppliers' production levels. These contingent contractual obligations, the amounts of which cannot be estimated, are not included in the table above.</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do not engage in the trading of commodity contracts or any related derivative contracts. We generally purchase raw materials and energy through short term, intermediate and long term supply contracts at fixed prices or at formula prices related to market prices or negotiated prices. We may, however, from time to time, enter into contracts to hedge our energy costs.</w:t>
      </w:r>
    </w:p>
    <w:p>
      <w:pPr>
        <w:spacing w:after="0" w:line="6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We have an agreement to provide a revolving loan commitment to TireHub, LLC of up to $100 million. At December 31, 2022, $17 million was drawn on this commitment.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An off-balance sheet arrangement is any transaction, agreement or other contractual arrangement involving an unconsolidated entity under which a company has:</w:t>
      </w:r>
    </w:p>
    <w:p>
      <w:pPr>
        <w:spacing w:after="0" w:line="55"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guarantees,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retained or held a contingent interest in transferred assets,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undertaken an obligation under certain derivative instruments, or</w:t>
      </w:r>
    </w:p>
    <w:p>
      <w:pPr>
        <w:spacing w:after="0" w:line="116" w:lineRule="exact"/>
        <w:rPr>
          <w:rFonts w:ascii="Times New Roman" w:cs="Times New Roman" w:eastAsia="Times New Roman" w:hAnsi="Times New Roman"/>
          <w:sz w:val="18"/>
          <w:szCs w:val="18"/>
          <w:color w:val="auto"/>
        </w:rPr>
      </w:pPr>
    </w:p>
    <w:p>
      <w:pPr>
        <w:ind w:left="760" w:right="20" w:hanging="378"/>
        <w:spacing w:after="0" w:line="281"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undertaken any obligation arising out of a material variable interest in an unconsolidated entity that provides financing, liquidity, market risk or credit risk support to the company, or that engages in leasing, hedging or research and development arrangements with the company.</w:t>
      </w:r>
    </w:p>
    <w:p>
      <w:pPr>
        <w:spacing w:after="0" w:line="5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We have entered into certain arrangements under which we have provided guarantees that are off-balance sheet arrangements. Those guarantees totaled $32 million at December 31, 2022. For further information about our guarantees, refer to Note to the Consolidated Financial Statements No. 20, Commitments and Contingent Liabilities.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amounts reported in the consolidated financial statements and related notes to the financial statements. On an ongoing basis, management reviews its estimates, based on currently available information. Changes in facts and circumstances may alter such estimates and affect our results of operations and financial position in future periods. Our critical accounting policies relate to:</w:t>
      </w:r>
    </w:p>
    <w:p>
      <w:pPr>
        <w:spacing w:after="0" w:line="74"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product liability and other litigation,</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workers’ compensation,</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intangible assets,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 valuation allowances and uncertain income tax positions, and</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pensions and other postretirement benefits.</w:t>
      </w:r>
    </w:p>
    <w:p>
      <w:pPr>
        <w:spacing w:after="0" w:line="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We allocate the cost of an acquired business to the assets acquired and liabilities assumed based on their estimated fair values at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The excess value of the purchase price for an acquired business over the estimated fair value of the assets acquired and liabilities assumed is recognized as goodwill. The valuation of the acquired assets and liabilities will impact the determination of future operating results. We use a variety of information sources to determine the fair value of acquired assets and liabilities including: third-party appraisers for the values and lives of property, identifiable intangibles and inventories; and actuaries and other third-party specialists for defined benefit pension plans, workers' compensation and general and product liabilities. Goodwill is assigned to reporting units as of the date of the related acquisition. If goodwill is assigned to more than one reporting unit, we utilize a method that is consistent with the manner in which the amount of goodwill in a business combination is determined. Transaction costs related to the acquisition of a business are expensed as incurred.</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estimate the fair value of acquired customer relationships using the multi-period excess earnings method. Fair value is estimated as the present value of the benefits anticipated from ownership of the asset, in excess of the returns required on the investment in contributory assets which are necessary to realize those benefits. The intangible asset’s operating margins are determined as the residual earnings after quantifying operating margins from contributory assets. Assumptions used in these calculations are considered from a market participant perspective and include revenue growth rates, operating margins, contributory asset charges, customer attrition rates and discount rates.</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estimate the fair value of trade names (definite and indefinite) using the relief from royalty method, which calculates the cost savings associated with owning rather than licensing the assets. Assumed royalty rates are applied to projected revenue for the remaining useful lives of the assets to estimate the royalty savings. Assumptions used in the determination of the fair value of a trade name include revenue growth rates, including a terminal growth rate, the royalty rate and the discount rate.</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While we use our best estimates and assumptions, fair value estimates are inherently uncertain and subject to refinement. As a result, during the measurement period, which may be up to one year from the acquisition date, we may record adjustments to the assets acquired and liabilities assumed, with the corresponding offset to goodwill. Any adjustments required after the measurement period are recorded in the consolidated statement of operations.</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Future changes in the judgments, assumptions and estimates that are used in our acquisition valuations and intangible asset and goodwill impairment testing, including discount rates or future operating results and related cash flow projections, could result in significantly different estimates of the fair values in the future. An increase in discount rates, a reduction in projected cash flows or a combination of the two could lead to a reduction in the estimated fair values, which may result in impairment charges that could materially affect our financial statements in any given year.</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General and Product Liability and Other Litigation. </w:t>
      </w:r>
      <w:r>
        <w:rPr>
          <w:rFonts w:ascii="Times New Roman" w:cs="Times New Roman" w:eastAsia="Times New Roman" w:hAnsi="Times New Roman"/>
          <w:sz w:val="18"/>
          <w:szCs w:val="18"/>
          <w:color w:val="auto"/>
        </w:rPr>
        <w:t>We have recorded liabilities for both asserted and unasserted claims totaling $412 million,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legal fees expected to be incurred, for potential product liability and other tort claims, including asbestos claims, at December 31, 2022. General and product liability and other litigation liabilities are recorded based on management’s assessment that a loss arising from these matters is probable. If the loss can be reasonably estimated, we record the amount of the estimated loss. If the loss is estimated within a range and no point within the range is more probable than another, we record the minimum amount in the range. As additional information becomes available, any potential liability related to these matters is assessed and the estimates are revised, if necessary. Loss ranges are based upon the specific facts of each claim or class of claims and are determined after review by counsel. Court rulings on our cases or similar cases may impact our assessment of the probability and our estimate of the loss, which may have an impact on our reported results of operations, financial position and liquidity. We record receivables for insurance recoveries related to our litigation claims when it is probable that we will receive reimbursement from the insurer. Specifically, we are a defendant in numerous lawsuits alleging various asbestos-related personal injuries purported to result from alleged exposure to asbestos in certain products previously manufactured by us or present in certain of our facilities. Typically, these lawsuits have been brought against multiple defendants in federal and state courts.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periodically, and at least annually, update, using actuarial analyses, our existing reserves for pending claims, including a reasonable estimate of the liability associated with unasserted asbestos claims, and estimate our receivables from probable insurance recoveries. In determining the estimate of our asbestos liability, we evaluated claims over the next ten-year period. Due to the difficulties in making these estimates, analysis based on new data and/or changed circumstances arising in the future may result in an increase in the recorded obligation, and that increase may be significant. We had recorded gross liabilities for both asserted and unasserted asbestos claims, inclusive of defense costs, totaling $125 million at December 31, 2022.</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maintain certain primary and excess insurance coverage under coverage-in-place agreements, and also have additional excess liability insurance with respect to asbestos liabilities. We record a receivable with respect to such policies when we determine that recovery is probable and we can reasonably estimate the amount of a particular recovery. This determination is based on consultation with our outside legal counsel and takes into consideration agreements with certain of our insurance carriers, the financial viability and legal obligations of our insurance carriers, and other relevant factors.</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2022, we recorded a receivable related to asbestos claims of $70 million, and we expect that approximately 55% of asbestos claim related losses would be recoverable through insurance through the period covered by the estimated liability. Of this amount, $11 million was included in Current Assets as part of Accounts Receivable at December 31, 2022. The recorded receivable consists of an amount we expect to collect under coverage-in-place agreements with certain primary and excess insurance carriers as well as an amount we believe is probable of recovery from certain of our other excess insurance carriers. Although we believe these amounts are collectible under primary and certain excess policies today, future disputes with insurers could result in significant charges to operations.</w:t>
      </w:r>
    </w:p>
    <w:p>
      <w:pPr>
        <w:spacing w:after="0" w:line="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Workers’ Compensation. </w:t>
      </w:r>
      <w:r>
        <w:rPr>
          <w:rFonts w:ascii="Times New Roman" w:cs="Times New Roman" w:eastAsia="Times New Roman" w:hAnsi="Times New Roman"/>
          <w:sz w:val="18"/>
          <w:szCs w:val="18"/>
          <w:color w:val="auto"/>
        </w:rPr>
        <w:t>We have recorded liabilities, on a discounted basis, of $187 million for anticipated costs related to U.S. workers’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claims at December 31, 2022. The costs include an estimate of expected settlements on pending claims, defense costs and a provision for claims incurred but not reported. These estimates are based on our assessment of potential liability using an analysis of available information with respect to pending claims, historical experience and current cost trends. The amount of our ultimate liability in respect of these matters may differ from these estimates. We periodically, and at least annually, update our loss development factors based on actuarial analyses. The liability is discounted using the risk-free rate of return.</w:t>
      </w:r>
    </w:p>
    <w:p>
      <w:pPr>
        <w:spacing w:after="0" w:line="8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For further information on general and product liability and other litigation, and workers’ compensation, refer to Note to the Consolidated Financial Statements No. 20, Commitments and Contingent Liabilities.</w:t>
      </w:r>
    </w:p>
    <w:p>
      <w:pPr>
        <w:spacing w:after="0" w:line="5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Goodwill and Intangible Assets. </w:t>
      </w:r>
      <w:r>
        <w:rPr>
          <w:rFonts w:ascii="Times New Roman" w:cs="Times New Roman" w:eastAsia="Times New Roman" w:hAnsi="Times New Roman"/>
          <w:sz w:val="18"/>
          <w:szCs w:val="18"/>
          <w:color w:val="auto"/>
        </w:rPr>
        <w:t>Goodwill and indefinite-lived intangible assets are tested for impairment annually or more frequently if an indicator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is present. Intangible assets subject to amortization are tested only if a triggering event would require evaluation. Goodwill and Intangible Assets totaled $1,014 million and $1,004 million, respectively, at December 31, 2022.</w:t>
      </w:r>
    </w:p>
    <w:p>
      <w:pPr>
        <w:spacing w:after="0" w:line="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test goodwill and indefinite-lived intangible assets for impairment on at least an annual basis, with the option to perform a qualitative assessment to determine whether further impairment testing is necessary or to perform a quantitative assessment by comparing the fair value of a reporting unit or intangible asset to its carrying amount. Under the qualitative assessment, an entity is not required to calculate the fair value of a reporting unit or intangible asset unless the entity determines that it is more likely than not (defined as a likelihood of more than 50%) that its fair value is less than its carrying amount. If under the quantitative assessment the fair value of a reporting unit or intangible asset is less than its carrying amount, then an impairment loss will be recorded for the difference between the carrying value and the fair value.</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At October 31, 2022, after considering the results of our most recent quantitative annual testing for each reporting unit and indefinite-lived intangible asset, results of valuations related to the acquisition of Cooper Tire, the capital markets environment, macroeconomic conditions, tire industry competition and trends, our results of operations, and other factors, we concluded that it was not more likely than not that the fair values of our reporting units or indefinite-lived intangible assets were less than their respective carrying values and, therefore, did not perform a quantitative analysis.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Deferred Tax Asset Valuation Allowances and Uncertain Income Tax Positions. </w:t>
      </w:r>
      <w:r>
        <w:rPr>
          <w:rFonts w:ascii="Times New Roman" w:cs="Times New Roman" w:eastAsia="Times New Roman" w:hAnsi="Times New Roman"/>
          <w:sz w:val="18"/>
          <w:szCs w:val="18"/>
          <w:color w:val="auto"/>
        </w:rPr>
        <w:t>On August 16, 2022, the Inflation Reduction Act (the "Act") was signed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law in the U.S. The Act includes a new 15% corporate alternative minimum tax ("CAMT"). This CAMT applies to tax years beginning after December 31, 2022 for companies with average annual adjusted financial statement income over the previous three years in excess of $1 billion. For 2023, we do not anticipate this CAMT will apply to us due to the significant pandemic-driven losses we incurred in 2020. As allowed, we elected to not consider the estimated impact of potential future CAMT obligations for purposes of assessing valuation allowances on our deferred tax assets.</w:t>
      </w:r>
    </w:p>
    <w:p>
      <w:pPr>
        <w:spacing w:after="0" w:line="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At both December 31, 2022 and December 31, 2021, our valuation allowances on certain of our U.S. federal, state and local net deferred tax assets totaled $26 million and our valuation allowances on our foreign net deferred tax assets totaled $1.0 billion.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record a reduction to the carrying amounts of deferred tax assets by recording a valuation allowance if, based on the available evidence, it is more likely than not such assets will not be realized. The valuation of deferred tax assets requires judgment in assessing future profitability by year, including the impact of tax planning strategies, relative to the expiration dates, if any, of the assets.</w:t>
      </w:r>
    </w:p>
    <w:p>
      <w:pPr>
        <w:spacing w:after="0" w:line="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consider both positive and negative evidence when measuring the need for a valuation allowance. The weight given to the evidence is commensurate with the extent to which it may be objectively verified. Current and cumulative financial reporting results are a source of objectively verifiable evidence. We give operating results during the most recent three-year period a significant weight in our analysis. We typically only consider forecasts of future profitability when positive cumulative operating results exist in the most recent three-year period. We perform scheduling exercises to determine if sufficient taxable income of the appropriate character exists in the periods required in order to realize our deferred tax assets with limited lives (such as tax loss carryforwards and tax credits) prior to their expiration. We also consider prudent tax planning strategies (including an assessment of their feasibility) to accelerate taxable income if required to utilize expiring deferred tax assets. A valuation allowance is not required to the extent that, in our judgment, positive evidence exists with a magnitude and duration sufficient to result in a conclusion that it is more likely than not that our deferred tax assets will be realized.</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31, 2022 and December 31, 2021, we had approximately $1.1 billion and $1.2 billion of U.S. federal, state and local net deferred tax assets, respectively, inclusive of valuation allowances totaling $26 million in each year primarily for state tax loss carryforwards with limited lives. Approximately $700 million of these U.S. net deferred tax assets have unlimited lives and approximately $400 million have limited lives and expire between 2023 and 2042. In the U.S., we have a cumulative loss for the three-year period ended December 31, 2022. However, as the three-year cumulative loss in the U.S. is driven by business disruptions created by the COVID-19 pandemic, primarily in 2020, and only includes the favorable impact of the Cooper Tire acquisition since the Closing Date, we also considered other objectively verifiable information in assessing our ability to utilize our net deferred tax assets, including continued favorable overall volume trends in the tire industry and our tire volume compared to 2020 levels. In addition, the Cooper Tire acquisition has generated significant incremental domestic earnings since the Closing Date and provides opportunities for cost and other operating synergies to further improve our U.S. profitability.</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31, 2022 and December 31, 2021, our U.S. net deferred tax assets described above include approximately $230 million and $340 million, respectively, of foreign tax credits with limited lives. Our earnings and forecasts of future profitability, taking into consideration recent trends, along with three significant sources of foreign income, provide us sufficient positive evidence that we will be able to utilize these net foreign tax credits which expire through 2032. Our sources of foreign income are (1) 100% of our domestic profitability can be re-characterized as foreign source income under current U.S. tax law to the extent domestic losses have offset foreign source income in prior years, (2) annual net foreign source income, exclusive of dividends, primarily from royalties, and (3) tax planning strategies, including accelerating income on cross border transactions, including sales of inventory or raw materials to our subsidiaries, reducing U.S. interest expense by, for example, reducing intercompany loans through repatriating current year earnings of foreign subsidiaries, and other financing transactions, all of which would increase our domestic profitability.</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consider our current forecasts of future profitability in assessing our ability to realize our deferred tax assets, including our foreign tax credits. These forecasts include the impact of recent trends, including various macroeconomic factors such as the impact of higher raw material, transportation, labor and energy costs, on our profitability, as well as the impact of tax planning strategies. These macroeconomic factors possess a high degree of volatility and can significantly impact our profitability. As such, there is a risk that future earnings will not be sufficient to fully utilize our U.S. net deferred tax assets, including our foreign tax credits. However, we believe our forecasts of future profitability along with the three significant sources of foreign income described above provide us sufficient positive, objectively verifiable evidence to conclude that it is more likely than not that, at December 31, 2022, our U.S. net deferred tax assets, including our foreign tax credits, will be fully utilized.</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2022 and December 31, 2021, we also had approximately $1.2 billion and $1.3 billion of foreign net deferred tax assets, respectively, and related valuation allowances of approximately $1.0 billion in each year.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$873 million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having a significant impact on our financial position or results of operations will exist within the next twelve months.</w:t>
      </w:r>
    </w:p>
    <w:p>
      <w:pPr>
        <w:spacing w:after="0" w:line="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recognize the effects of changes in tax rates and laws on deferred tax balances in the period in which legislation is enacted. We remeasure existing deferred tax assets and liabilities considering the tax rates at which they will be realized. We also consider the effects of enacted tax laws in our analysis of the need for valuation allowances.</w:t>
      </w:r>
    </w:p>
    <w:p>
      <w:pPr>
        <w:spacing w:after="0" w:line="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calculation of our tax liabilities involves dealing with uncertainties in the application of complex tax regulations, including those for transfer pricing. We recognize liabilities for anticipated tax audit issues based on our estimate of whether, and the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2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extent to which, additional taxes will be due. If we ultimately determine that payment of these amounts is unnecessary, we reverse the liability and recognize a tax benefit during the period in which we determine that the liability is no longer necessary. We also recognize income tax benefits to the extent that it is more likely than not that our positions will be sustained when challenged by the taxing authorities. We derecognize income tax benefits when, based on new information, we determine that it is no longer more likely than not that our position will be sustained. To the extent we prevail in matters for which liabilities have been established, or determine we need to derecognize tax benefits recorded in prior periods, our results of operations and effective tax rate in a given period could be materially affected. An unfavorable tax settlement would require use of our cash, and lead to recognition of expense to the extent the settlement amount exceeds recorded liabilities, resulting in an increase in our effective tax rate in the period of resolution. To reduce our risk of an unfavorable transfer price settlement, the Company applies consistent transfer pricing policies and practices globally, supports pricing with economic studies and seeks advance pricing agreements and joint audits to the extent possible. A favorable tax settlement would be recognized as a reduction of expense to the extent the settlement amount is lower than recorded liabilities and, in the case of an income tax settlement, would result in a reduction in our effective tax rate in the period of resolution. We report interest and penalties related to uncertain income tax positions as income tax expense.</w:t>
      </w:r>
    </w:p>
    <w:p>
      <w:pPr>
        <w:spacing w:after="0" w:line="7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For additional information regarding uncertain income tax positions and tax valuation allowances, refer to Note to the Consolidated Financial Statements No. 7, Income Taxes.</w:t>
      </w:r>
    </w:p>
    <w:p>
      <w:pPr>
        <w:spacing w:after="0" w:line="5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Pensions and Other Postretirement Benefits. </w:t>
      </w:r>
      <w:r>
        <w:rPr>
          <w:rFonts w:ascii="Times New Roman" w:cs="Times New Roman" w:eastAsia="Times New Roman" w:hAnsi="Times New Roman"/>
          <w:sz w:val="18"/>
          <w:szCs w:val="18"/>
          <w:color w:val="auto"/>
        </w:rPr>
        <w:t>We have recorded liabilities for pension and other postretirement benefits of $94 million and $292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at December 31, 2022. Our recorded liabilities and net periodic costs for pensions and other postretirement benefits are based on a number of assumptions, including:</w:t>
      </w:r>
    </w:p>
    <w:p>
      <w:pPr>
        <w:spacing w:after="0" w:line="66"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expectancies,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rates,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term rates of return on plan assets,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rates,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health care costs,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company-covered benefit costs.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of these assumptions are determined with the assistance of independent actuaries. Assumptions about life expectancies, retirement rates, future compensation levels and future health care costs are based on past experience and anticipated future trends. The discount rate for our U.S. plans is based on a yield curve derived from a portfolio of corporate bonds from issuers rated AA or higher by established rating agencies as of December 31 and is reviewed annually. Our expected benefit payment cash flows are discounted based on spot rates developed from the yield curve. The mortality assumption for our U.S. plans is based on actual historical experience or published actuarial tables, an assumed long term rate of future improvement based on published actuarial tables, and current government regulations related to lump sum payment factors. The long term rate of return on U.S. plan assets is based on estimates of future long term rates of return similar to the target allocation of substantially all fixed income securities. Actual U.S. pension fund asset allocations are reviewed on a monthly basis and the pension fund is rebalanced to target ranges on an as-needed basis. These assumptions are reviewed regularly and revised when appropriate. Changes in one or more of them may affect the amount of our recorded liabilities and net periodic costs for these benefits. Other assumptions involving demographic factors such as retirement age and turnover are evaluated periodically and are updated to reflect our experience and expectations for the future. If actual experience differs from expectations, our financial position, results of operations and liquidity in future periods may be affected.</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weighted average discount rate used in estimating the total liability for our U.S. pension and other postretirement benefit plans was 5.45% and 5.51%, respectively, at December 31, 2022, compared to 2.82% and 2.87%, respectively, at December 31, 2021. The increase in the discount rate at December 31, 2022 was due primarily to higher yields on highly rated corporate bonds. Interest cost included in our U.S. net periodic pension cost was $133 million in 2022, compared to $94 million in 2021 and $126 million in 2020. Interest cost included in our worldwide net periodic other postretirement benefits cost was $12 million in 2022, compared to $9 million in 2021 and $8 million in 2020.</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sensitivity of our U.S. projected pension benefit obligation and accumulated other postretirement benefits obligation to the indicated increase/decrease in the discount rate: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 / − Change at December 31, 2022</w:t>
            </w:r>
          </w:p>
        </w:tc>
      </w:tr>
      <w:tr>
        <w:trPr>
          <w:trHeight w:val="169"/>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4"/>
                <w:szCs w:val="14"/>
                <w:color w:val="auto"/>
              </w:rPr>
            </w:pPr>
          </w:p>
        </w:tc>
        <w:tc>
          <w:tcPr>
            <w:tcW w:w="12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PBO/ABO</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Annual Expense</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Assumption:</w:t>
            </w:r>
          </w:p>
        </w:tc>
        <w:tc>
          <w:tcPr>
            <w:tcW w:w="142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r>
      <w:tr>
        <w:trPr>
          <w:trHeight w:val="24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Pensions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+/- 0.5%</w:t>
            </w:r>
          </w:p>
        </w:tc>
        <w:tc>
          <w:tcPr>
            <w:tcW w:w="1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155</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Postretirement Benefits</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+/- 0.5%</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w:t>
            </w:r>
          </w:p>
        </w:tc>
      </w:tr>
    </w:tbl>
    <w:p>
      <w:pPr>
        <w:spacing w:after="0" w:line="1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Changes in general interest rates and corporate (AA or better) credit spreads impact our discount rate and thereby our U.S. pension benefit obligation. Our U.S. pension plans are invested in a portfolio of substantially all fixed income securities designed to offset the impact of future discount rate movements on liabilities for these plans. If corporate (AA or better) interest rates increase or decrease in parallel (i.e., across all maturities), the investment portfolio described above is designed to mitigate a substantial portion of the expected change in our U.S. pension benefit obligation. For example, if corporate (AA or better) interest rates increased or decreased by 0.5%, the investment portfolio described above would be expected to mitigate approximately 85% of the expected change in our U.S. pension benefit obligation.</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31, 2022, our net actuarial loss included in Accumulated Other Comprehensive Loss ("AOCL") related to global pension plans was $2,271 million, $1,836 million of which related to our U.S. pension plans. The net actuarial loss included in AOCL related to our U.S. pension plans continues to decrease and is primarily due to declines in U.S. discount rates and plan asset losses that occurred prior to the funding and investment de-risking actions we undertook in 2013 and 2014, which were designed to mitigate further actuarial losses of a similar nature. For purposes of determining our 2022 U.S. pension total benefits cost, we recognized $225 million of the net actuarial losses in 2022. We will recognize approximately $100 million of net actuarial losses in 2023 U.S. net periodic pension cost. If our future experience is consistent with our assumptions as of December 31, 2022, actuarial loss recognition over the next few years will remain at an amount near that to be recognized in 2023 before it begins to gradually decline. In addition, if annual lump sum payments from a pension plan exceed annual service and interest cost for that plan, accelerated recognition of net actuarial losses will be required through a settlement in total benefits cost.</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actual rate of return on our U.S. pension fund was (17.00%), 1.80% and 13.20% in 2022, 2021 and 2020, respectively, as compared to the expected rate of 4.23%, 3.74% and 4.22% in 2022, 2021 and 2020, respectively. We use the fair value of our pension assets in the calculation of pension expense for all of our U.S. pension plans.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amortization period for our U.S. pension plans is approximately 16 years.</w:t>
      </w:r>
    </w:p>
    <w:p>
      <w:pPr>
        <w:spacing w:after="0" w:line="1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Service cost of pension plans was recorded in CGS, as part of the cost of inventory sold during the period, or SAG in our Consolidated Statements of Operations, based on the specific roles (i.e., manufacturing vs. non-manufacturing) of employee groups covered by each of our pension plans. In 2022, 2021 and 2020, the amount of service cost included in CGS and SAG is approximately equal. Non-service related net periodic pension costs were recorded in Other (Income) Expense.</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Globally, we expect our 2023 net periodic pension cost to be $120 million to $140 million, including approximately $30 million of service cost, compared to $73 million in 2022, which included $37 million of service cost. The increase in expected net periodic pension cost is primarily due to higher interest cost from increases in interest rates.</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net actuarial gain of $96 million included in AOCL for our worldwide other postretirement benefit plans as of December 31, 2022 is a result of recent increases in discount rates. For purposes of determining 2022 worldwide net periodic other postretirement benefits cost, we recognized $2 million of net actuarial losses in 2022. We will recognize approximately $10 million of net actuarial gains in 2023. If our future experience is consistent with our assumptions as of December 31, 2022, actuarial gain recognition over the next few years will remain at an amount near that to be recognized in 2023.</w:t>
      </w:r>
    </w:p>
    <w:p>
      <w:pPr>
        <w:spacing w:after="0" w:line="7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For further information on pensions and other postretirement benefits, refer to Note to the Consolidated Financial Statements No. 18, Pension, Other Postretirement Benefits and Savings Plans.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 — SAFE HARBOR STATEMENT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information in this Annual Report on Form 10-K (other than historical data and information) may constitute forward-looking statements regarding events and trends that may affect our future operating results and financial position. The words “estimate,” “expect,” “intend” and “project,” as well as other words or expressions of similar meaning, are intended to identify forward-looking statements. You are cautioned not to place undue reliance on forward-looking statements, which speak only as of the date of this Annual Report on Form 10-K. Such statements are based on current expectations and assumptions, are inherently uncertain, are subject to risks and should be viewed with caution. Actual results and experience may differ materially from the forward-looking statements as a result of many factors, including:</w:t>
      </w:r>
    </w:p>
    <w:p>
      <w:pPr>
        <w:spacing w:after="0" w:line="78"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prolonged economic downturn or economic uncertainty could adversely impact our business and results of operations;</w:t>
      </w:r>
    </w:p>
    <w:p>
      <w:pPr>
        <w:spacing w:after="0" w:line="116"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risks and uncertainties regarding our acquisition of Cooper Tire and our ability to achieve the remaining expected benefits of that acquisition;</w:t>
      </w:r>
    </w:p>
    <w:p>
      <w:pPr>
        <w:spacing w:after="0" w:line="54"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of operations, financial condition and liquidity may continue to be adversely impacted by the COVID-19 pandemic, and that impact may be material;</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 cost increases may materially adversely affect our operating results and financial condition;</w:t>
      </w:r>
    </w:p>
    <w:p>
      <w:pPr>
        <w:spacing w:after="0" w:line="116" w:lineRule="exact"/>
        <w:rPr>
          <w:rFonts w:ascii="Times New Roman" w:cs="Times New Roman" w:eastAsia="Times New Roman" w:hAnsi="Times New Roman"/>
          <w:sz w:val="18"/>
          <w:szCs w:val="18"/>
          <w:color w:val="auto"/>
        </w:rPr>
      </w:pPr>
    </w:p>
    <w:p>
      <w:pPr>
        <w:ind w:left="760" w:right="20" w:hanging="378"/>
        <w:spacing w:after="0" w:line="28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experiencing inflationary cost pressures, including with respect to wages, benefits, transportation and energy costs, that may materially adversely affect our operating results and financial condition;</w:t>
      </w:r>
    </w:p>
    <w:p>
      <w:pPr>
        <w:spacing w:after="0" w:line="54" w:lineRule="exact"/>
        <w:rPr>
          <w:rFonts w:ascii="Times New Roman" w:cs="Times New Roman" w:eastAsia="Times New Roman" w:hAnsi="Times New Roman"/>
          <w:sz w:val="18"/>
          <w:szCs w:val="18"/>
          <w:color w:val="auto"/>
        </w:rPr>
      </w:pPr>
    </w:p>
    <w:p>
      <w:pPr>
        <w:ind w:left="760" w:right="20" w:hanging="378"/>
        <w:spacing w:after="0" w:line="28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our supply chain or in the provision of services, including utilities, to us could result in increased costs or disruptions in our operations;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tariffs, trade agreements or trade restrictions may materially adversely affect our operating results;</w:t>
      </w:r>
    </w:p>
    <w:p>
      <w:pPr>
        <w:spacing w:after="0" w:line="116" w:lineRule="exact"/>
        <w:rPr>
          <w:rFonts w:ascii="Times New Roman" w:cs="Times New Roman" w:eastAsia="Times New Roman" w:hAnsi="Times New Roman"/>
          <w:sz w:val="18"/>
          <w:szCs w:val="18"/>
          <w:color w:val="auto"/>
        </w:rPr>
      </w:pPr>
    </w:p>
    <w:p>
      <w:pPr>
        <w:ind w:left="760" w:right="20" w:hanging="378"/>
        <w:spacing w:after="0" w:line="28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implement our strategic initiatives, our operating results, financial condition and liquidity may be materially adversely affected;</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global competition and our market share could decline;</w:t>
      </w:r>
    </w:p>
    <w:p>
      <w:pPr>
        <w:spacing w:after="0" w:line="116"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deteriorating economic conditions in any of our major markets, or an inability to access capital markets or third-party financing when necessary, may materially adversely affect our operating results, financial condition and liquidity;</w:t>
      </w:r>
    </w:p>
    <w:p>
      <w:pPr>
        <w:spacing w:after="0" w:line="54"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a labor strike, work stoppage, labor shortage or other similar event at the Company or its joint ventures, our business, results of operations, financial condition and liquidity could be materially adversely affected;</w:t>
      </w:r>
    </w:p>
    <w:p>
      <w:pPr>
        <w:spacing w:after="0" w:line="54" w:lineRule="exact"/>
        <w:rPr>
          <w:rFonts w:ascii="Times New Roman" w:cs="Times New Roman" w:eastAsia="Times New Roman" w:hAnsi="Times New Roman"/>
          <w:sz w:val="18"/>
          <w:szCs w:val="18"/>
          <w:color w:val="auto"/>
        </w:rPr>
      </w:pPr>
    </w:p>
    <w:p>
      <w:pPr>
        <w:ind w:left="760" w:right="20" w:hanging="378"/>
        <w:spacing w:after="0" w:line="28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work stoppages, labor shortages, supply disruptions or economic conditions affecting our major OE customers, dealers or suppliers could harm our business;</w:t>
      </w:r>
    </w:p>
    <w:p>
      <w:pPr>
        <w:spacing w:after="0" w:line="54"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expenditures may not be adequate to maintain our competitive position and may not be implemented in a timely or cost-effective manner;</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have certain risks that may materially adversely affect our operating results, financial condition and liquidity;</w:t>
      </w:r>
    </w:p>
    <w:p>
      <w:pPr>
        <w:spacing w:after="0" w:line="116"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foreign currency translation and transaction risks that may materially adversely affect our operating results, financial condition and liquidity;</w:t>
      </w:r>
    </w:p>
    <w:p>
      <w:pPr>
        <w:spacing w:after="0" w:line="54"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ability to meet our obligations, to repay maturing indebtedness or to implement strategic initiatives may be dependent on our ability to access capital markets in the future and to improve our operating results;</w:t>
      </w:r>
    </w:p>
    <w:p>
      <w:pPr>
        <w:spacing w:after="0" w:line="54"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substantial amount of debt, which could restrict our growth, place us at a competitive disadvantage or otherwise materially adversely affect our financial health;</w:t>
      </w:r>
    </w:p>
    <w:p>
      <w:pPr>
        <w:spacing w:after="0" w:line="54"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be in compliance with any material provision or covenant of our debt instruments, or a material reduction in the borrowing base under our first lien revolving credit facility, could have a material adverse effect on our liquidity and operations;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variable rate indebtedness subjects us to interest rate risk, which could cause our debt service obligations to increase significantly;</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fixed costs and, as a result, our operating income fluctuates disproportionately with changes in our net sales;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27"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significant costs in connection with our contingent liabilities and tax matters;</w:t>
      </w:r>
    </w:p>
    <w:p>
      <w:pPr>
        <w:spacing w:after="0" w:line="116"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reserves for contingent liabilities and our recorded insurance assets are subject to various uncertainties, the outcome of which may result in our actual costs being significantly higher than the amounts recorded;</w:t>
      </w:r>
    </w:p>
    <w:p>
      <w:pPr>
        <w:spacing w:after="0" w:line="54"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issues, including climate change, or legal, regulatory or market measures to address environmental issues, may negatively affect our business and operations and cause us to incur significant costs;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government regulations that may materially adversely affect our operating results;</w:t>
      </w:r>
    </w:p>
    <w:p>
      <w:pPr>
        <w:spacing w:after="0" w:line="116"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any disruption in, or failure of, our information technology systems due to computer viruses, unauthorized access, cyber-attack, natural disasters or other similar disruptions;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adequately;</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key personnel, our business could be materially adversely affected; and</w:t>
      </w:r>
    </w:p>
    <w:p>
      <w:pPr>
        <w:spacing w:after="0" w:line="116"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impacted by economic and supply disruptions associated with events beyond our control, such as war, including the current conflict between Russia and Ukraine, acts of terror, political unrest, public health concerns, labor disputes or natural disasters.</w:t>
      </w:r>
    </w:p>
    <w:p>
      <w:pPr>
        <w:spacing w:after="0" w:line="4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It is not possible to foresee or identify all such factors. We will not revise or update any forward-looking statement or disclose any facts, events or circumstances that occur after the date hereof that may affect the accuracy of any forward-looking statement.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raw materials costs to which our operations are principally exposed include the cost of natural rubber, synthetic rubber, carbon black, fabrics, steel cord and other petrochemical-based commodities. Approximately two-thirds of our raw materials are petroleum-based, the cost of which may be affected by fluctuations in the price of oil. We currently do not hedge commodity prices. We do, however, use various strategies to partially offset cost increases for raw materials, including centralizing purchases of raw materials through our global procurement organization in an effort to leverage our purchasing power, expanding our capabilities to substitute lower cost raw materials, and reducing the amount of material required in each tire.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0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We continuously monitor our fixed and floating rate debt mix. Within defined limitations, we manage the mix using refinancing. At December 31, 2022, 21% of our debt was at variable interest rates averaging 5.94% compared to 15% at an average rate of 4.01% at December 31, 2021.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long term fixed rate debt, excluding finance leases, at December 31: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5,766</w:t>
            </w:r>
          </w:p>
        </w:tc>
        <w:tc>
          <w:tcPr>
            <w:tcW w:w="16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5,781</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380" w:type="dxa"/>
            <w:vAlign w:val="bottom"/>
          </w:tcPr>
          <w:p>
            <w:pPr>
              <w:spacing w:after="0"/>
              <w:rPr>
                <w:sz w:val="20"/>
                <w:szCs w:val="20"/>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5,198</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6,149</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 forma fair value — liability</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5,413</w:t>
            </w: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6,409</w:t>
            </w:r>
          </w:p>
        </w:tc>
      </w:tr>
    </w:tbl>
    <w:p>
      <w:pPr>
        <w:spacing w:after="0" w:line="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pro forma information assumes an 100 basis point decrease in market interest rates at December 31 of each year, and reflects the estimated fair value of fixed rate debt outstanding at that date under that assumption. The sensitivity of our fixed rate debt to changes in interest rates was determined using current market pricing models.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enter into foreign currency contracts in order to reduce the impact of changes in foreign exchange rates on our consolidated results of operations and future foreign currency-denominated cash flows. These contracts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foreign currency derivative information at December 31: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 asset (liability)</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decrease in fair value</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maturities</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1/23-12/23</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1/22-12/22</w:t>
            </w:r>
          </w:p>
        </w:tc>
      </w:tr>
    </w:tbl>
    <w:p>
      <w:pPr>
        <w:spacing w:after="0" w:line="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pro forma decrease in fair value assumes a 10% adverse change in underlying foreign exchange rates at December 31 of each year, and reflects the estimated change in the fair value of contracts outstanding at that date under that assumption. The sensitivity of our foreign currency positions to changes in exchange rates was determined using current market pricing models.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values are recognized on the Consolidated Balance Sheets at December 31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 (liability):</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r>
      <w:tr>
        <w:trPr>
          <w:trHeight w:val="238"/>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w:t>
            </w:r>
          </w:p>
        </w:tc>
      </w:tr>
      <w:tr>
        <w:trPr>
          <w:trHeight w:val="247"/>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r>
    </w:tbl>
    <w:p>
      <w:pPr>
        <w:spacing w:after="0" w:line="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For further information on foreign currency contracts, refer to Note to the Consolidated Financial Statements No. 16, Financing Arrangements and Derivative Financial Instruments.</w:t>
      </w:r>
    </w:p>
    <w:p>
      <w:pPr>
        <w:spacing w:after="0" w:line="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Refer to “Management’s Discussion and Analysis of Financial Condition and Results of Operations — Liquidity and Capital Resources” for a discussion of our management of counterparty risk.</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51"/>
        </w:trPr>
        <w:tc>
          <w:tcPr>
            <w:tcW w:w="44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i w:val="1"/>
                <w:iCs w:val="1"/>
                <w:color w:val="0000FF"/>
              </w:rPr>
              <w:t>Management's Report on Internal Control over Financial Reporting</w:t>
            </w:r>
          </w:p>
        </w:tc>
        <w:tc>
          <w:tcPr>
            <w:tcW w:w="6140" w:type="dxa"/>
            <w:vAlign w:val="bottom"/>
            <w:gridSpan w:val="8"/>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36"/>
        </w:trPr>
        <w:tc>
          <w:tcPr>
            <w:tcW w:w="10560" w:type="dxa"/>
            <w:vAlign w:val="bottom"/>
            <w:gridSpan w:val="12"/>
          </w:tcPr>
          <w:p>
            <w:pPr>
              <w:spacing w:after="0"/>
              <w:rPr>
                <w:sz w:val="20"/>
                <w:szCs w:val="20"/>
                <w:color w:val="auto"/>
              </w:rPr>
            </w:pPr>
            <w:r>
              <w:rPr>
                <w:rFonts w:ascii="Times New Roman" w:cs="Times New Roman" w:eastAsia="Times New Roman" w:hAnsi="Times New Roman"/>
                <w:sz w:val="16"/>
                <w:szCs w:val="16"/>
                <w:i w:val="1"/>
                <w:iCs w:val="1"/>
                <w:color w:val="0000FF"/>
              </w:rPr>
              <w:t>Report of Independent Registered Public Accounting Firm (PCAOB ID 238)</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0560" w:type="dxa"/>
            <w:vAlign w:val="bottom"/>
            <w:gridSpan w:val="12"/>
          </w:tcPr>
          <w:p>
            <w:pPr>
              <w:spacing w:after="0"/>
              <w:rPr>
                <w:sz w:val="20"/>
                <w:szCs w:val="20"/>
                <w:color w:val="auto"/>
              </w:rPr>
            </w:pPr>
            <w:r>
              <w:rPr>
                <w:rFonts w:ascii="Times New Roman" w:cs="Times New Roman" w:eastAsia="Times New Roman" w:hAnsi="Times New Roman"/>
                <w:sz w:val="16"/>
                <w:szCs w:val="16"/>
                <w:i w:val="1"/>
                <w:iCs w:val="1"/>
                <w:color w:val="auto"/>
              </w:rPr>
              <w:t>Consolidated Financial Statements of The Goodyear Tire &amp; Rubber Company:</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420" w:type="dxa"/>
            <w:vAlign w:val="bottom"/>
          </w:tcPr>
          <w:p>
            <w:pPr>
              <w:spacing w:after="0"/>
              <w:rPr>
                <w:sz w:val="21"/>
                <w:szCs w:val="21"/>
                <w:color w:val="auto"/>
              </w:rPr>
            </w:pPr>
          </w:p>
        </w:tc>
        <w:tc>
          <w:tcPr>
            <w:tcW w:w="1014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Consolidated Statements of Operations for each of the three years ended December 31, 2022, 2021 and 2020</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1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 w:type="dxa"/>
            <w:vAlign w:val="bottom"/>
          </w:tcPr>
          <w:p>
            <w:pPr>
              <w:spacing w:after="0"/>
              <w:rPr>
                <w:sz w:val="18"/>
                <w:szCs w:val="18"/>
                <w:color w:val="auto"/>
              </w:rPr>
            </w:pPr>
          </w:p>
        </w:tc>
        <w:tc>
          <w:tcPr>
            <w:tcW w:w="1014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(Loss) for each of the three years ended December 31, 2022, 2021 and 2020</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line="20" w:lineRule="exact"/>
              <w:rPr>
                <w:sz w:val="1"/>
                <w:szCs w:val="1"/>
                <w:color w:val="auto"/>
              </w:rPr>
            </w:pPr>
          </w:p>
        </w:tc>
      </w:tr>
      <w:tr>
        <w:trPr>
          <w:trHeight w:val="263"/>
        </w:trPr>
        <w:tc>
          <w:tcPr>
            <w:tcW w:w="420" w:type="dxa"/>
            <w:vAlign w:val="bottom"/>
          </w:tcPr>
          <w:p>
            <w:pPr>
              <w:spacing w:after="0"/>
              <w:rPr>
                <w:sz w:val="22"/>
                <w:szCs w:val="22"/>
                <w:color w:val="auto"/>
              </w:rPr>
            </w:pPr>
          </w:p>
        </w:tc>
        <w:tc>
          <w:tcPr>
            <w:tcW w:w="1014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Consolidated Balance Sheets at December 31, 2022 and December 31, 2021</w:t>
            </w:r>
          </w:p>
        </w:tc>
        <w:tc>
          <w:tcPr>
            <w:tcW w:w="6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 w:type="dxa"/>
            <w:vAlign w:val="bottom"/>
          </w:tcPr>
          <w:p>
            <w:pPr>
              <w:spacing w:after="0"/>
              <w:rPr>
                <w:sz w:val="18"/>
                <w:szCs w:val="18"/>
                <w:color w:val="auto"/>
              </w:rPr>
            </w:pPr>
          </w:p>
        </w:tc>
        <w:tc>
          <w:tcPr>
            <w:tcW w:w="1014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Consolidated Statements of Shareholders’ Equity for each of the three years ended December 31, 2022, 2021 and 2020</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4260" w:type="dxa"/>
            <w:vAlign w:val="bottom"/>
            <w:gridSpan w:val="5"/>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line="20" w:lineRule="exact"/>
              <w:rPr>
                <w:sz w:val="1"/>
                <w:szCs w:val="1"/>
                <w:color w:val="auto"/>
              </w:rPr>
            </w:pPr>
          </w:p>
        </w:tc>
      </w:tr>
      <w:tr>
        <w:trPr>
          <w:trHeight w:val="263"/>
        </w:trPr>
        <w:tc>
          <w:tcPr>
            <w:tcW w:w="420" w:type="dxa"/>
            <w:vAlign w:val="bottom"/>
          </w:tcPr>
          <w:p>
            <w:pPr>
              <w:spacing w:after="0"/>
              <w:rPr>
                <w:sz w:val="22"/>
                <w:szCs w:val="22"/>
                <w:color w:val="auto"/>
              </w:rPr>
            </w:pPr>
          </w:p>
        </w:tc>
        <w:tc>
          <w:tcPr>
            <w:tcW w:w="1014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Consolidated Statements of Cash Flows for each of the three years ended December 31, 2022, 2021 and 2020</w:t>
            </w:r>
          </w:p>
        </w:tc>
        <w:tc>
          <w:tcPr>
            <w:tcW w:w="6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4260" w:type="dxa"/>
            <w:vAlign w:val="bottom"/>
            <w:gridSpan w:val="5"/>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 w:type="dxa"/>
            <w:vAlign w:val="bottom"/>
          </w:tcPr>
          <w:p>
            <w:pPr>
              <w:spacing w:after="0"/>
              <w:rPr>
                <w:sz w:val="18"/>
                <w:szCs w:val="18"/>
                <w:color w:val="auto"/>
              </w:rPr>
            </w:pPr>
          </w:p>
        </w:tc>
        <w:tc>
          <w:tcPr>
            <w:tcW w:w="1014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0560" w:type="dxa"/>
            <w:vAlign w:val="bottom"/>
            <w:gridSpan w:val="12"/>
          </w:tcPr>
          <w:p>
            <w:pPr>
              <w:spacing w:after="0"/>
              <w:rPr>
                <w:sz w:val="20"/>
                <w:szCs w:val="20"/>
                <w:color w:val="auto"/>
              </w:rPr>
            </w:pPr>
            <w:r>
              <w:rPr>
                <w:rFonts w:ascii="Times New Roman" w:cs="Times New Roman" w:eastAsia="Times New Roman" w:hAnsi="Times New Roman"/>
                <w:sz w:val="16"/>
                <w:szCs w:val="16"/>
                <w:i w:val="1"/>
                <w:iCs w:val="1"/>
                <w:color w:val="auto"/>
              </w:rPr>
              <w:t>Financial Statement Schedule:</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420" w:type="dxa"/>
            <w:vAlign w:val="bottom"/>
          </w:tcPr>
          <w:p>
            <w:pPr>
              <w:spacing w:after="0"/>
              <w:rPr>
                <w:sz w:val="21"/>
                <w:szCs w:val="21"/>
                <w:color w:val="auto"/>
              </w:rPr>
            </w:pPr>
          </w:p>
        </w:tc>
        <w:tc>
          <w:tcPr>
            <w:tcW w:w="1014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The following consolidated financial statement schedule of The Goodyear Tire &amp; Rubber Company is filed as part of this Annual Report on Form 10-K and</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1014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should be read in conjunction with the Consolidated Financial Statements of The Goodyear Tire &amp; Rubber Company:</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2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Schedule II – Valuation and Qualifying Accounts for each of the three years ended December 31, 2022, 2021 and 2020</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FS-2</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Schedules not listed above have been omitted since they are not applicable or are not required, or the information required to be set forth therein is included in the Consolidated Financial Statements or Notes thereto.</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such term is defined under Rule 13a-15(f) promulgated under the Securities Exchange Act of 1934, as amended.</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Internal control over financial reporting is a process designed to provide reasonable assurance regarding the reliability of financial reporting and the preparation of the Company’s consolidated financial statements for external purposes in accordance with generally accepted accounting principles.</w:t>
      </w:r>
    </w:p>
    <w:p>
      <w:pPr>
        <w:spacing w:after="0" w:line="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consolidated financial statements in accordance with generally accepted accounting principles, and that receipts and expenditures of the Company are being made only in accordance with appropriate authorizations of management and directors of the Company; and (iii) provide reasonable assurance regarding prevention or timely detection of unauthorized acquisition, use or disposition of the Company’s assets that could have a material effect on the consolidated financial statements.</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Management conducted an assessment of the Company’s internal control over financial reporting as of December 31, 2022 using the framework specified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published by the Committee of Sponsoring Organizations of the Treadway Commission. Based on such assessment, management has concluded that the Company’s internal control over financial reporting was effective as of December 31, 2022.</w:t>
      </w:r>
    </w:p>
    <w:p>
      <w:pPr>
        <w:spacing w:after="0" w:line="6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2022 has been audited by PricewaterhouseCoopers LLP, an independent registered public accounting firm, as stated in their report which is presented in this Annual Report on Form 10-K.</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15" w:lineRule="exact"/>
        <w:rPr>
          <w:sz w:val="20"/>
          <w:szCs w:val="20"/>
          <w:color w:val="auto"/>
        </w:rPr>
      </w:pPr>
    </w:p>
    <w:p>
      <w:pPr>
        <w:ind w:right="2540" w:firstLine="2539"/>
        <w:spacing w:after="0" w:line="376"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Board of Directors and Shareholders of The Goodyear Tire &amp; Rubber Company </w:t>
      </w: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We have audited the consolidated financial statements, including the related notes and financial statement schedule, of The Goodyear Tire &amp; Rubber Company and its subsidiaries (the “Company”) as listed in the index appearing under Item 8 (collectively referred to as the “consolidated financial statements”). We also have audited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 xml:space="preserve">Internal Control - Integrated 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 Valuation of U.S. Deferred Tax Assets Related to Foreign Tax Credits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in Note 7 to the consolidated financial statements, as of December 31, 2022, the Company has approximately $1.1 billion of U.S. federal, state and local net deferred tax assets, inclusive of valuation allowances totaling $26 million primarily for state tax loss carryforwards with limited lives. Approximately $230 million of these U.S. net deferred tax assets relate to foreign tax credits with limited lives. A valuation allowance is not required to the extent that, in management’s judgment, positive evidence exists with a magnitude and duration sufficient to result in a conclusion that it is more likely than not that the Company’s deferred tax assets will be realized. As disclosed by management, the valuation of deferred tax assets requires judgment in assessing future profitability by year, including the impact of tax planning strategies, relative to the expiration dates, if any, of the assets. In the U.S., the Company has a cumulative loss for the three-year period ended December 31, 2022. However, in assessing the Company’s ability to utilize its net deferred tax assets, management also considered other objectively verifiable information, including the Company’s improvement in its U.S. operating results driven by tire volume recovery compared to 2020 levels as well as the favorable impact of the Cooper Tire &amp; Rubber Company acquisition which occurred in 2021. Management determined there was sufficient positive, objectively verifiable evidence to conclude that it is more likely than not that, as of December 31, 2022, the U.S. net deferred tax assets related to foreign tax credits will be fully utilized.</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U.S. deferred tax assets related to foreign tax credits is a critical audit matter are (i) the significant judgment by management in determining whether the U.S. deferred tax assets related to foreign tax credits are more likely than not to be realized in the future and (ii) a high degree of auditor judgment, subjectivity, and effort in performing procedures and evaluating audit evidence relating to management’s assessment of the realizability of U.S. deferred tax assets related to foreign tax credits.</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assessment of the realizability of deferred tax assets related to foreign tax credits, including controls over projections of future profitability by year. These procedures also included, among others (i) evaluating the positive and negative evidence available to support management’s assessment of the realizability of U.S. deferred tax assets related to foreign tax credits; (ii) testing the completeness and accuracy of underlying data used in management’s assessment; and (iii) evaluating the reasonableness of management’s projections of future profitability by year of the U.S. business. Evaluating the reasonableness of management’s projections of future profitability by year of the U.S. business involved considering (i) the current and past performance of the U.S. business; (ii) the consistency with external market and industry data; (iii) whether tax planning strategies are prudent and feasible; and (iv) the consistency with evidence obtained in other areas of the audit.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Cleveland, Ohio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1898.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69"/>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 (Note 3)</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20,805</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17,478</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12,321</w:t>
            </w: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16,953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13,692</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10,337</w:t>
            </w: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2,798</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2,699</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2,192</w:t>
            </w: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 (Notes 12 and 13)</w:t>
            </w: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330</w:t>
            </w: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Rationalizations (Note 4)</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159</w:t>
            </w: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(Note 5)</w:t>
            </w: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387</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324</w:t>
            </w:r>
          </w:p>
        </w:tc>
      </w:tr>
      <w:tr>
        <w:trPr>
          <w:trHeight w:val="243"/>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(Note 6)</w:t>
            </w: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119</w:t>
            </w:r>
          </w:p>
        </w:tc>
      </w:tr>
      <w:tr>
        <w:trPr>
          <w:trHeight w:val="23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399</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513</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(1,140 )</w:t>
            </w:r>
          </w:p>
        </w:tc>
      </w:tr>
      <w:tr>
        <w:trPr>
          <w:trHeight w:val="243"/>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 and Foreign Tax Expense (Benefit) (Note 7)</w:t>
            </w: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110</w:t>
            </w:r>
          </w:p>
        </w:tc>
      </w:tr>
      <w:tr>
        <w:trPr>
          <w:trHeight w:val="23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780</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(1,250 )</w:t>
            </w:r>
          </w:p>
        </w:tc>
      </w:tr>
      <w:tr>
        <w:trPr>
          <w:trHeight w:val="243"/>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Minority Shareholders’ Net Income</w:t>
            </w: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Net Income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202</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764</w:t>
            </w:r>
          </w:p>
        </w:tc>
        <w:tc>
          <w:tcPr>
            <w:tcW w:w="1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(1,254 )</w:t>
            </w: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5"/>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Net Income (Loss) — Per Share of Common Stock</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40"/>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0.71</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2.92</w:t>
            </w:r>
          </w:p>
        </w:tc>
        <w:tc>
          <w:tcPr>
            <w:tcW w:w="1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(5.35 )</w:t>
            </w: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5"/>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(Note 8)</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234</w:t>
            </w:r>
          </w:p>
        </w:tc>
      </w:tr>
      <w:tr>
        <w:trPr>
          <w:trHeight w:val="240"/>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0.71</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2.89</w:t>
            </w:r>
          </w:p>
        </w:tc>
        <w:tc>
          <w:tcPr>
            <w:tcW w:w="1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(5.35 )</w:t>
            </w: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5"/>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(Note 8)</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-1643380</wp:posOffset>
            </wp:positionV>
            <wp:extent cx="93980" cy="1625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-1643380</wp:posOffset>
            </wp:positionV>
            <wp:extent cx="93980" cy="1625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-1326515</wp:posOffset>
            </wp:positionV>
            <wp:extent cx="93980" cy="1625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-1326515</wp:posOffset>
            </wp:positionV>
            <wp:extent cx="93980" cy="1625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-1009650</wp:posOffset>
            </wp:positionV>
            <wp:extent cx="93980"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-1009650</wp:posOffset>
            </wp:positionV>
            <wp:extent cx="93980" cy="1885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780</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(1,250 )</w:t>
            </w:r>
          </w:p>
        </w:tc>
        <w:tc>
          <w:tcPr>
            <w:tcW w:w="0" w:type="dxa"/>
            <w:vAlign w:val="bottom"/>
          </w:tcPr>
          <w:p>
            <w:pPr>
              <w:spacing w:after="0"/>
              <w:rPr>
                <w:sz w:val="1"/>
                <w:szCs w:val="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net of tax of ($9) in 2022 (($4) in 2021, $4 in 2020)</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11"/>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gains (losses) from securities, net of tax of $0 in 2022 ($0 in 2021, $0 in</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2020)</w:t>
            </w:r>
          </w:p>
        </w:tc>
        <w:tc>
          <w:tcPr>
            <w:tcW w:w="320" w:type="dxa"/>
            <w:vAlign w:val="bottom"/>
          </w:tcPr>
          <w:p>
            <w:pPr>
              <w:spacing w:after="0"/>
              <w:rPr>
                <w:sz w:val="20"/>
                <w:szCs w:val="20"/>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Defined benefit plans:</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prior service cost and unrecognized gains and losses included in</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benefit cost, net of tax of $31 in 2022 ($34 in 2021, $35 in 2020)</w:t>
            </w:r>
          </w:p>
        </w:tc>
        <w:tc>
          <w:tcPr>
            <w:tcW w:w="320" w:type="dxa"/>
            <w:vAlign w:val="bottom"/>
          </w:tcPr>
          <w:p>
            <w:pPr>
              <w:spacing w:after="0"/>
              <w:rPr>
                <w:sz w:val="20"/>
                <w:szCs w:val="20"/>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8"/>
        </w:trPr>
        <w:tc>
          <w:tcPr>
            <w:tcW w:w="6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Decrease/(increase) in net actuarial losses, net of tax of $48 in 2022 ($48 in 2021,</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($10) in 2020)</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11"/>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Immediate recognition of prior service cost and unrecognized gains and losses due</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 curtailments, settlements, and divestitures, net of tax of $30 in 2022 ($10 in</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2021, $7 in 2020)</w:t>
            </w:r>
          </w:p>
        </w:tc>
        <w:tc>
          <w:tcPr>
            <w:tcW w:w="320" w:type="dxa"/>
            <w:vAlign w:val="bottom"/>
          </w:tcPr>
          <w:p>
            <w:pPr>
              <w:spacing w:after="0"/>
              <w:rPr>
                <w:sz w:val="20"/>
                <w:szCs w:val="20"/>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8"/>
        </w:trPr>
        <w:tc>
          <w:tcPr>
            <w:tcW w:w="6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Prior service credit (cost) from plan amendments, net of tax of ($2) in 2022 ($0 in</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2021, ($1) in 2020)</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8"/>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derivative gains (losses), net of tax of $0 in 2022 ($0 in 2021, $0 in 2020)</w:t>
            </w:r>
          </w:p>
        </w:tc>
        <w:tc>
          <w:tcPr>
            <w:tcW w:w="320" w:type="dxa"/>
            <w:vAlign w:val="bottom"/>
          </w:tcPr>
          <w:p>
            <w:pPr>
              <w:spacing w:after="0"/>
              <w:rPr>
                <w:sz w:val="20"/>
                <w:szCs w:val="20"/>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5"/>
        </w:trPr>
        <w:tc>
          <w:tcPr>
            <w:tcW w:w="6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Reclassification adjustment for amounts recognized in income, net of tax of $0 in</w:t>
            </w:r>
          </w:p>
        </w:tc>
        <w:tc>
          <w:tcPr>
            <w:tcW w:w="320" w:type="dxa"/>
            <w:vAlign w:val="bottom"/>
            <w:shd w:val="clear" w:color="auto" w:fill="CFF0FC"/>
          </w:tcPr>
          <w:p>
            <w:pPr>
              <w:spacing w:after="0"/>
              <w:rPr>
                <w:sz w:val="18"/>
                <w:szCs w:val="18"/>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4"/>
        </w:trPr>
        <w:tc>
          <w:tcPr>
            <w:tcW w:w="65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2022 ($0 in 2021, $0 in 2020)</w:t>
            </w: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71</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152</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(6 )</w:t>
            </w:r>
          </w:p>
        </w:tc>
        <w:tc>
          <w:tcPr>
            <w:tcW w:w="0" w:type="dxa"/>
            <w:vAlign w:val="bottom"/>
          </w:tcPr>
          <w:p>
            <w:pPr>
              <w:spacing w:after="0"/>
              <w:rPr>
                <w:sz w:val="1"/>
                <w:szCs w:val="1"/>
                <w:color w:val="auto"/>
              </w:rPr>
            </w:pPr>
          </w:p>
        </w:tc>
      </w:tr>
      <w:tr>
        <w:trPr>
          <w:trHeight w:val="238"/>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280</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932</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(1,256 )</w:t>
            </w:r>
          </w:p>
        </w:tc>
        <w:tc>
          <w:tcPr>
            <w:tcW w:w="0" w:type="dxa"/>
            <w:vAlign w:val="bottom"/>
          </w:tcPr>
          <w:p>
            <w:pPr>
              <w:spacing w:after="0"/>
              <w:rPr>
                <w:sz w:val="1"/>
                <w:szCs w:val="1"/>
                <w:color w:val="auto"/>
              </w:rPr>
            </w:pPr>
          </w:p>
        </w:tc>
      </w:tr>
      <w:tr>
        <w:trPr>
          <w:trHeight w:val="238"/>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Comprehensive Income (Loss) Attributable to Minority Shareholders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78"/>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Comprehensive Income (Loss)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290</w:t>
            </w: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936</w:t>
            </w: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(1,253 )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-667385</wp:posOffset>
            </wp:positionV>
            <wp:extent cx="10287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-667385</wp:posOffset>
            </wp:positionV>
            <wp:extent cx="102870"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-24765</wp:posOffset>
            </wp:positionV>
            <wp:extent cx="1028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-7620</wp:posOffset>
            </wp:positionV>
            <wp:extent cx="1028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-24765</wp:posOffset>
            </wp:positionV>
            <wp:extent cx="1028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-7620</wp:posOffset>
            </wp:positionV>
            <wp:extent cx="1028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bottom w:val="single" w:sz="8" w:color="auto"/>
            </w:tcBorders>
          </w:tcPr>
          <w:p>
            <w:pPr>
              <w:spacing w:after="0"/>
              <w:rPr>
                <w:sz w:val="16"/>
                <w:szCs w:val="16"/>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data)</w:t>
            </w: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r>
      <w:tr>
        <w:trPr>
          <w:trHeight w:val="24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5"/>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 (Note 1)</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1,227</w:t>
            </w:r>
          </w:p>
        </w:tc>
        <w:tc>
          <w:tcPr>
            <w:tcW w:w="62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1,088</w:t>
            </w:r>
          </w:p>
        </w:tc>
      </w:tr>
      <w:tr>
        <w:trPr>
          <w:trHeight w:val="238"/>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(Note 10)</w:t>
            </w:r>
          </w:p>
        </w:tc>
        <w:tc>
          <w:tcPr>
            <w:tcW w:w="3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2,610</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2,387</w:t>
            </w:r>
          </w:p>
        </w:tc>
      </w:tr>
      <w:tr>
        <w:trPr>
          <w:trHeight w:val="247"/>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Inventories (Note 11)</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4,571</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3,594</w:t>
            </w:r>
          </w:p>
        </w:tc>
      </w:tr>
      <w:tr>
        <w:trPr>
          <w:trHeight w:val="238"/>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262</w:t>
            </w:r>
          </w:p>
        </w:tc>
      </w:tr>
      <w:tr>
        <w:trPr>
          <w:trHeight w:val="240"/>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8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8,665</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7,331</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(Note 12)</w:t>
            </w:r>
          </w:p>
        </w:tc>
        <w:tc>
          <w:tcPr>
            <w:tcW w:w="3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1,014</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1,004</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(Note 12)</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1,004</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1,039</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(Note 7)</w:t>
            </w:r>
          </w:p>
        </w:tc>
        <w:tc>
          <w:tcPr>
            <w:tcW w:w="3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1,443</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1,596</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 (Note 13)</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1,035</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1,106</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(Note 15)</w:t>
            </w:r>
          </w:p>
        </w:tc>
        <w:tc>
          <w:tcPr>
            <w:tcW w:w="3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976</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981</w:t>
            </w: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(Note 14)</w:t>
            </w:r>
          </w:p>
        </w:tc>
        <w:tc>
          <w:tcPr>
            <w:tcW w:w="3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8,294</w:t>
            </w:r>
          </w:p>
        </w:tc>
        <w:tc>
          <w:tcPr>
            <w:tcW w:w="1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8,345</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22,431</w:t>
            </w:r>
          </w:p>
        </w:tc>
        <w:tc>
          <w:tcPr>
            <w:tcW w:w="6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21,402</w:t>
            </w: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r>
      <w:tr>
        <w:trPr>
          <w:trHeight w:val="24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5"/>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Payable — Trade</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4,803</w:t>
            </w:r>
          </w:p>
        </w:tc>
        <w:tc>
          <w:tcPr>
            <w:tcW w:w="62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4,148</w:t>
            </w:r>
          </w:p>
        </w:tc>
      </w:tr>
      <w:tr>
        <w:trPr>
          <w:trHeight w:val="238"/>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Compensation and Benefits (Notes 18 and 19)</w:t>
            </w:r>
          </w:p>
        </w:tc>
        <w:tc>
          <w:tcPr>
            <w:tcW w:w="3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643</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689</w:t>
            </w:r>
          </w:p>
        </w:tc>
      </w:tr>
      <w:tr>
        <w:trPr>
          <w:trHeight w:val="247"/>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872</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822</w:t>
            </w:r>
          </w:p>
        </w:tc>
      </w:tr>
      <w:tr>
        <w:trPr>
          <w:trHeight w:val="238"/>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Payable and Overdrafts (Note 16)</w:t>
            </w:r>
          </w:p>
        </w:tc>
        <w:tc>
          <w:tcPr>
            <w:tcW w:w="3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395</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406</w:t>
            </w:r>
          </w:p>
        </w:tc>
      </w:tr>
      <w:tr>
        <w:trPr>
          <w:trHeight w:val="247"/>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due Within One Year (Note 15)</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204</w:t>
            </w:r>
          </w:p>
        </w:tc>
      </w:tr>
      <w:tr>
        <w:trPr>
          <w:trHeight w:val="238"/>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 Term Debt and Finance Leases due Within One Year (Notes 15 and 16)</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343</w:t>
            </w:r>
          </w:p>
        </w:tc>
      </w:tr>
      <w:tr>
        <w:trPr>
          <w:trHeight w:val="240"/>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8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7,140</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6,612</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(Note 15)</w:t>
            </w:r>
          </w:p>
        </w:tc>
        <w:tc>
          <w:tcPr>
            <w:tcW w:w="3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821</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819</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 Term Debt and Finance Leases (Notes 15 and 16)</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7,267</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6,648</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and Benefits (Notes 18 and 19)</w:t>
            </w:r>
          </w:p>
        </w:tc>
        <w:tc>
          <w:tcPr>
            <w:tcW w:w="3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998</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1,445</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Taxes (Note 7)</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135</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605</w:t>
            </w:r>
          </w:p>
        </w:tc>
        <w:tc>
          <w:tcPr>
            <w:tcW w:w="1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559</w:t>
            </w:r>
          </w:p>
        </w:tc>
      </w:tr>
      <w:tr>
        <w:trPr>
          <w:trHeight w:val="240"/>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8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16,965</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16,218</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 (Note 20)</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r>
      <w:tr>
        <w:trPr>
          <w:trHeight w:val="24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Shareholders’ Equity:</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5"/>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Authorized, 450 million shares, Outstanding shares — 283 million (282 million in 2021)</w:t>
            </w:r>
          </w:p>
        </w:tc>
        <w:tc>
          <w:tcPr>
            <w:tcW w:w="3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283</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282</w:t>
            </w:r>
          </w:p>
        </w:tc>
      </w:tr>
      <w:tr>
        <w:trPr>
          <w:trHeight w:val="247"/>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Capital Surplus</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3,117</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3,107</w:t>
            </w:r>
          </w:p>
        </w:tc>
      </w:tr>
      <w:tr>
        <w:trPr>
          <w:trHeight w:val="238"/>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3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5,775</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5,573</w:t>
            </w:r>
          </w:p>
        </w:tc>
      </w:tr>
      <w:tr>
        <w:trPr>
          <w:trHeight w:val="243"/>
        </w:trPr>
        <w:tc>
          <w:tcPr>
            <w:tcW w:w="7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 (Note 22)</w:t>
            </w:r>
          </w:p>
        </w:tc>
        <w:tc>
          <w:tcPr>
            <w:tcW w:w="3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(3,875 )</w:t>
            </w:r>
          </w:p>
        </w:tc>
        <w:tc>
          <w:tcPr>
            <w:tcW w:w="1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(3,963 )</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Goodyear Shareholders’ Equity</w:t>
            </w:r>
          </w:p>
        </w:tc>
        <w:tc>
          <w:tcPr>
            <w:tcW w:w="3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5,300</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4,999</w:t>
            </w:r>
          </w:p>
        </w:tc>
      </w:tr>
      <w:tr>
        <w:trPr>
          <w:trHeight w:val="241"/>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Minority Shareholders’ Equity — Nonredeemable</w:t>
            </w:r>
          </w:p>
        </w:tc>
        <w:tc>
          <w:tcPr>
            <w:tcW w:w="3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185</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5,466</w:t>
            </w:r>
          </w:p>
        </w:tc>
        <w:tc>
          <w:tcPr>
            <w:tcW w:w="1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5,184</w:t>
            </w:r>
          </w:p>
        </w:tc>
      </w:tr>
      <w:tr>
        <w:trPr>
          <w:trHeight w:val="276"/>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22,431</w:t>
            </w:r>
          </w:p>
        </w:tc>
        <w:tc>
          <w:tcPr>
            <w:tcW w:w="16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21,402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-4417695</wp:posOffset>
            </wp:positionV>
            <wp:extent cx="102870" cy="188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-667385</wp:posOffset>
            </wp:positionV>
            <wp:extent cx="102870" cy="1625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-350520</wp:posOffset>
            </wp:positionV>
            <wp:extent cx="102870"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-24765</wp:posOffset>
            </wp:positionV>
            <wp:extent cx="1028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1028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rPr>
              <w:t>Minority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50"/>
              <w:spacing w:after="0" w:line="149"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center"/>
              <w:ind w:right="21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5"/>
                <w:szCs w:val="15"/>
                <w:color w:val="auto"/>
              </w:rPr>
            </w:pPr>
          </w:p>
        </w:tc>
        <w:tc>
          <w:tcPr>
            <w:tcW w:w="800" w:type="dxa"/>
            <w:vAlign w:val="bottom"/>
            <w:gridSpan w:val="2"/>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Goodyear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4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2"/>
                <w:szCs w:val="12"/>
                <w:color w:val="auto"/>
              </w:rPr>
            </w:pPr>
          </w:p>
        </w:tc>
        <w:tc>
          <w:tcPr>
            <w:tcW w:w="4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3"/>
                <w:szCs w:val="13"/>
                <w:b w:val="1"/>
                <w:bCs w:val="1"/>
                <w:color w:val="auto"/>
              </w:rPr>
              <w:t>Capit</w:t>
            </w:r>
          </w:p>
        </w:tc>
        <w:tc>
          <w:tcPr>
            <w:tcW w:w="80" w:type="dxa"/>
            <w:vAlign w:val="bottom"/>
          </w:tcPr>
          <w:p>
            <w:pPr>
              <w:spacing w:after="0"/>
              <w:rPr>
                <w:sz w:val="12"/>
                <w:szCs w:val="12"/>
                <w:color w:val="auto"/>
              </w:rPr>
            </w:pPr>
          </w:p>
        </w:tc>
        <w:tc>
          <w:tcPr>
            <w:tcW w:w="5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3"/>
                <w:szCs w:val="13"/>
                <w:b w:val="1"/>
                <w:bCs w:val="1"/>
                <w:color w:val="auto"/>
              </w:rPr>
              <w:t>Retain</w:t>
            </w:r>
          </w:p>
        </w:tc>
        <w:tc>
          <w:tcPr>
            <w:tcW w:w="80" w:type="dxa"/>
            <w:vAlign w:val="bottom"/>
          </w:tcPr>
          <w:p>
            <w:pPr>
              <w:spacing w:after="0"/>
              <w:rPr>
                <w:sz w:val="12"/>
                <w:szCs w:val="12"/>
                <w:color w:val="auto"/>
              </w:rPr>
            </w:pPr>
          </w:p>
        </w:tc>
        <w:tc>
          <w:tcPr>
            <w:tcW w:w="940" w:type="dxa"/>
            <w:vAlign w:val="bottom"/>
            <w:gridSpan w:val="2"/>
          </w:tcPr>
          <w:p>
            <w:pPr>
              <w:jc w:val="center"/>
              <w:ind w:right="30"/>
              <w:spacing w:after="0" w:line="149" w:lineRule="exact"/>
              <w:rPr>
                <w:sz w:val="20"/>
                <w:szCs w:val="20"/>
                <w:color w:val="auto"/>
              </w:rPr>
            </w:pPr>
            <w:r>
              <w:rPr>
                <w:rFonts w:ascii="Times New Roman" w:cs="Times New Roman" w:eastAsia="Times New Roman" w:hAnsi="Times New Roman"/>
                <w:sz w:val="13"/>
                <w:szCs w:val="13"/>
                <w:b w:val="1"/>
                <w:bCs w:val="1"/>
                <w:color w:val="auto"/>
              </w:rPr>
              <w:t>Comprehensi</w:t>
            </w:r>
          </w:p>
        </w:tc>
        <w:tc>
          <w:tcPr>
            <w:tcW w:w="80" w:type="dxa"/>
            <w:vAlign w:val="bottom"/>
          </w:tcPr>
          <w:p>
            <w:pPr>
              <w:spacing w:after="0"/>
              <w:rPr>
                <w:sz w:val="12"/>
                <w:szCs w:val="12"/>
                <w:color w:val="auto"/>
              </w:rPr>
            </w:pPr>
          </w:p>
        </w:tc>
        <w:tc>
          <w:tcPr>
            <w:tcW w:w="800" w:type="dxa"/>
            <w:vAlign w:val="bottom"/>
            <w:gridSpan w:val="2"/>
          </w:tcPr>
          <w:p>
            <w:pPr>
              <w:jc w:val="center"/>
              <w:ind w:right="49"/>
              <w:spacing w:after="0" w:line="149" w:lineRule="exact"/>
              <w:rPr>
                <w:sz w:val="20"/>
                <w:szCs w:val="20"/>
                <w:color w:val="auto"/>
              </w:rPr>
            </w:pPr>
            <w:r>
              <w:rPr>
                <w:rFonts w:ascii="Times New Roman" w:cs="Times New Roman" w:eastAsia="Times New Roman" w:hAnsi="Times New Roman"/>
                <w:sz w:val="13"/>
                <w:szCs w:val="13"/>
                <w:b w:val="1"/>
                <w:bCs w:val="1"/>
                <w:color w:val="auto"/>
              </w:rPr>
              <w:t>Shareholde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90"/>
              <w:spacing w:after="0" w:line="149" w:lineRule="exact"/>
              <w:rPr>
                <w:sz w:val="20"/>
                <w:szCs w:val="20"/>
                <w:color w:val="auto"/>
              </w:rPr>
            </w:pPr>
            <w:r>
              <w:rPr>
                <w:rFonts w:ascii="Times New Roman" w:cs="Times New Roman" w:eastAsia="Times New Roman" w:hAnsi="Times New Roman"/>
                <w:sz w:val="13"/>
                <w:szCs w:val="13"/>
                <w:b w:val="1"/>
                <w:bCs w:val="1"/>
                <w:color w:val="auto"/>
              </w:rPr>
              <w:t>Equity —</w:t>
            </w:r>
          </w:p>
        </w:tc>
        <w:tc>
          <w:tcPr>
            <w:tcW w:w="80" w:type="dxa"/>
            <w:vAlign w:val="bottom"/>
          </w:tcPr>
          <w:p>
            <w:pPr>
              <w:spacing w:after="0"/>
              <w:rPr>
                <w:sz w:val="12"/>
                <w:szCs w:val="12"/>
                <w:color w:val="auto"/>
              </w:rPr>
            </w:pPr>
          </w:p>
        </w:tc>
        <w:tc>
          <w:tcPr>
            <w:tcW w:w="800" w:type="dxa"/>
            <w:vAlign w:val="bottom"/>
            <w:gridSpan w:val="2"/>
          </w:tcPr>
          <w:p>
            <w:pPr>
              <w:jc w:val="center"/>
              <w:ind w:right="29"/>
              <w:spacing w:after="0" w:line="149" w:lineRule="exact"/>
              <w:rPr>
                <w:sz w:val="20"/>
                <w:szCs w:val="20"/>
                <w:color w:val="auto"/>
              </w:rPr>
            </w:pPr>
            <w:r>
              <w:rPr>
                <w:rFonts w:ascii="Times New Roman" w:cs="Times New Roman" w:eastAsia="Times New Roman" w:hAnsi="Times New Roman"/>
                <w:sz w:val="13"/>
                <w:szCs w:val="13"/>
                <w:b w:val="1"/>
                <w:bCs w:val="1"/>
                <w:color w:val="auto"/>
              </w:rPr>
              <w:t>Shareholde</w:t>
            </w:r>
          </w:p>
        </w:tc>
        <w:tc>
          <w:tcPr>
            <w:tcW w:w="0" w:type="dxa"/>
            <w:vAlign w:val="bottom"/>
          </w:tcPr>
          <w:p>
            <w:pPr>
              <w:spacing w:after="0"/>
              <w:rPr>
                <w:sz w:val="1"/>
                <w:szCs w:val="1"/>
                <w:color w:val="auto"/>
              </w:rPr>
            </w:pPr>
          </w:p>
        </w:tc>
      </w:tr>
      <w:tr>
        <w:trPr>
          <w:trHeight w:val="170"/>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 except per share amounts)</w:t>
            </w:r>
          </w:p>
        </w:tc>
        <w:tc>
          <w:tcPr>
            <w:tcW w:w="1440" w:type="dxa"/>
            <w:vAlign w:val="bottom"/>
            <w:tcBorders>
              <w:bottom w:val="single" w:sz="8" w:color="auto"/>
            </w:tcBorders>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190"/>
              <w:spacing w:after="0"/>
              <w:rPr>
                <w:sz w:val="20"/>
                <w:szCs w:val="20"/>
                <w:color w:val="auto"/>
              </w:rPr>
            </w:pPr>
            <w:r>
              <w:rPr>
                <w:rFonts w:ascii="Times New Roman" w:cs="Times New Roman" w:eastAsia="Times New Roman" w:hAnsi="Times New Roman"/>
                <w:sz w:val="13"/>
                <w:szCs w:val="13"/>
                <w:b w:val="1"/>
                <w:bCs w:val="1"/>
                <w:color w:val="auto"/>
                <w:w w:val="97"/>
              </w:rPr>
              <w:t>ve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rPr>
              <w:t>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rPr>
              <w:t>Non-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w w:val="96"/>
              </w:rPr>
              <w:t>rs'</w:t>
            </w:r>
          </w:p>
        </w:tc>
        <w:tc>
          <w:tcPr>
            <w:tcW w:w="0" w:type="dxa"/>
            <w:vAlign w:val="bottom"/>
          </w:tcPr>
          <w:p>
            <w:pPr>
              <w:spacing w:after="0"/>
              <w:rPr>
                <w:sz w:val="1"/>
                <w:szCs w:val="1"/>
                <w:color w:val="auto"/>
              </w:rPr>
            </w:pPr>
          </w:p>
        </w:tc>
      </w:tr>
      <w:tr>
        <w:trPr>
          <w:trHeight w:val="139"/>
        </w:trPr>
        <w:tc>
          <w:tcPr>
            <w:tcW w:w="486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ind w:right="71"/>
              <w:spacing w:after="0" w:line="139" w:lineRule="exact"/>
              <w:rPr>
                <w:sz w:val="20"/>
                <w:szCs w:val="20"/>
                <w:color w:val="auto"/>
              </w:rPr>
            </w:pPr>
            <w:r>
              <w:rPr>
                <w:rFonts w:ascii="Times New Roman" w:cs="Times New Roman" w:eastAsia="Times New Roman" w:hAnsi="Times New Roman"/>
                <w:sz w:val="13"/>
                <w:szCs w:val="13"/>
                <w:b w:val="1"/>
                <w:bCs w:val="1"/>
                <w:color w:val="auto"/>
              </w:rPr>
              <w:t>Amo</w:t>
            </w:r>
          </w:p>
        </w:tc>
        <w:tc>
          <w:tcPr>
            <w:tcW w:w="80" w:type="dxa"/>
            <w:vAlign w:val="bottom"/>
          </w:tcPr>
          <w:p>
            <w:pPr>
              <w:spacing w:after="0"/>
              <w:rPr>
                <w:sz w:val="12"/>
                <w:szCs w:val="12"/>
                <w:color w:val="auto"/>
              </w:rPr>
            </w:pPr>
          </w:p>
        </w:tc>
        <w:tc>
          <w:tcPr>
            <w:tcW w:w="4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b w:val="1"/>
                <w:bCs w:val="1"/>
                <w:color w:val="auto"/>
              </w:rPr>
              <w:t>Surpl</w:t>
            </w:r>
          </w:p>
        </w:tc>
        <w:tc>
          <w:tcPr>
            <w:tcW w:w="80" w:type="dxa"/>
            <w:vAlign w:val="bottom"/>
          </w:tcPr>
          <w:p>
            <w:pPr>
              <w:spacing w:after="0"/>
              <w:rPr>
                <w:sz w:val="12"/>
                <w:szCs w:val="12"/>
                <w:color w:val="auto"/>
              </w:rPr>
            </w:pPr>
          </w:p>
        </w:tc>
        <w:tc>
          <w:tcPr>
            <w:tcW w:w="5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b w:val="1"/>
                <w:bCs w:val="1"/>
                <w:color w:val="auto"/>
              </w:rPr>
              <w:t>Earnin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860" w:type="dxa"/>
            <w:vAlign w:val="bottom"/>
          </w:tcPr>
          <w:p>
            <w:pPr>
              <w:spacing w:after="0"/>
              <w:rPr>
                <w:sz w:val="15"/>
                <w:szCs w:val="15"/>
                <w:color w:val="auto"/>
              </w:rPr>
            </w:pPr>
          </w:p>
        </w:tc>
        <w:tc>
          <w:tcPr>
            <w:tcW w:w="84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rPr>
              <w:t>unt</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w w:val="97"/>
              </w:rPr>
              <w:t>us</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gs</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3"/>
                <w:szCs w:val="13"/>
                <w:b w:val="1"/>
                <w:bCs w:val="1"/>
                <w:color w:val="auto"/>
              </w:rPr>
              <w:t>Loss</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80" w:type="dxa"/>
            <w:vAlign w:val="bottom"/>
          </w:tcPr>
          <w:p>
            <w:pPr>
              <w:spacing w:after="0"/>
              <w:rPr>
                <w:sz w:val="15"/>
                <w:szCs w:val="15"/>
                <w:color w:val="auto"/>
              </w:rPr>
            </w:pPr>
          </w:p>
        </w:tc>
        <w:tc>
          <w:tcPr>
            <w:tcW w:w="92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Redeemable</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69"/>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2019</w:t>
            </w: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86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(after deducting 45,813,109 common treasury shares)</w:t>
            </w:r>
          </w:p>
        </w:tc>
        <w:tc>
          <w:tcPr>
            <w:tcW w:w="840" w:type="dxa"/>
            <w:vAlign w:val="bottom"/>
          </w:tcPr>
          <w:p>
            <w:pPr>
              <w:jc w:val="right"/>
              <w:ind w:right="69"/>
              <w:spacing w:after="0" w:line="137" w:lineRule="exact"/>
              <w:rPr>
                <w:sz w:val="20"/>
                <w:szCs w:val="20"/>
                <w:color w:val="auto"/>
              </w:rPr>
            </w:pPr>
            <w:r>
              <w:rPr>
                <w:rFonts w:ascii="Times New Roman" w:cs="Times New Roman" w:eastAsia="Times New Roman" w:hAnsi="Times New Roman"/>
                <w:sz w:val="14"/>
                <w:szCs w:val="14"/>
                <w:b w:val="1"/>
                <w:bCs w:val="1"/>
                <w:color w:val="auto"/>
              </w:rPr>
              <w:t>232,650,</w:t>
            </w:r>
          </w:p>
        </w:tc>
        <w:tc>
          <w:tcPr>
            <w:tcW w:w="6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$ 233</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tcPr>
          <w:p>
            <w:pPr>
              <w:jc w:val="right"/>
              <w:ind w:right="49"/>
              <w:spacing w:after="0" w:line="137" w:lineRule="exact"/>
              <w:rPr>
                <w:sz w:val="20"/>
                <w:szCs w:val="20"/>
                <w:color w:val="auto"/>
              </w:rPr>
            </w:pPr>
            <w:r>
              <w:rPr>
                <w:rFonts w:ascii="Times New Roman" w:cs="Times New Roman" w:eastAsia="Times New Roman" w:hAnsi="Times New Roman"/>
                <w:sz w:val="14"/>
                <w:szCs w:val="14"/>
                <w:b w:val="1"/>
                <w:bCs w:val="1"/>
                <w:color w:val="auto"/>
              </w:rPr>
              <w:t>2,1</w:t>
            </w: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ind w:right="49"/>
              <w:spacing w:after="0" w:line="137" w:lineRule="exact"/>
              <w:rPr>
                <w:sz w:val="20"/>
                <w:szCs w:val="20"/>
                <w:color w:val="auto"/>
              </w:rPr>
            </w:pPr>
            <w:r>
              <w:rPr>
                <w:rFonts w:ascii="Times New Roman" w:cs="Times New Roman" w:eastAsia="Times New Roman" w:hAnsi="Times New Roman"/>
                <w:sz w:val="14"/>
                <w:szCs w:val="14"/>
                <w:b w:val="1"/>
                <w:bCs w:val="1"/>
                <w:color w:val="auto"/>
              </w:rPr>
              <w:t>6,11</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(4,136 )</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4,351</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194</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4,545</w:t>
            </w:r>
          </w:p>
        </w:tc>
        <w:tc>
          <w:tcPr>
            <w:tcW w:w="0" w:type="dxa"/>
            <w:vAlign w:val="bottom"/>
          </w:tcPr>
          <w:p>
            <w:pPr>
              <w:spacing w:after="0"/>
              <w:rPr>
                <w:sz w:val="1"/>
                <w:szCs w:val="1"/>
                <w:color w:val="auto"/>
              </w:rPr>
            </w:pPr>
          </w:p>
        </w:tc>
      </w:tr>
      <w:tr>
        <w:trPr>
          <w:trHeight w:val="187"/>
        </w:trPr>
        <w:tc>
          <w:tcPr>
            <w:tcW w:w="4860" w:type="dxa"/>
            <w:vAlign w:val="bottom"/>
          </w:tcPr>
          <w:p>
            <w:pPr>
              <w:spacing w:after="0"/>
              <w:rPr>
                <w:sz w:val="16"/>
                <w:szCs w:val="16"/>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318</w:t>
            </w:r>
          </w:p>
        </w:tc>
        <w:tc>
          <w:tcPr>
            <w:tcW w:w="60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3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41</w:t>
            </w:r>
          </w:p>
        </w:tc>
        <w:tc>
          <w:tcPr>
            <w:tcW w:w="200" w:type="dxa"/>
            <w:vAlign w:val="bottom"/>
            <w:gridSpan w:val="2"/>
            <w:vMerge w:val="continue"/>
          </w:tcPr>
          <w:p>
            <w:pPr>
              <w:spacing w:after="0"/>
              <w:rPr>
                <w:sz w:val="16"/>
                <w:szCs w:val="16"/>
                <w:color w:val="auto"/>
              </w:rPr>
            </w:pPr>
          </w:p>
        </w:tc>
        <w:tc>
          <w:tcPr>
            <w:tcW w:w="4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3</w:t>
            </w:r>
          </w:p>
        </w:tc>
        <w:tc>
          <w:tcPr>
            <w:tcW w:w="24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860" w:type="dxa"/>
            <w:vAlign w:val="bottom"/>
            <w:shd w:val="clear" w:color="auto" w:fill="CFF0FC"/>
          </w:tcPr>
          <w:p>
            <w:pPr>
              <w:ind w:left="120"/>
              <w:spacing w:after="0" w:line="139" w:lineRule="exact"/>
              <w:rPr>
                <w:sz w:val="20"/>
                <w:szCs w:val="20"/>
                <w:color w:val="auto"/>
              </w:rPr>
            </w:pPr>
            <w:r>
              <w:rPr>
                <w:rFonts w:ascii="Times New Roman" w:cs="Times New Roman" w:eastAsia="Times New Roman" w:hAnsi="Times New Roman"/>
                <w:sz w:val="14"/>
                <w:szCs w:val="14"/>
                <w:color w:val="auto"/>
              </w:rPr>
              <w:t>Net income (loss)</w:t>
            </w: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49"/>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(1,254 )</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(1,250 )</w:t>
            </w:r>
          </w:p>
        </w:tc>
        <w:tc>
          <w:tcPr>
            <w:tcW w:w="0" w:type="dxa"/>
            <w:vAlign w:val="bottom"/>
          </w:tcPr>
          <w:p>
            <w:pPr>
              <w:spacing w:after="0"/>
              <w:rPr>
                <w:sz w:val="1"/>
                <w:szCs w:val="1"/>
                <w:color w:val="auto"/>
              </w:rPr>
            </w:pPr>
          </w:p>
        </w:tc>
      </w:tr>
      <w:tr>
        <w:trPr>
          <w:trHeight w:val="185"/>
        </w:trPr>
        <w:tc>
          <w:tcPr>
            <w:tcW w:w="48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69"/>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(1,253 )</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(3 )</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(1,256 )</w:t>
            </w:r>
          </w:p>
        </w:tc>
        <w:tc>
          <w:tcPr>
            <w:tcW w:w="0" w:type="dxa"/>
            <w:vAlign w:val="bottom"/>
          </w:tcPr>
          <w:p>
            <w:pPr>
              <w:spacing w:after="0"/>
              <w:rPr>
                <w:sz w:val="1"/>
                <w:szCs w:val="1"/>
                <w:color w:val="auto"/>
              </w:rPr>
            </w:pPr>
          </w:p>
        </w:tc>
      </w:tr>
      <w:tr>
        <w:trPr>
          <w:trHeight w:val="175"/>
        </w:trPr>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Adoption of new accounting standard</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175"/>
        </w:trPr>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75"/>
        </w:trPr>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 declared</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0" w:type="dxa"/>
            <w:vAlign w:val="bottom"/>
          </w:tcPr>
          <w:p>
            <w:pPr>
              <w:spacing w:after="0"/>
              <w:rPr>
                <w:sz w:val="1"/>
                <w:szCs w:val="1"/>
                <w:color w:val="auto"/>
              </w:rPr>
            </w:pPr>
          </w:p>
        </w:tc>
      </w:tr>
      <w:tr>
        <w:trPr>
          <w:trHeight w:val="175"/>
        </w:trPr>
        <w:tc>
          <w:tcPr>
            <w:tcW w:w="48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Common stock issued from treasury</w:t>
            </w:r>
          </w:p>
        </w:tc>
        <w:tc>
          <w:tcPr>
            <w:tcW w:w="840" w:type="dxa"/>
            <w:vAlign w:val="bottom"/>
            <w:tcBorders>
              <w:bottom w:val="single" w:sz="8" w:color="auto"/>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569,780</w:t>
            </w:r>
          </w:p>
        </w:tc>
        <w:tc>
          <w:tcPr>
            <w:tcW w:w="10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69"/>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860" w:type="dxa"/>
            <w:vAlign w:val="bottom"/>
            <w:shd w:val="clear" w:color="auto" w:fill="CFF0FC"/>
          </w:tcPr>
          <w:p>
            <w:pPr>
              <w:ind w:left="120"/>
              <w:spacing w:after="0" w:line="137" w:lineRule="exact"/>
              <w:rPr>
                <w:sz w:val="20"/>
                <w:szCs w:val="20"/>
                <w:color w:val="auto"/>
              </w:rPr>
            </w:pPr>
            <w:r>
              <w:rPr>
                <w:rFonts w:ascii="Times New Roman" w:cs="Times New Roman" w:eastAsia="Times New Roman" w:hAnsi="Times New Roman"/>
                <w:sz w:val="14"/>
                <w:szCs w:val="14"/>
                <w:color w:val="auto"/>
              </w:rPr>
              <w:t>(after deducting 45,243,329 common treasury shares)</w:t>
            </w:r>
          </w:p>
        </w:tc>
        <w:tc>
          <w:tcPr>
            <w:tcW w:w="840" w:type="dxa"/>
            <w:vAlign w:val="bottom"/>
            <w:shd w:val="clear" w:color="auto" w:fill="CFF0FC"/>
          </w:tcPr>
          <w:p>
            <w:pPr>
              <w:jc w:val="right"/>
              <w:ind w:right="69"/>
              <w:spacing w:after="0" w:line="137" w:lineRule="exact"/>
              <w:rPr>
                <w:sz w:val="20"/>
                <w:szCs w:val="20"/>
                <w:color w:val="auto"/>
              </w:rPr>
            </w:pPr>
            <w:r>
              <w:rPr>
                <w:rFonts w:ascii="Times New Roman" w:cs="Times New Roman" w:eastAsia="Times New Roman" w:hAnsi="Times New Roman"/>
                <w:sz w:val="14"/>
                <w:szCs w:val="14"/>
                <w:b w:val="1"/>
                <w:bCs w:val="1"/>
                <w:color w:val="auto"/>
              </w:rPr>
              <w:t>233,220,</w:t>
            </w:r>
          </w:p>
        </w:tc>
        <w:tc>
          <w:tcPr>
            <w:tcW w:w="100" w:type="dxa"/>
            <w:vAlign w:val="bottom"/>
            <w:vMerge w:val="restart"/>
            <w:shd w:val="clear" w:color="auto" w:fill="CFF0FC"/>
          </w:tcPr>
          <w:p>
            <w:pPr>
              <w:spacing w:after="0"/>
              <w:rPr>
                <w:sz w:val="11"/>
                <w:szCs w:val="11"/>
                <w:color w:val="auto"/>
              </w:rPr>
            </w:pPr>
          </w:p>
        </w:tc>
        <w:tc>
          <w:tcPr>
            <w:tcW w:w="500" w:type="dxa"/>
            <w:vAlign w:val="bottom"/>
            <w:vMerge w:val="restart"/>
            <w:shd w:val="clear" w:color="auto" w:fill="CFF0FC"/>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$ 233</w:t>
            </w:r>
          </w:p>
        </w:tc>
        <w:tc>
          <w:tcPr>
            <w:tcW w:w="80" w:type="dxa"/>
            <w:vAlign w:val="bottom"/>
            <w:vMerge w:val="restart"/>
            <w:shd w:val="clear" w:color="auto" w:fill="CFF0FC"/>
          </w:tcPr>
          <w:p>
            <w:pPr>
              <w:spacing w:after="0"/>
              <w:rPr>
                <w:sz w:val="11"/>
                <w:szCs w:val="11"/>
                <w:color w:val="auto"/>
              </w:rPr>
            </w:pPr>
          </w:p>
        </w:tc>
        <w:tc>
          <w:tcPr>
            <w:tcW w:w="1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shd w:val="clear" w:color="auto" w:fill="CFF0FC"/>
          </w:tcPr>
          <w:p>
            <w:pPr>
              <w:jc w:val="right"/>
              <w:ind w:right="49"/>
              <w:spacing w:after="0" w:line="137" w:lineRule="exact"/>
              <w:rPr>
                <w:sz w:val="20"/>
                <w:szCs w:val="20"/>
                <w:color w:val="auto"/>
              </w:rPr>
            </w:pPr>
            <w:r>
              <w:rPr>
                <w:rFonts w:ascii="Times New Roman" w:cs="Times New Roman" w:eastAsia="Times New Roman" w:hAnsi="Times New Roman"/>
                <w:sz w:val="14"/>
                <w:szCs w:val="14"/>
                <w:b w:val="1"/>
                <w:bCs w:val="1"/>
                <w:color w:val="auto"/>
              </w:rPr>
              <w:t>2,1</w:t>
            </w:r>
          </w:p>
        </w:tc>
        <w:tc>
          <w:tcPr>
            <w:tcW w:w="80" w:type="dxa"/>
            <w:vAlign w:val="bottom"/>
            <w:vMerge w:val="restart"/>
            <w:shd w:val="clear" w:color="auto" w:fill="CFF0FC"/>
          </w:tcPr>
          <w:p>
            <w:pPr>
              <w:spacing w:after="0"/>
              <w:rPr>
                <w:sz w:val="11"/>
                <w:szCs w:val="11"/>
                <w:color w:val="auto"/>
              </w:rPr>
            </w:pPr>
          </w:p>
        </w:tc>
        <w:tc>
          <w:tcPr>
            <w:tcW w:w="1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FF0FC"/>
          </w:tcPr>
          <w:p>
            <w:pPr>
              <w:jc w:val="right"/>
              <w:ind w:right="49"/>
              <w:spacing w:after="0" w:line="137" w:lineRule="exact"/>
              <w:rPr>
                <w:sz w:val="20"/>
                <w:szCs w:val="20"/>
                <w:color w:val="auto"/>
              </w:rPr>
            </w:pPr>
            <w:r>
              <w:rPr>
                <w:rFonts w:ascii="Times New Roman" w:cs="Times New Roman" w:eastAsia="Times New Roman" w:hAnsi="Times New Roman"/>
                <w:sz w:val="14"/>
                <w:szCs w:val="14"/>
                <w:b w:val="1"/>
                <w:bCs w:val="1"/>
                <w:color w:val="auto"/>
              </w:rPr>
              <w:t>4,80</w:t>
            </w:r>
          </w:p>
        </w:tc>
        <w:tc>
          <w:tcPr>
            <w:tcW w:w="80" w:type="dxa"/>
            <w:vAlign w:val="bottom"/>
            <w:vMerge w:val="restart"/>
            <w:shd w:val="clear" w:color="auto" w:fill="CFF0FC"/>
          </w:tcPr>
          <w:p>
            <w:pPr>
              <w:spacing w:after="0"/>
              <w:rPr>
                <w:sz w:val="11"/>
                <w:szCs w:val="11"/>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(4,135 )</w:t>
            </w:r>
          </w:p>
        </w:tc>
        <w:tc>
          <w:tcPr>
            <w:tcW w:w="80" w:type="dxa"/>
            <w:vAlign w:val="bottom"/>
            <w:vMerge w:val="restart"/>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3,078</w:t>
            </w:r>
          </w:p>
        </w:tc>
        <w:tc>
          <w:tcPr>
            <w:tcW w:w="80" w:type="dxa"/>
            <w:vAlign w:val="bottom"/>
            <w:vMerge w:val="restart"/>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181</w:t>
            </w:r>
          </w:p>
        </w:tc>
        <w:tc>
          <w:tcPr>
            <w:tcW w:w="80" w:type="dxa"/>
            <w:vAlign w:val="bottom"/>
            <w:vMerge w:val="restart"/>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3,259</w:t>
            </w:r>
          </w:p>
        </w:tc>
        <w:tc>
          <w:tcPr>
            <w:tcW w:w="0" w:type="dxa"/>
            <w:vAlign w:val="bottom"/>
          </w:tcPr>
          <w:p>
            <w:pPr>
              <w:spacing w:after="0"/>
              <w:rPr>
                <w:sz w:val="1"/>
                <w:szCs w:val="1"/>
                <w:color w:val="auto"/>
              </w:rPr>
            </w:pPr>
          </w:p>
        </w:tc>
      </w:tr>
      <w:tr>
        <w:trPr>
          <w:trHeight w:val="227"/>
        </w:trPr>
        <w:tc>
          <w:tcPr>
            <w:tcW w:w="486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098</w:t>
            </w: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50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vMerge w:val="continue"/>
            <w:shd w:val="clear" w:color="auto" w:fill="CFF0FC"/>
          </w:tcPr>
          <w:p>
            <w:pPr>
              <w:spacing w:after="0"/>
              <w:rPr>
                <w:sz w:val="19"/>
                <w:szCs w:val="19"/>
                <w:color w:val="auto"/>
              </w:rPr>
            </w:pPr>
          </w:p>
        </w:tc>
        <w:tc>
          <w:tcPr>
            <w:tcW w:w="100" w:type="dxa"/>
            <w:vAlign w:val="bottom"/>
            <w:tcBorders>
              <w:bottom w:val="single" w:sz="8" w:color="auto"/>
            </w:tcBorders>
            <w:vMerge w:val="continue"/>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71</w:t>
            </w:r>
          </w:p>
        </w:tc>
        <w:tc>
          <w:tcPr>
            <w:tcW w:w="80" w:type="dxa"/>
            <w:vAlign w:val="bottom"/>
            <w:tcBorders>
              <w:bottom w:val="single" w:sz="8" w:color="CFF0FC"/>
            </w:tcBorders>
            <w:vMerge w:val="continue"/>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9</w:t>
            </w:r>
          </w:p>
        </w:tc>
        <w:tc>
          <w:tcPr>
            <w:tcW w:w="80" w:type="dxa"/>
            <w:vAlign w:val="bottom"/>
            <w:tcBorders>
              <w:bottom w:val="single" w:sz="8" w:color="CFF0FC"/>
            </w:tcBorders>
            <w:vMerge w:val="continue"/>
            <w:shd w:val="clear" w:color="auto" w:fill="CFF0FC"/>
          </w:tcPr>
          <w:p>
            <w:pPr>
              <w:spacing w:after="0"/>
              <w:rPr>
                <w:sz w:val="19"/>
                <w:szCs w:val="19"/>
                <w:color w:val="auto"/>
              </w:rPr>
            </w:pPr>
          </w:p>
        </w:tc>
        <w:tc>
          <w:tcPr>
            <w:tcW w:w="160" w:type="dxa"/>
            <w:vAlign w:val="bottom"/>
            <w:tcBorders>
              <w:bottom w:val="single" w:sz="8" w:color="auto"/>
            </w:tcBorders>
            <w:vMerge w:val="continue"/>
            <w:shd w:val="clear" w:color="auto" w:fill="CFF0FC"/>
          </w:tcPr>
          <w:p>
            <w:pPr>
              <w:spacing w:after="0"/>
              <w:rPr>
                <w:sz w:val="19"/>
                <w:szCs w:val="19"/>
                <w:color w:val="auto"/>
              </w:rPr>
            </w:pPr>
          </w:p>
        </w:tc>
        <w:tc>
          <w:tcPr>
            <w:tcW w:w="78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vMerge w:val="continue"/>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68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vMerge w:val="continue"/>
            <w:shd w:val="clear" w:color="auto" w:fill="CFF0FC"/>
          </w:tcPr>
          <w:p>
            <w:pPr>
              <w:spacing w:after="0"/>
              <w:rPr>
                <w:sz w:val="19"/>
                <w:szCs w:val="19"/>
                <w:color w:val="auto"/>
              </w:rPr>
            </w:pPr>
          </w:p>
        </w:tc>
        <w:tc>
          <w:tcPr>
            <w:tcW w:w="100" w:type="dxa"/>
            <w:vAlign w:val="bottom"/>
            <w:tcBorders>
              <w:bottom w:val="single" w:sz="8" w:color="auto"/>
            </w:tcBorders>
            <w:vMerge w:val="continue"/>
            <w:shd w:val="clear" w:color="auto" w:fill="CFF0FC"/>
          </w:tcPr>
          <w:p>
            <w:pPr>
              <w:spacing w:after="0"/>
              <w:rPr>
                <w:sz w:val="19"/>
                <w:szCs w:val="19"/>
                <w:color w:val="auto"/>
              </w:rPr>
            </w:pPr>
          </w:p>
        </w:tc>
        <w:tc>
          <w:tcPr>
            <w:tcW w:w="82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vMerge w:val="continue"/>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68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3618230</wp:posOffset>
            </wp:positionH>
            <wp:positionV relativeFrom="paragraph">
              <wp:posOffset>-350520</wp:posOffset>
            </wp:positionV>
            <wp:extent cx="59690" cy="1200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90" cy="12001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-350520</wp:posOffset>
            </wp:positionV>
            <wp:extent cx="59690" cy="1200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690" cy="12001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-350520</wp:posOffset>
            </wp:positionV>
            <wp:extent cx="51435" cy="1200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12001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-350520</wp:posOffset>
            </wp:positionV>
            <wp:extent cx="51435" cy="1200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12001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-350520</wp:posOffset>
            </wp:positionV>
            <wp:extent cx="51435" cy="1200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12001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-350520</wp:posOffset>
            </wp:positionV>
            <wp:extent cx="51435" cy="1200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120015"/>
                    </a:xfrm>
                    <a:prstGeom prst="rect">
                      <a:avLst/>
                    </a:prstGeom>
                    <a:noFill/>
                  </pic:spPr>
                </pic:pic>
              </a:graphicData>
            </a:graphic>
          </wp:anchor>
        </w:drawing>
        <w:drawing>
          <wp:anchor simplePos="0" relativeHeight="251657728" behindDoc="1" locked="0" layoutInCell="0" allowOverlap="1">
            <wp:simplePos x="0" y="0"/>
            <wp:positionH relativeFrom="column">
              <wp:posOffset>6581140</wp:posOffset>
            </wp:positionH>
            <wp:positionV relativeFrom="paragraph">
              <wp:posOffset>-350520</wp:posOffset>
            </wp:positionV>
            <wp:extent cx="51435" cy="1200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120015"/>
                    </a:xfrm>
                    <a:prstGeom prst="rect">
                      <a:avLst/>
                    </a:prstGeom>
                    <a:noFill/>
                  </pic:spPr>
                </pic:pic>
              </a:graphicData>
            </a:graphic>
          </wp:anchor>
        </w:drawing>
        <w:drawing>
          <wp:anchor simplePos="0" relativeHeight="251657728" behindDoc="1" locked="0" layoutInCell="0" allowOverlap="1">
            <wp:simplePos x="0" y="0"/>
            <wp:positionH relativeFrom="column">
              <wp:posOffset>3618230</wp:posOffset>
            </wp:positionH>
            <wp:positionV relativeFrom="paragraph">
              <wp:posOffset>-24765</wp:posOffset>
            </wp:positionV>
            <wp:extent cx="596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3618230</wp:posOffset>
            </wp:positionH>
            <wp:positionV relativeFrom="paragraph">
              <wp:posOffset>-7620</wp:posOffset>
            </wp:positionV>
            <wp:extent cx="596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-24765</wp:posOffset>
            </wp:positionV>
            <wp:extent cx="596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-7620</wp:posOffset>
            </wp:positionV>
            <wp:extent cx="596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-24765</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-7620</wp:posOffset>
            </wp:positionV>
            <wp:extent cx="514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-24765</wp:posOffset>
            </wp:positionV>
            <wp:extent cx="51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-7620</wp:posOffset>
            </wp:positionV>
            <wp:extent cx="514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-24765</wp:posOffset>
            </wp:positionV>
            <wp:extent cx="514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-7620</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-24765</wp:posOffset>
            </wp:positionV>
            <wp:extent cx="514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-7620</wp:posOffset>
            </wp:positionV>
            <wp:extent cx="51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6581140</wp:posOffset>
            </wp:positionH>
            <wp:positionV relativeFrom="paragraph">
              <wp:posOffset>-24765</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6581140</wp:posOffset>
            </wp:positionH>
            <wp:positionV relativeFrom="paragraph">
              <wp:posOffset>-7620</wp:posOffset>
            </wp:positionV>
            <wp:extent cx="514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declared and paid cash dividends of $0.16 per common share for the year ended December 31, 2020.</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 (Continued)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rPr>
              <w:t>Minority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50"/>
              <w:spacing w:after="0" w:line="149"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center"/>
              <w:ind w:right="21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5"/>
                <w:szCs w:val="15"/>
                <w:color w:val="auto"/>
              </w:rPr>
            </w:pPr>
          </w:p>
        </w:tc>
        <w:tc>
          <w:tcPr>
            <w:tcW w:w="800" w:type="dxa"/>
            <w:vAlign w:val="bottom"/>
            <w:gridSpan w:val="2"/>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Goodyear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440" w:type="dxa"/>
            <w:vAlign w:val="bottom"/>
            <w:gridSpan w:val="3"/>
            <w:vMerge w:val="restart"/>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2"/>
                <w:szCs w:val="12"/>
                <w:color w:val="auto"/>
              </w:rPr>
            </w:pPr>
          </w:p>
        </w:tc>
        <w:tc>
          <w:tcPr>
            <w:tcW w:w="4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3"/>
                <w:szCs w:val="13"/>
                <w:b w:val="1"/>
                <w:bCs w:val="1"/>
                <w:color w:val="auto"/>
              </w:rPr>
              <w:t>Capit</w:t>
            </w:r>
          </w:p>
        </w:tc>
        <w:tc>
          <w:tcPr>
            <w:tcW w:w="80" w:type="dxa"/>
            <w:vAlign w:val="bottom"/>
          </w:tcPr>
          <w:p>
            <w:pPr>
              <w:spacing w:after="0"/>
              <w:rPr>
                <w:sz w:val="12"/>
                <w:szCs w:val="12"/>
                <w:color w:val="auto"/>
              </w:rPr>
            </w:pPr>
          </w:p>
        </w:tc>
        <w:tc>
          <w:tcPr>
            <w:tcW w:w="5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3"/>
                <w:szCs w:val="13"/>
                <w:b w:val="1"/>
                <w:bCs w:val="1"/>
                <w:color w:val="auto"/>
              </w:rPr>
              <w:t>Retain</w:t>
            </w:r>
          </w:p>
        </w:tc>
        <w:tc>
          <w:tcPr>
            <w:tcW w:w="80" w:type="dxa"/>
            <w:vAlign w:val="bottom"/>
          </w:tcPr>
          <w:p>
            <w:pPr>
              <w:spacing w:after="0"/>
              <w:rPr>
                <w:sz w:val="12"/>
                <w:szCs w:val="12"/>
                <w:color w:val="auto"/>
              </w:rPr>
            </w:pPr>
          </w:p>
        </w:tc>
        <w:tc>
          <w:tcPr>
            <w:tcW w:w="940" w:type="dxa"/>
            <w:vAlign w:val="bottom"/>
            <w:gridSpan w:val="2"/>
          </w:tcPr>
          <w:p>
            <w:pPr>
              <w:jc w:val="center"/>
              <w:ind w:right="30"/>
              <w:spacing w:after="0" w:line="149" w:lineRule="exact"/>
              <w:rPr>
                <w:sz w:val="20"/>
                <w:szCs w:val="20"/>
                <w:color w:val="auto"/>
              </w:rPr>
            </w:pPr>
            <w:r>
              <w:rPr>
                <w:rFonts w:ascii="Times New Roman" w:cs="Times New Roman" w:eastAsia="Times New Roman" w:hAnsi="Times New Roman"/>
                <w:sz w:val="13"/>
                <w:szCs w:val="13"/>
                <w:b w:val="1"/>
                <w:bCs w:val="1"/>
                <w:color w:val="auto"/>
              </w:rPr>
              <w:t>Comprehensi</w:t>
            </w:r>
          </w:p>
        </w:tc>
        <w:tc>
          <w:tcPr>
            <w:tcW w:w="80" w:type="dxa"/>
            <w:vAlign w:val="bottom"/>
          </w:tcPr>
          <w:p>
            <w:pPr>
              <w:spacing w:after="0"/>
              <w:rPr>
                <w:sz w:val="12"/>
                <w:szCs w:val="12"/>
                <w:color w:val="auto"/>
              </w:rPr>
            </w:pPr>
          </w:p>
        </w:tc>
        <w:tc>
          <w:tcPr>
            <w:tcW w:w="800" w:type="dxa"/>
            <w:vAlign w:val="bottom"/>
            <w:gridSpan w:val="2"/>
          </w:tcPr>
          <w:p>
            <w:pPr>
              <w:jc w:val="center"/>
              <w:ind w:right="49"/>
              <w:spacing w:after="0" w:line="149" w:lineRule="exact"/>
              <w:rPr>
                <w:sz w:val="20"/>
                <w:szCs w:val="20"/>
                <w:color w:val="auto"/>
              </w:rPr>
            </w:pPr>
            <w:r>
              <w:rPr>
                <w:rFonts w:ascii="Times New Roman" w:cs="Times New Roman" w:eastAsia="Times New Roman" w:hAnsi="Times New Roman"/>
                <w:sz w:val="13"/>
                <w:szCs w:val="13"/>
                <w:b w:val="1"/>
                <w:bCs w:val="1"/>
                <w:color w:val="auto"/>
              </w:rPr>
              <w:t>Shareholde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90"/>
              <w:spacing w:after="0" w:line="149" w:lineRule="exact"/>
              <w:rPr>
                <w:sz w:val="20"/>
                <w:szCs w:val="20"/>
                <w:color w:val="auto"/>
              </w:rPr>
            </w:pPr>
            <w:r>
              <w:rPr>
                <w:rFonts w:ascii="Times New Roman" w:cs="Times New Roman" w:eastAsia="Times New Roman" w:hAnsi="Times New Roman"/>
                <w:sz w:val="13"/>
                <w:szCs w:val="13"/>
                <w:b w:val="1"/>
                <w:bCs w:val="1"/>
                <w:color w:val="auto"/>
              </w:rPr>
              <w:t>Equity —</w:t>
            </w:r>
          </w:p>
        </w:tc>
        <w:tc>
          <w:tcPr>
            <w:tcW w:w="80" w:type="dxa"/>
            <w:vAlign w:val="bottom"/>
          </w:tcPr>
          <w:p>
            <w:pPr>
              <w:spacing w:after="0"/>
              <w:rPr>
                <w:sz w:val="12"/>
                <w:szCs w:val="12"/>
                <w:color w:val="auto"/>
              </w:rPr>
            </w:pPr>
          </w:p>
        </w:tc>
        <w:tc>
          <w:tcPr>
            <w:tcW w:w="800" w:type="dxa"/>
            <w:vAlign w:val="bottom"/>
            <w:gridSpan w:val="2"/>
          </w:tcPr>
          <w:p>
            <w:pPr>
              <w:jc w:val="center"/>
              <w:ind w:right="29"/>
              <w:spacing w:after="0" w:line="149" w:lineRule="exact"/>
              <w:rPr>
                <w:sz w:val="20"/>
                <w:szCs w:val="20"/>
                <w:color w:val="auto"/>
              </w:rPr>
            </w:pPr>
            <w:r>
              <w:rPr>
                <w:rFonts w:ascii="Times New Roman" w:cs="Times New Roman" w:eastAsia="Times New Roman" w:hAnsi="Times New Roman"/>
                <w:sz w:val="13"/>
                <w:szCs w:val="13"/>
                <w:b w:val="1"/>
                <w:bCs w:val="1"/>
                <w:color w:val="auto"/>
              </w:rPr>
              <w:t>Shareholde</w:t>
            </w:r>
          </w:p>
        </w:tc>
        <w:tc>
          <w:tcPr>
            <w:tcW w:w="0" w:type="dxa"/>
            <w:vAlign w:val="bottom"/>
          </w:tcPr>
          <w:p>
            <w:pPr>
              <w:spacing w:after="0"/>
              <w:rPr>
                <w:sz w:val="1"/>
                <w:szCs w:val="1"/>
                <w:color w:val="auto"/>
              </w:rPr>
            </w:pPr>
          </w:p>
        </w:tc>
      </w:tr>
      <w:tr>
        <w:trPr>
          <w:trHeight w:val="170"/>
        </w:trPr>
        <w:tc>
          <w:tcPr>
            <w:tcW w:w="4860" w:type="dxa"/>
            <w:vAlign w:val="bottom"/>
          </w:tcPr>
          <w:p>
            <w:pPr>
              <w:spacing w:after="0"/>
              <w:rPr>
                <w:sz w:val="14"/>
                <w:szCs w:val="14"/>
                <w:color w:val="auto"/>
              </w:rPr>
            </w:pPr>
          </w:p>
        </w:tc>
        <w:tc>
          <w:tcPr>
            <w:tcW w:w="1440" w:type="dxa"/>
            <w:vAlign w:val="bottom"/>
            <w:tcBorders>
              <w:bottom w:val="single" w:sz="8" w:color="auto"/>
            </w:tcBorders>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190"/>
              <w:spacing w:after="0"/>
              <w:rPr>
                <w:sz w:val="20"/>
                <w:szCs w:val="20"/>
                <w:color w:val="auto"/>
              </w:rPr>
            </w:pPr>
            <w:r>
              <w:rPr>
                <w:rFonts w:ascii="Times New Roman" w:cs="Times New Roman" w:eastAsia="Times New Roman" w:hAnsi="Times New Roman"/>
                <w:sz w:val="13"/>
                <w:szCs w:val="13"/>
                <w:b w:val="1"/>
                <w:bCs w:val="1"/>
                <w:color w:val="auto"/>
                <w:w w:val="97"/>
              </w:rPr>
              <w:t>ve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rPr>
              <w:t>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rPr>
              <w:t>Non-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w w:val="96"/>
              </w:rPr>
              <w:t>rs'</w:t>
            </w:r>
          </w:p>
        </w:tc>
        <w:tc>
          <w:tcPr>
            <w:tcW w:w="0" w:type="dxa"/>
            <w:vAlign w:val="bottom"/>
          </w:tcPr>
          <w:p>
            <w:pPr>
              <w:spacing w:after="0"/>
              <w:rPr>
                <w:sz w:val="1"/>
                <w:szCs w:val="1"/>
                <w:color w:val="auto"/>
              </w:rPr>
            </w:pPr>
          </w:p>
        </w:tc>
      </w:tr>
      <w:tr>
        <w:trPr>
          <w:trHeight w:val="139"/>
        </w:trPr>
        <w:tc>
          <w:tcPr>
            <w:tcW w:w="4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13"/>
              <w:spacing w:after="0" w:line="139" w:lineRule="exact"/>
              <w:rPr>
                <w:sz w:val="20"/>
                <w:szCs w:val="20"/>
                <w:color w:val="auto"/>
              </w:rPr>
            </w:pPr>
            <w:r>
              <w:rPr>
                <w:rFonts w:ascii="Times New Roman" w:cs="Times New Roman" w:eastAsia="Times New Roman" w:hAnsi="Times New Roman"/>
                <w:sz w:val="13"/>
                <w:szCs w:val="13"/>
                <w:b w:val="1"/>
                <w:bCs w:val="1"/>
                <w:color w:val="auto"/>
              </w:rPr>
              <w:t>Amo</w:t>
            </w:r>
          </w:p>
        </w:tc>
        <w:tc>
          <w:tcPr>
            <w:tcW w:w="80" w:type="dxa"/>
            <w:vAlign w:val="bottom"/>
          </w:tcPr>
          <w:p>
            <w:pPr>
              <w:spacing w:after="0"/>
              <w:rPr>
                <w:sz w:val="12"/>
                <w:szCs w:val="12"/>
                <w:color w:val="auto"/>
              </w:rPr>
            </w:pPr>
          </w:p>
        </w:tc>
        <w:tc>
          <w:tcPr>
            <w:tcW w:w="4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b w:val="1"/>
                <w:bCs w:val="1"/>
                <w:color w:val="auto"/>
              </w:rPr>
              <w:t>Surpl</w:t>
            </w:r>
          </w:p>
        </w:tc>
        <w:tc>
          <w:tcPr>
            <w:tcW w:w="80" w:type="dxa"/>
            <w:vAlign w:val="bottom"/>
          </w:tcPr>
          <w:p>
            <w:pPr>
              <w:spacing w:after="0"/>
              <w:rPr>
                <w:sz w:val="12"/>
                <w:szCs w:val="12"/>
                <w:color w:val="auto"/>
              </w:rPr>
            </w:pPr>
          </w:p>
        </w:tc>
        <w:tc>
          <w:tcPr>
            <w:tcW w:w="5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b w:val="1"/>
                <w:bCs w:val="1"/>
                <w:color w:val="auto"/>
              </w:rPr>
              <w:t>Earnin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 except per share amounts)</w:t>
            </w:r>
          </w:p>
        </w:tc>
        <w:tc>
          <w:tcPr>
            <w:tcW w:w="84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unt</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w w:val="97"/>
              </w:rPr>
              <w:t>us</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gs</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3"/>
                <w:szCs w:val="13"/>
                <w:b w:val="1"/>
                <w:bCs w:val="1"/>
                <w:color w:val="auto"/>
              </w:rPr>
              <w:t>Loss</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80" w:type="dxa"/>
            <w:vAlign w:val="bottom"/>
          </w:tcPr>
          <w:p>
            <w:pPr>
              <w:spacing w:after="0"/>
              <w:rPr>
                <w:sz w:val="15"/>
                <w:szCs w:val="15"/>
                <w:color w:val="auto"/>
              </w:rPr>
            </w:pPr>
          </w:p>
        </w:tc>
        <w:tc>
          <w:tcPr>
            <w:tcW w:w="92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Redeemable</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69"/>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86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(after deducting 45,243,329 common treasury shares)</w:t>
            </w:r>
          </w:p>
        </w:tc>
        <w:tc>
          <w:tcPr>
            <w:tcW w:w="840" w:type="dxa"/>
            <w:vAlign w:val="bottom"/>
          </w:tcPr>
          <w:p>
            <w:pPr>
              <w:jc w:val="right"/>
              <w:ind w:right="69"/>
              <w:spacing w:after="0" w:line="137" w:lineRule="exact"/>
              <w:rPr>
                <w:sz w:val="20"/>
                <w:szCs w:val="20"/>
                <w:color w:val="auto"/>
              </w:rPr>
            </w:pPr>
            <w:r>
              <w:rPr>
                <w:rFonts w:ascii="Times New Roman" w:cs="Times New Roman" w:eastAsia="Times New Roman" w:hAnsi="Times New Roman"/>
                <w:sz w:val="14"/>
                <w:szCs w:val="14"/>
                <w:b w:val="1"/>
                <w:bCs w:val="1"/>
                <w:color w:val="auto"/>
              </w:rPr>
              <w:t>233,220,</w:t>
            </w:r>
          </w:p>
        </w:tc>
        <w:tc>
          <w:tcPr>
            <w:tcW w:w="600" w:type="dxa"/>
            <w:vAlign w:val="bottom"/>
            <w:gridSpan w:val="2"/>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$ 233</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tcPr>
          <w:p>
            <w:pPr>
              <w:jc w:val="right"/>
              <w:ind w:right="49"/>
              <w:spacing w:after="0" w:line="137" w:lineRule="exact"/>
              <w:rPr>
                <w:sz w:val="20"/>
                <w:szCs w:val="20"/>
                <w:color w:val="auto"/>
              </w:rPr>
            </w:pPr>
            <w:r>
              <w:rPr>
                <w:rFonts w:ascii="Times New Roman" w:cs="Times New Roman" w:eastAsia="Times New Roman" w:hAnsi="Times New Roman"/>
                <w:sz w:val="14"/>
                <w:szCs w:val="14"/>
                <w:b w:val="1"/>
                <w:bCs w:val="1"/>
                <w:color w:val="auto"/>
              </w:rPr>
              <w:t>2,1</w:t>
            </w: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ind w:right="49"/>
              <w:spacing w:after="0" w:line="137" w:lineRule="exact"/>
              <w:rPr>
                <w:sz w:val="20"/>
                <w:szCs w:val="20"/>
                <w:color w:val="auto"/>
              </w:rPr>
            </w:pPr>
            <w:r>
              <w:rPr>
                <w:rFonts w:ascii="Times New Roman" w:cs="Times New Roman" w:eastAsia="Times New Roman" w:hAnsi="Times New Roman"/>
                <w:sz w:val="14"/>
                <w:szCs w:val="14"/>
                <w:b w:val="1"/>
                <w:bCs w:val="1"/>
                <w:color w:val="auto"/>
              </w:rPr>
              <w:t>4,80</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(4,135 )</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3,078</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181</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3,259</w:t>
            </w:r>
          </w:p>
        </w:tc>
        <w:tc>
          <w:tcPr>
            <w:tcW w:w="0" w:type="dxa"/>
            <w:vAlign w:val="bottom"/>
          </w:tcPr>
          <w:p>
            <w:pPr>
              <w:spacing w:after="0"/>
              <w:rPr>
                <w:sz w:val="1"/>
                <w:szCs w:val="1"/>
                <w:color w:val="auto"/>
              </w:rPr>
            </w:pPr>
          </w:p>
        </w:tc>
      </w:tr>
      <w:tr>
        <w:trPr>
          <w:trHeight w:val="187"/>
        </w:trPr>
        <w:tc>
          <w:tcPr>
            <w:tcW w:w="4860" w:type="dxa"/>
            <w:vAlign w:val="bottom"/>
          </w:tcPr>
          <w:p>
            <w:pPr>
              <w:spacing w:after="0"/>
              <w:rPr>
                <w:sz w:val="16"/>
                <w:szCs w:val="16"/>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098</w:t>
            </w:r>
          </w:p>
        </w:tc>
        <w:tc>
          <w:tcPr>
            <w:tcW w:w="60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3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71</w:t>
            </w:r>
          </w:p>
        </w:tc>
        <w:tc>
          <w:tcPr>
            <w:tcW w:w="200" w:type="dxa"/>
            <w:vAlign w:val="bottom"/>
            <w:gridSpan w:val="2"/>
            <w:vMerge w:val="continue"/>
          </w:tcPr>
          <w:p>
            <w:pPr>
              <w:spacing w:after="0"/>
              <w:rPr>
                <w:sz w:val="16"/>
                <w:szCs w:val="16"/>
                <w:color w:val="auto"/>
              </w:rPr>
            </w:pPr>
          </w:p>
        </w:tc>
        <w:tc>
          <w:tcPr>
            <w:tcW w:w="4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9</w:t>
            </w:r>
          </w:p>
        </w:tc>
        <w:tc>
          <w:tcPr>
            <w:tcW w:w="24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764</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764</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780</w:t>
            </w:r>
          </w:p>
        </w:tc>
        <w:tc>
          <w:tcPr>
            <w:tcW w:w="0" w:type="dxa"/>
            <w:vAlign w:val="bottom"/>
          </w:tcPr>
          <w:p>
            <w:pPr>
              <w:spacing w:after="0"/>
              <w:rPr>
                <w:sz w:val="1"/>
                <w:szCs w:val="1"/>
                <w:color w:val="auto"/>
              </w:rPr>
            </w:pPr>
          </w:p>
        </w:tc>
      </w:tr>
      <w:tr>
        <w:trPr>
          <w:trHeight w:val="175"/>
        </w:trPr>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169"/>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936</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(4 )</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932</w:t>
            </w:r>
          </w:p>
        </w:tc>
        <w:tc>
          <w:tcPr>
            <w:tcW w:w="0" w:type="dxa"/>
            <w:vAlign w:val="bottom"/>
          </w:tcPr>
          <w:p>
            <w:pPr>
              <w:spacing w:after="0"/>
              <w:rPr>
                <w:sz w:val="1"/>
                <w:szCs w:val="1"/>
                <w:color w:val="auto"/>
              </w:rPr>
            </w:pPr>
          </w:p>
        </w:tc>
      </w:tr>
      <w:tr>
        <w:trPr>
          <w:trHeight w:val="139"/>
        </w:trPr>
        <w:tc>
          <w:tcPr>
            <w:tcW w:w="486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Common stock issued</w:t>
            </w:r>
          </w:p>
        </w:tc>
        <w:tc>
          <w:tcPr>
            <w:tcW w:w="840" w:type="dxa"/>
            <w:vAlign w:val="bottom"/>
          </w:tcPr>
          <w:p>
            <w:pPr>
              <w:jc w:val="right"/>
              <w:ind w:right="69"/>
              <w:spacing w:after="0" w:line="139" w:lineRule="exact"/>
              <w:rPr>
                <w:sz w:val="20"/>
                <w:szCs w:val="20"/>
                <w:color w:val="auto"/>
              </w:rPr>
            </w:pPr>
            <w:r>
              <w:rPr>
                <w:rFonts w:ascii="Times New Roman" w:cs="Times New Roman" w:eastAsia="Times New Roman" w:hAnsi="Times New Roman"/>
                <w:sz w:val="14"/>
                <w:szCs w:val="14"/>
                <w:color w:val="auto"/>
              </w:rPr>
              <w:t>45,824,4</w:t>
            </w:r>
          </w:p>
        </w:tc>
        <w:tc>
          <w:tcPr>
            <w:tcW w:w="600" w:type="dxa"/>
            <w:vAlign w:val="bottom"/>
            <w:gridSpan w:val="2"/>
            <w:vMerge w:val="restart"/>
          </w:tcPr>
          <w:p>
            <w:pPr>
              <w:jc w:val="right"/>
              <w:ind w:right="73"/>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892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938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938</w:t>
            </w:r>
          </w:p>
        </w:tc>
        <w:tc>
          <w:tcPr>
            <w:tcW w:w="0" w:type="dxa"/>
            <w:vAlign w:val="bottom"/>
          </w:tcPr>
          <w:p>
            <w:pPr>
              <w:spacing w:after="0"/>
              <w:rPr>
                <w:sz w:val="1"/>
                <w:szCs w:val="1"/>
                <w:color w:val="auto"/>
              </w:rPr>
            </w:pPr>
          </w:p>
        </w:tc>
      </w:tr>
      <w:tr>
        <w:trPr>
          <w:trHeight w:val="185"/>
        </w:trPr>
        <w:tc>
          <w:tcPr>
            <w:tcW w:w="4860" w:type="dxa"/>
            <w:vAlign w:val="bottom"/>
          </w:tcPr>
          <w:p>
            <w:pPr>
              <w:spacing w:after="0"/>
              <w:rPr>
                <w:sz w:val="16"/>
                <w:szCs w:val="16"/>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80</w:t>
            </w:r>
          </w:p>
        </w:tc>
        <w:tc>
          <w:tcPr>
            <w:tcW w:w="6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75"/>
        </w:trPr>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 declared</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r>
        <w:trPr>
          <w:trHeight w:val="139"/>
        </w:trPr>
        <w:tc>
          <w:tcPr>
            <w:tcW w:w="4860" w:type="dxa"/>
            <w:vAlign w:val="bottom"/>
            <w:shd w:val="clear" w:color="auto" w:fill="CFF0FC"/>
          </w:tcPr>
          <w:p>
            <w:pPr>
              <w:ind w:left="120"/>
              <w:spacing w:after="0" w:line="139" w:lineRule="exact"/>
              <w:rPr>
                <w:sz w:val="20"/>
                <w:szCs w:val="20"/>
                <w:color w:val="auto"/>
              </w:rPr>
            </w:pPr>
            <w:r>
              <w:rPr>
                <w:rFonts w:ascii="Times New Roman" w:cs="Times New Roman" w:eastAsia="Times New Roman" w:hAnsi="Times New Roman"/>
                <w:sz w:val="14"/>
                <w:szCs w:val="14"/>
                <w:color w:val="auto"/>
              </w:rPr>
              <w:t>Common stock issued from treasury</w:t>
            </w:r>
          </w:p>
        </w:tc>
        <w:tc>
          <w:tcPr>
            <w:tcW w:w="840" w:type="dxa"/>
            <w:vAlign w:val="bottom"/>
            <w:shd w:val="clear" w:color="auto" w:fill="CFF0FC"/>
          </w:tcPr>
          <w:p>
            <w:pPr>
              <w:jc w:val="right"/>
              <w:ind w:right="69"/>
              <w:spacing w:after="0" w:line="139" w:lineRule="exact"/>
              <w:rPr>
                <w:sz w:val="20"/>
                <w:szCs w:val="20"/>
                <w:color w:val="auto"/>
              </w:rPr>
            </w:pPr>
            <w:r>
              <w:rPr>
                <w:rFonts w:ascii="Times New Roman" w:cs="Times New Roman" w:eastAsia="Times New Roman" w:hAnsi="Times New Roman"/>
                <w:sz w:val="14"/>
                <w:szCs w:val="14"/>
                <w:color w:val="auto"/>
              </w:rPr>
              <w:t>2,748,64</w:t>
            </w:r>
          </w:p>
        </w:tc>
        <w:tc>
          <w:tcPr>
            <w:tcW w:w="600" w:type="dxa"/>
            <w:vAlign w:val="bottom"/>
            <w:gridSpan w:val="2"/>
            <w:vMerge w:val="restart"/>
            <w:shd w:val="clear" w:color="auto" w:fill="CFF0FC"/>
          </w:tcPr>
          <w:p>
            <w:pPr>
              <w:jc w:val="right"/>
              <w:ind w:right="73"/>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5"/>
        </w:trPr>
        <w:tc>
          <w:tcPr>
            <w:tcW w:w="48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5</w:t>
            </w:r>
          </w:p>
        </w:tc>
        <w:tc>
          <w:tcPr>
            <w:tcW w:w="60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 of Cooper Tire's minority interests</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69"/>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86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(after deducting 42,494,684 common treasury shares)</w:t>
            </w:r>
          </w:p>
        </w:tc>
        <w:tc>
          <w:tcPr>
            <w:tcW w:w="840" w:type="dxa"/>
            <w:vAlign w:val="bottom"/>
          </w:tcPr>
          <w:p>
            <w:pPr>
              <w:jc w:val="right"/>
              <w:ind w:right="69"/>
              <w:spacing w:after="0" w:line="137" w:lineRule="exact"/>
              <w:rPr>
                <w:sz w:val="20"/>
                <w:szCs w:val="20"/>
                <w:color w:val="auto"/>
              </w:rPr>
            </w:pPr>
            <w:r>
              <w:rPr>
                <w:rFonts w:ascii="Times New Roman" w:cs="Times New Roman" w:eastAsia="Times New Roman" w:hAnsi="Times New Roman"/>
                <w:sz w:val="14"/>
                <w:szCs w:val="14"/>
                <w:b w:val="1"/>
                <w:bCs w:val="1"/>
                <w:color w:val="auto"/>
              </w:rPr>
              <w:t>281,793,</w:t>
            </w:r>
          </w:p>
        </w:tc>
        <w:tc>
          <w:tcPr>
            <w:tcW w:w="600" w:type="dxa"/>
            <w:vAlign w:val="bottom"/>
            <w:gridSpan w:val="2"/>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$ 282</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tcPr>
          <w:p>
            <w:pPr>
              <w:jc w:val="right"/>
              <w:ind w:right="49"/>
              <w:spacing w:after="0" w:line="137" w:lineRule="exact"/>
              <w:rPr>
                <w:sz w:val="20"/>
                <w:szCs w:val="20"/>
                <w:color w:val="auto"/>
              </w:rPr>
            </w:pPr>
            <w:r>
              <w:rPr>
                <w:rFonts w:ascii="Times New Roman" w:cs="Times New Roman" w:eastAsia="Times New Roman" w:hAnsi="Times New Roman"/>
                <w:sz w:val="14"/>
                <w:szCs w:val="14"/>
                <w:b w:val="1"/>
                <w:bCs w:val="1"/>
                <w:color w:val="auto"/>
              </w:rPr>
              <w:t>3,1</w:t>
            </w: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ind w:right="49"/>
              <w:spacing w:after="0" w:line="137" w:lineRule="exact"/>
              <w:rPr>
                <w:sz w:val="20"/>
                <w:szCs w:val="20"/>
                <w:color w:val="auto"/>
              </w:rPr>
            </w:pPr>
            <w:r>
              <w:rPr>
                <w:rFonts w:ascii="Times New Roman" w:cs="Times New Roman" w:eastAsia="Times New Roman" w:hAnsi="Times New Roman"/>
                <w:sz w:val="14"/>
                <w:szCs w:val="14"/>
                <w:b w:val="1"/>
                <w:bCs w:val="1"/>
                <w:color w:val="auto"/>
              </w:rPr>
              <w:t>5,57</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(3,963 )</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4,999</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185</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5,184</w:t>
            </w:r>
          </w:p>
        </w:tc>
        <w:tc>
          <w:tcPr>
            <w:tcW w:w="0" w:type="dxa"/>
            <w:vAlign w:val="bottom"/>
          </w:tcPr>
          <w:p>
            <w:pPr>
              <w:spacing w:after="0"/>
              <w:rPr>
                <w:sz w:val="1"/>
                <w:szCs w:val="1"/>
                <w:color w:val="auto"/>
              </w:rPr>
            </w:pPr>
          </w:p>
        </w:tc>
      </w:tr>
      <w:tr>
        <w:trPr>
          <w:trHeight w:val="187"/>
        </w:trPr>
        <w:tc>
          <w:tcPr>
            <w:tcW w:w="4860" w:type="dxa"/>
            <w:vAlign w:val="bottom"/>
          </w:tcPr>
          <w:p>
            <w:pPr>
              <w:spacing w:after="0"/>
              <w:rPr>
                <w:sz w:val="16"/>
                <w:szCs w:val="16"/>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223</w:t>
            </w:r>
          </w:p>
        </w:tc>
        <w:tc>
          <w:tcPr>
            <w:tcW w:w="60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3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07</w:t>
            </w:r>
          </w:p>
        </w:tc>
        <w:tc>
          <w:tcPr>
            <w:tcW w:w="200" w:type="dxa"/>
            <w:vAlign w:val="bottom"/>
            <w:gridSpan w:val="2"/>
            <w:vMerge w:val="continue"/>
          </w:tcPr>
          <w:p>
            <w:pPr>
              <w:spacing w:after="0"/>
              <w:rPr>
                <w:sz w:val="16"/>
                <w:szCs w:val="16"/>
                <w:color w:val="auto"/>
              </w:rPr>
            </w:pPr>
          </w:p>
        </w:tc>
        <w:tc>
          <w:tcPr>
            <w:tcW w:w="4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3</w:t>
            </w:r>
          </w:p>
        </w:tc>
        <w:tc>
          <w:tcPr>
            <w:tcW w:w="24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dividends declared or paid for the year ended December 31, 2021.</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 (Continued)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rPr>
              <w:t>Minority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50"/>
              <w:spacing w:after="0" w:line="149"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center"/>
              <w:ind w:right="21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5"/>
                <w:szCs w:val="15"/>
                <w:color w:val="auto"/>
              </w:rPr>
            </w:pPr>
          </w:p>
        </w:tc>
        <w:tc>
          <w:tcPr>
            <w:tcW w:w="800" w:type="dxa"/>
            <w:vAlign w:val="bottom"/>
            <w:gridSpan w:val="2"/>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Goodyear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440" w:type="dxa"/>
            <w:vAlign w:val="bottom"/>
            <w:gridSpan w:val="3"/>
            <w:vMerge w:val="restart"/>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2"/>
                <w:szCs w:val="12"/>
                <w:color w:val="auto"/>
              </w:rPr>
            </w:pPr>
          </w:p>
        </w:tc>
        <w:tc>
          <w:tcPr>
            <w:tcW w:w="4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3"/>
                <w:szCs w:val="13"/>
                <w:b w:val="1"/>
                <w:bCs w:val="1"/>
                <w:color w:val="auto"/>
              </w:rPr>
              <w:t>Capit</w:t>
            </w:r>
          </w:p>
        </w:tc>
        <w:tc>
          <w:tcPr>
            <w:tcW w:w="80" w:type="dxa"/>
            <w:vAlign w:val="bottom"/>
          </w:tcPr>
          <w:p>
            <w:pPr>
              <w:spacing w:after="0"/>
              <w:rPr>
                <w:sz w:val="12"/>
                <w:szCs w:val="12"/>
                <w:color w:val="auto"/>
              </w:rPr>
            </w:pPr>
          </w:p>
        </w:tc>
        <w:tc>
          <w:tcPr>
            <w:tcW w:w="5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3"/>
                <w:szCs w:val="13"/>
                <w:b w:val="1"/>
                <w:bCs w:val="1"/>
                <w:color w:val="auto"/>
              </w:rPr>
              <w:t>Retain</w:t>
            </w:r>
          </w:p>
        </w:tc>
        <w:tc>
          <w:tcPr>
            <w:tcW w:w="80" w:type="dxa"/>
            <w:vAlign w:val="bottom"/>
          </w:tcPr>
          <w:p>
            <w:pPr>
              <w:spacing w:after="0"/>
              <w:rPr>
                <w:sz w:val="12"/>
                <w:szCs w:val="12"/>
                <w:color w:val="auto"/>
              </w:rPr>
            </w:pPr>
          </w:p>
        </w:tc>
        <w:tc>
          <w:tcPr>
            <w:tcW w:w="940" w:type="dxa"/>
            <w:vAlign w:val="bottom"/>
            <w:gridSpan w:val="2"/>
          </w:tcPr>
          <w:p>
            <w:pPr>
              <w:jc w:val="center"/>
              <w:ind w:right="30"/>
              <w:spacing w:after="0" w:line="149" w:lineRule="exact"/>
              <w:rPr>
                <w:sz w:val="20"/>
                <w:szCs w:val="20"/>
                <w:color w:val="auto"/>
              </w:rPr>
            </w:pPr>
            <w:r>
              <w:rPr>
                <w:rFonts w:ascii="Times New Roman" w:cs="Times New Roman" w:eastAsia="Times New Roman" w:hAnsi="Times New Roman"/>
                <w:sz w:val="13"/>
                <w:szCs w:val="13"/>
                <w:b w:val="1"/>
                <w:bCs w:val="1"/>
                <w:color w:val="auto"/>
              </w:rPr>
              <w:t>Comprehensi</w:t>
            </w:r>
          </w:p>
        </w:tc>
        <w:tc>
          <w:tcPr>
            <w:tcW w:w="80" w:type="dxa"/>
            <w:vAlign w:val="bottom"/>
          </w:tcPr>
          <w:p>
            <w:pPr>
              <w:spacing w:after="0"/>
              <w:rPr>
                <w:sz w:val="12"/>
                <w:szCs w:val="12"/>
                <w:color w:val="auto"/>
              </w:rPr>
            </w:pPr>
          </w:p>
        </w:tc>
        <w:tc>
          <w:tcPr>
            <w:tcW w:w="800" w:type="dxa"/>
            <w:vAlign w:val="bottom"/>
            <w:gridSpan w:val="2"/>
          </w:tcPr>
          <w:p>
            <w:pPr>
              <w:jc w:val="center"/>
              <w:ind w:right="49"/>
              <w:spacing w:after="0" w:line="149" w:lineRule="exact"/>
              <w:rPr>
                <w:sz w:val="20"/>
                <w:szCs w:val="20"/>
                <w:color w:val="auto"/>
              </w:rPr>
            </w:pPr>
            <w:r>
              <w:rPr>
                <w:rFonts w:ascii="Times New Roman" w:cs="Times New Roman" w:eastAsia="Times New Roman" w:hAnsi="Times New Roman"/>
                <w:sz w:val="13"/>
                <w:szCs w:val="13"/>
                <w:b w:val="1"/>
                <w:bCs w:val="1"/>
                <w:color w:val="auto"/>
              </w:rPr>
              <w:t>Shareholde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90"/>
              <w:spacing w:after="0" w:line="149" w:lineRule="exact"/>
              <w:rPr>
                <w:sz w:val="20"/>
                <w:szCs w:val="20"/>
                <w:color w:val="auto"/>
              </w:rPr>
            </w:pPr>
            <w:r>
              <w:rPr>
                <w:rFonts w:ascii="Times New Roman" w:cs="Times New Roman" w:eastAsia="Times New Roman" w:hAnsi="Times New Roman"/>
                <w:sz w:val="13"/>
                <w:szCs w:val="13"/>
                <w:b w:val="1"/>
                <w:bCs w:val="1"/>
                <w:color w:val="auto"/>
              </w:rPr>
              <w:t>Equity —</w:t>
            </w:r>
          </w:p>
        </w:tc>
        <w:tc>
          <w:tcPr>
            <w:tcW w:w="80" w:type="dxa"/>
            <w:vAlign w:val="bottom"/>
          </w:tcPr>
          <w:p>
            <w:pPr>
              <w:spacing w:after="0"/>
              <w:rPr>
                <w:sz w:val="12"/>
                <w:szCs w:val="12"/>
                <w:color w:val="auto"/>
              </w:rPr>
            </w:pPr>
          </w:p>
        </w:tc>
        <w:tc>
          <w:tcPr>
            <w:tcW w:w="800" w:type="dxa"/>
            <w:vAlign w:val="bottom"/>
            <w:gridSpan w:val="2"/>
          </w:tcPr>
          <w:p>
            <w:pPr>
              <w:jc w:val="center"/>
              <w:ind w:right="29"/>
              <w:spacing w:after="0" w:line="149" w:lineRule="exact"/>
              <w:rPr>
                <w:sz w:val="20"/>
                <w:szCs w:val="20"/>
                <w:color w:val="auto"/>
              </w:rPr>
            </w:pPr>
            <w:r>
              <w:rPr>
                <w:rFonts w:ascii="Times New Roman" w:cs="Times New Roman" w:eastAsia="Times New Roman" w:hAnsi="Times New Roman"/>
                <w:sz w:val="13"/>
                <w:szCs w:val="13"/>
                <w:b w:val="1"/>
                <w:bCs w:val="1"/>
                <w:color w:val="auto"/>
              </w:rPr>
              <w:t>Shareholde</w:t>
            </w:r>
          </w:p>
        </w:tc>
        <w:tc>
          <w:tcPr>
            <w:tcW w:w="0" w:type="dxa"/>
            <w:vAlign w:val="bottom"/>
          </w:tcPr>
          <w:p>
            <w:pPr>
              <w:spacing w:after="0"/>
              <w:rPr>
                <w:sz w:val="1"/>
                <w:szCs w:val="1"/>
                <w:color w:val="auto"/>
              </w:rPr>
            </w:pPr>
          </w:p>
        </w:tc>
      </w:tr>
      <w:tr>
        <w:trPr>
          <w:trHeight w:val="170"/>
        </w:trPr>
        <w:tc>
          <w:tcPr>
            <w:tcW w:w="4860" w:type="dxa"/>
            <w:vAlign w:val="bottom"/>
          </w:tcPr>
          <w:p>
            <w:pPr>
              <w:spacing w:after="0"/>
              <w:rPr>
                <w:sz w:val="14"/>
                <w:szCs w:val="14"/>
                <w:color w:val="auto"/>
              </w:rPr>
            </w:pPr>
          </w:p>
        </w:tc>
        <w:tc>
          <w:tcPr>
            <w:tcW w:w="1440" w:type="dxa"/>
            <w:vAlign w:val="bottom"/>
            <w:tcBorders>
              <w:bottom w:val="single" w:sz="8" w:color="auto"/>
            </w:tcBorders>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190"/>
              <w:spacing w:after="0"/>
              <w:rPr>
                <w:sz w:val="20"/>
                <w:szCs w:val="20"/>
                <w:color w:val="auto"/>
              </w:rPr>
            </w:pPr>
            <w:r>
              <w:rPr>
                <w:rFonts w:ascii="Times New Roman" w:cs="Times New Roman" w:eastAsia="Times New Roman" w:hAnsi="Times New Roman"/>
                <w:sz w:val="13"/>
                <w:szCs w:val="13"/>
                <w:b w:val="1"/>
                <w:bCs w:val="1"/>
                <w:color w:val="auto"/>
                <w:w w:val="97"/>
              </w:rPr>
              <w:t>ve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rPr>
              <w:t>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rPr>
              <w:t>Non-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w w:val="96"/>
              </w:rPr>
              <w:t>rs'</w:t>
            </w:r>
          </w:p>
        </w:tc>
        <w:tc>
          <w:tcPr>
            <w:tcW w:w="0" w:type="dxa"/>
            <w:vAlign w:val="bottom"/>
          </w:tcPr>
          <w:p>
            <w:pPr>
              <w:spacing w:after="0"/>
              <w:rPr>
                <w:sz w:val="1"/>
                <w:szCs w:val="1"/>
                <w:color w:val="auto"/>
              </w:rPr>
            </w:pPr>
          </w:p>
        </w:tc>
      </w:tr>
      <w:tr>
        <w:trPr>
          <w:trHeight w:val="139"/>
        </w:trPr>
        <w:tc>
          <w:tcPr>
            <w:tcW w:w="4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13"/>
              <w:spacing w:after="0" w:line="139" w:lineRule="exact"/>
              <w:rPr>
                <w:sz w:val="20"/>
                <w:szCs w:val="20"/>
                <w:color w:val="auto"/>
              </w:rPr>
            </w:pPr>
            <w:r>
              <w:rPr>
                <w:rFonts w:ascii="Times New Roman" w:cs="Times New Roman" w:eastAsia="Times New Roman" w:hAnsi="Times New Roman"/>
                <w:sz w:val="13"/>
                <w:szCs w:val="13"/>
                <w:b w:val="1"/>
                <w:bCs w:val="1"/>
                <w:color w:val="auto"/>
              </w:rPr>
              <w:t>Amo</w:t>
            </w:r>
          </w:p>
        </w:tc>
        <w:tc>
          <w:tcPr>
            <w:tcW w:w="80" w:type="dxa"/>
            <w:vAlign w:val="bottom"/>
          </w:tcPr>
          <w:p>
            <w:pPr>
              <w:spacing w:after="0"/>
              <w:rPr>
                <w:sz w:val="12"/>
                <w:szCs w:val="12"/>
                <w:color w:val="auto"/>
              </w:rPr>
            </w:pPr>
          </w:p>
        </w:tc>
        <w:tc>
          <w:tcPr>
            <w:tcW w:w="4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b w:val="1"/>
                <w:bCs w:val="1"/>
                <w:color w:val="auto"/>
              </w:rPr>
              <w:t>Surpl</w:t>
            </w:r>
          </w:p>
        </w:tc>
        <w:tc>
          <w:tcPr>
            <w:tcW w:w="80" w:type="dxa"/>
            <w:vAlign w:val="bottom"/>
          </w:tcPr>
          <w:p>
            <w:pPr>
              <w:spacing w:after="0"/>
              <w:rPr>
                <w:sz w:val="12"/>
                <w:szCs w:val="12"/>
                <w:color w:val="auto"/>
              </w:rPr>
            </w:pPr>
          </w:p>
        </w:tc>
        <w:tc>
          <w:tcPr>
            <w:tcW w:w="5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b w:val="1"/>
                <w:bCs w:val="1"/>
                <w:color w:val="auto"/>
              </w:rPr>
              <w:t>Earnin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 except per share amounts)</w:t>
            </w:r>
          </w:p>
        </w:tc>
        <w:tc>
          <w:tcPr>
            <w:tcW w:w="84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unt</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w w:val="97"/>
              </w:rPr>
              <w:t>us</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gs</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3"/>
                <w:szCs w:val="13"/>
                <w:b w:val="1"/>
                <w:bCs w:val="1"/>
                <w:color w:val="auto"/>
              </w:rPr>
              <w:t>Loss</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80" w:type="dxa"/>
            <w:vAlign w:val="bottom"/>
          </w:tcPr>
          <w:p>
            <w:pPr>
              <w:spacing w:after="0"/>
              <w:rPr>
                <w:sz w:val="15"/>
                <w:szCs w:val="15"/>
                <w:color w:val="auto"/>
              </w:rPr>
            </w:pPr>
          </w:p>
        </w:tc>
        <w:tc>
          <w:tcPr>
            <w:tcW w:w="92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Redeemable</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69"/>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86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(after deducting 42,494,684 common treasury shares)</w:t>
            </w:r>
          </w:p>
        </w:tc>
        <w:tc>
          <w:tcPr>
            <w:tcW w:w="840" w:type="dxa"/>
            <w:vAlign w:val="bottom"/>
          </w:tcPr>
          <w:p>
            <w:pPr>
              <w:jc w:val="right"/>
              <w:ind w:right="69"/>
              <w:spacing w:after="0" w:line="137" w:lineRule="exact"/>
              <w:rPr>
                <w:sz w:val="20"/>
                <w:szCs w:val="20"/>
                <w:color w:val="auto"/>
              </w:rPr>
            </w:pPr>
            <w:r>
              <w:rPr>
                <w:rFonts w:ascii="Times New Roman" w:cs="Times New Roman" w:eastAsia="Times New Roman" w:hAnsi="Times New Roman"/>
                <w:sz w:val="14"/>
                <w:szCs w:val="14"/>
                <w:b w:val="1"/>
                <w:bCs w:val="1"/>
                <w:color w:val="auto"/>
              </w:rPr>
              <w:t>281,793,</w:t>
            </w:r>
          </w:p>
        </w:tc>
        <w:tc>
          <w:tcPr>
            <w:tcW w:w="600" w:type="dxa"/>
            <w:vAlign w:val="bottom"/>
            <w:gridSpan w:val="2"/>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$ 282</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tcPr>
          <w:p>
            <w:pPr>
              <w:jc w:val="right"/>
              <w:ind w:right="49"/>
              <w:spacing w:after="0" w:line="137" w:lineRule="exact"/>
              <w:rPr>
                <w:sz w:val="20"/>
                <w:szCs w:val="20"/>
                <w:color w:val="auto"/>
              </w:rPr>
            </w:pPr>
            <w:r>
              <w:rPr>
                <w:rFonts w:ascii="Times New Roman" w:cs="Times New Roman" w:eastAsia="Times New Roman" w:hAnsi="Times New Roman"/>
                <w:sz w:val="14"/>
                <w:szCs w:val="14"/>
                <w:b w:val="1"/>
                <w:bCs w:val="1"/>
                <w:color w:val="auto"/>
              </w:rPr>
              <w:t>3,1</w:t>
            </w: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ind w:right="49"/>
              <w:spacing w:after="0" w:line="137" w:lineRule="exact"/>
              <w:rPr>
                <w:sz w:val="20"/>
                <w:szCs w:val="20"/>
                <w:color w:val="auto"/>
              </w:rPr>
            </w:pPr>
            <w:r>
              <w:rPr>
                <w:rFonts w:ascii="Times New Roman" w:cs="Times New Roman" w:eastAsia="Times New Roman" w:hAnsi="Times New Roman"/>
                <w:sz w:val="14"/>
                <w:szCs w:val="14"/>
                <w:b w:val="1"/>
                <w:bCs w:val="1"/>
                <w:color w:val="auto"/>
              </w:rPr>
              <w:t>5,57</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(3,963 )</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4,999</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185</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5,184</w:t>
            </w:r>
          </w:p>
        </w:tc>
        <w:tc>
          <w:tcPr>
            <w:tcW w:w="0" w:type="dxa"/>
            <w:vAlign w:val="bottom"/>
          </w:tcPr>
          <w:p>
            <w:pPr>
              <w:spacing w:after="0"/>
              <w:rPr>
                <w:sz w:val="1"/>
                <w:szCs w:val="1"/>
                <w:color w:val="auto"/>
              </w:rPr>
            </w:pPr>
          </w:p>
        </w:tc>
      </w:tr>
      <w:tr>
        <w:trPr>
          <w:trHeight w:val="187"/>
        </w:trPr>
        <w:tc>
          <w:tcPr>
            <w:tcW w:w="4860" w:type="dxa"/>
            <w:vAlign w:val="bottom"/>
          </w:tcPr>
          <w:p>
            <w:pPr>
              <w:spacing w:after="0"/>
              <w:rPr>
                <w:sz w:val="16"/>
                <w:szCs w:val="16"/>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223</w:t>
            </w:r>
          </w:p>
        </w:tc>
        <w:tc>
          <w:tcPr>
            <w:tcW w:w="60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3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07</w:t>
            </w:r>
          </w:p>
        </w:tc>
        <w:tc>
          <w:tcPr>
            <w:tcW w:w="200" w:type="dxa"/>
            <w:vAlign w:val="bottom"/>
            <w:gridSpan w:val="2"/>
            <w:vMerge w:val="continue"/>
          </w:tcPr>
          <w:p>
            <w:pPr>
              <w:spacing w:after="0"/>
              <w:rPr>
                <w:sz w:val="16"/>
                <w:szCs w:val="16"/>
                <w:color w:val="auto"/>
              </w:rPr>
            </w:pPr>
          </w:p>
        </w:tc>
        <w:tc>
          <w:tcPr>
            <w:tcW w:w="4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3</w:t>
            </w:r>
          </w:p>
        </w:tc>
        <w:tc>
          <w:tcPr>
            <w:tcW w:w="24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75"/>
        </w:trPr>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69"/>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290</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(10 )</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280</w:t>
            </w:r>
          </w:p>
        </w:tc>
        <w:tc>
          <w:tcPr>
            <w:tcW w:w="0" w:type="dxa"/>
            <w:vAlign w:val="bottom"/>
          </w:tcPr>
          <w:p>
            <w:pPr>
              <w:spacing w:after="0"/>
              <w:rPr>
                <w:sz w:val="1"/>
                <w:szCs w:val="1"/>
                <w:color w:val="auto"/>
              </w:rPr>
            </w:pPr>
          </w:p>
        </w:tc>
      </w:tr>
      <w:tr>
        <w:trPr>
          <w:trHeight w:val="175"/>
        </w:trPr>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5"/>
        </w:trPr>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Dividends declared</w:t>
            </w: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39"/>
        </w:trPr>
        <w:tc>
          <w:tcPr>
            <w:tcW w:w="486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Common stock issued from treasury</w:t>
            </w:r>
          </w:p>
        </w:tc>
        <w:tc>
          <w:tcPr>
            <w:tcW w:w="840" w:type="dxa"/>
            <w:vAlign w:val="bottom"/>
          </w:tcPr>
          <w:p>
            <w:pPr>
              <w:jc w:val="right"/>
              <w:ind w:right="69"/>
              <w:spacing w:after="0" w:line="139" w:lineRule="exact"/>
              <w:rPr>
                <w:sz w:val="20"/>
                <w:szCs w:val="20"/>
                <w:color w:val="auto"/>
              </w:rPr>
            </w:pPr>
            <w:r>
              <w:rPr>
                <w:rFonts w:ascii="Times New Roman" w:cs="Times New Roman" w:eastAsia="Times New Roman" w:hAnsi="Times New Roman"/>
                <w:sz w:val="14"/>
                <w:szCs w:val="14"/>
                <w:color w:val="auto"/>
              </w:rPr>
              <w:t>1,103,12</w:t>
            </w:r>
          </w:p>
        </w:tc>
        <w:tc>
          <w:tcPr>
            <w:tcW w:w="600" w:type="dxa"/>
            <w:vAlign w:val="bottom"/>
            <w:gridSpan w:val="2"/>
            <w:vMerge w:val="restart"/>
          </w:tcPr>
          <w:p>
            <w:pPr>
              <w:jc w:val="right"/>
              <w:ind w:right="73"/>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85"/>
        </w:trPr>
        <w:tc>
          <w:tcPr>
            <w:tcW w:w="4860" w:type="dxa"/>
            <w:vAlign w:val="bottom"/>
          </w:tcPr>
          <w:p>
            <w:pPr>
              <w:spacing w:after="0"/>
              <w:rPr>
                <w:sz w:val="16"/>
                <w:szCs w:val="16"/>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w:t>
            </w:r>
          </w:p>
        </w:tc>
        <w:tc>
          <w:tcPr>
            <w:tcW w:w="6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8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42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86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(after deducting 41,391,555 common treasury shares)</w:t>
            </w:r>
          </w:p>
        </w:tc>
        <w:tc>
          <w:tcPr>
            <w:tcW w:w="840" w:type="dxa"/>
            <w:vAlign w:val="bottom"/>
          </w:tcPr>
          <w:p>
            <w:pPr>
              <w:jc w:val="right"/>
              <w:ind w:right="69"/>
              <w:spacing w:after="0" w:line="137" w:lineRule="exact"/>
              <w:rPr>
                <w:sz w:val="20"/>
                <w:szCs w:val="20"/>
                <w:color w:val="auto"/>
              </w:rPr>
            </w:pPr>
            <w:r>
              <w:rPr>
                <w:rFonts w:ascii="Times New Roman" w:cs="Times New Roman" w:eastAsia="Times New Roman" w:hAnsi="Times New Roman"/>
                <w:sz w:val="14"/>
                <w:szCs w:val="14"/>
                <w:b w:val="1"/>
                <w:bCs w:val="1"/>
                <w:color w:val="auto"/>
              </w:rPr>
              <w:t>282,896,</w:t>
            </w:r>
          </w:p>
        </w:tc>
        <w:tc>
          <w:tcPr>
            <w:tcW w:w="600" w:type="dxa"/>
            <w:vAlign w:val="bottom"/>
            <w:gridSpan w:val="2"/>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$ 283</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tcPr>
          <w:p>
            <w:pPr>
              <w:jc w:val="right"/>
              <w:ind w:right="49"/>
              <w:spacing w:after="0" w:line="137" w:lineRule="exact"/>
              <w:rPr>
                <w:sz w:val="20"/>
                <w:szCs w:val="20"/>
                <w:color w:val="auto"/>
              </w:rPr>
            </w:pPr>
            <w:r>
              <w:rPr>
                <w:rFonts w:ascii="Times New Roman" w:cs="Times New Roman" w:eastAsia="Times New Roman" w:hAnsi="Times New Roman"/>
                <w:sz w:val="14"/>
                <w:szCs w:val="14"/>
                <w:b w:val="1"/>
                <w:bCs w:val="1"/>
                <w:color w:val="auto"/>
              </w:rPr>
              <w:t>3,1</w:t>
            </w: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ind w:right="49"/>
              <w:spacing w:after="0" w:line="137" w:lineRule="exact"/>
              <w:rPr>
                <w:sz w:val="20"/>
                <w:szCs w:val="20"/>
                <w:color w:val="auto"/>
              </w:rPr>
            </w:pPr>
            <w:r>
              <w:rPr>
                <w:rFonts w:ascii="Times New Roman" w:cs="Times New Roman" w:eastAsia="Times New Roman" w:hAnsi="Times New Roman"/>
                <w:sz w:val="14"/>
                <w:szCs w:val="14"/>
                <w:b w:val="1"/>
                <w:bCs w:val="1"/>
                <w:color w:val="auto"/>
              </w:rPr>
              <w:t>5,77</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(3,875 )</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5,300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166</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5,466</w:t>
            </w:r>
          </w:p>
        </w:tc>
        <w:tc>
          <w:tcPr>
            <w:tcW w:w="0" w:type="dxa"/>
            <w:vAlign w:val="bottom"/>
          </w:tcPr>
          <w:p>
            <w:pPr>
              <w:spacing w:after="0"/>
              <w:rPr>
                <w:sz w:val="1"/>
                <w:szCs w:val="1"/>
                <w:color w:val="auto"/>
              </w:rPr>
            </w:pPr>
          </w:p>
        </w:tc>
      </w:tr>
      <w:tr>
        <w:trPr>
          <w:trHeight w:val="187"/>
        </w:trPr>
        <w:tc>
          <w:tcPr>
            <w:tcW w:w="4860" w:type="dxa"/>
            <w:vAlign w:val="bottom"/>
          </w:tcPr>
          <w:p>
            <w:pPr>
              <w:spacing w:after="0"/>
              <w:rPr>
                <w:sz w:val="16"/>
                <w:szCs w:val="16"/>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352</w:t>
            </w:r>
          </w:p>
        </w:tc>
        <w:tc>
          <w:tcPr>
            <w:tcW w:w="60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3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17</w:t>
            </w:r>
          </w:p>
        </w:tc>
        <w:tc>
          <w:tcPr>
            <w:tcW w:w="200" w:type="dxa"/>
            <w:vAlign w:val="bottom"/>
            <w:gridSpan w:val="2"/>
            <w:vMerge w:val="continue"/>
          </w:tcPr>
          <w:p>
            <w:pPr>
              <w:spacing w:after="0"/>
              <w:rPr>
                <w:sz w:val="16"/>
                <w:szCs w:val="16"/>
                <w:color w:val="auto"/>
              </w:rPr>
            </w:pPr>
          </w:p>
        </w:tc>
        <w:tc>
          <w:tcPr>
            <w:tcW w:w="4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5</w:t>
            </w:r>
          </w:p>
        </w:tc>
        <w:tc>
          <w:tcPr>
            <w:tcW w:w="24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dividends declared or paid for the year ended December 31, 2022.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r>
      <w:tr>
        <w:trPr>
          <w:trHeight w:val="169"/>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r>
      <w:tr>
        <w:trPr>
          <w:trHeight w:val="221"/>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209</w:t>
            </w:r>
          </w:p>
        </w:tc>
        <w:tc>
          <w:tcPr>
            <w:tcW w:w="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780</w:t>
            </w:r>
          </w:p>
        </w:tc>
        <w:tc>
          <w:tcPr>
            <w:tcW w:w="3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(1,250 )</w:t>
            </w:r>
          </w:p>
        </w:tc>
      </w:tr>
      <w:tr>
        <w:trPr>
          <w:trHeight w:val="238"/>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(Loss) to Cash Flows from Operating Activities:</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r>
      <w:tr>
        <w:trPr>
          <w:trHeight w:val="220"/>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859</w:t>
            </w:r>
          </w:p>
        </w:tc>
      </w:tr>
      <w:tr>
        <w:trPr>
          <w:trHeight w:val="239"/>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and Write-Off of Debt Issuance Costs</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r>
      <w:tr>
        <w:trPr>
          <w:trHeight w:val="220"/>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Inventory Fair Value Adjustment Related to the Cooper Tire Acquisition (Note 2)</w:t>
            </w:r>
          </w:p>
        </w:tc>
        <w:tc>
          <w:tcPr>
            <w:tcW w:w="24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Transaction and Other Costs Related to the Cooper Tire Acquisition (Note 2)</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56</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Payments for Transaction and Other Costs Related to the Cooper Tire Acquisition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Goodwill and Other Asset Impairments (Notes 12 and 13)</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330</w:t>
            </w:r>
          </w:p>
        </w:tc>
      </w:tr>
      <w:tr>
        <w:trPr>
          <w:trHeight w:val="220"/>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Provision for Deferred Income Taxes (Note 7)</w:t>
            </w:r>
          </w:p>
        </w:tc>
        <w:tc>
          <w:tcPr>
            <w:tcW w:w="24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r>
      <w:tr>
        <w:trPr>
          <w:trHeight w:val="239"/>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Pension Curtailments and Settlements (Note 18)</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124</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r>
      <w:tr>
        <w:trPr>
          <w:trHeight w:val="220"/>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Rationalization Charges (Note 4)</w:t>
            </w:r>
          </w:p>
        </w:tc>
        <w:tc>
          <w:tcPr>
            <w:tcW w:w="24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159</w:t>
            </w:r>
          </w:p>
        </w:tc>
      </w:tr>
      <w:tr>
        <w:trPr>
          <w:trHeight w:val="239"/>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Rationalization Payments</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(186 )</w:t>
            </w:r>
          </w:p>
        </w:tc>
      </w:tr>
      <w:tr>
        <w:trPr>
          <w:trHeight w:val="220"/>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(Gains) Losses on Asset Sales (Note 6)</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r>
      <w:tr>
        <w:trPr>
          <w:trHeight w:val="239"/>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Expense (Note 15)</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300</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295</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286</w:t>
            </w:r>
          </w:p>
        </w:tc>
      </w:tr>
      <w:tr>
        <w:trPr>
          <w:trHeight w:val="220"/>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Payments (Note 15)</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(268 )</w:t>
            </w:r>
          </w:p>
        </w:tc>
      </w:tr>
      <w:tr>
        <w:trPr>
          <w:trHeight w:val="239"/>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Pension Contributions and Direct Payments</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(56 )</w:t>
            </w:r>
          </w:p>
        </w:tc>
      </w:tr>
      <w:tr>
        <w:trPr>
          <w:trHeight w:val="220"/>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Operating Assets and Liabilities, Net of Asset Acquisitions and Dispositions: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9"/>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(333 )</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132</w:t>
            </w:r>
          </w:p>
        </w:tc>
      </w:tr>
      <w:tr>
        <w:trPr>
          <w:trHeight w:val="220"/>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713</w:t>
            </w:r>
          </w:p>
        </w:tc>
      </w:tr>
      <w:tr>
        <w:trPr>
          <w:trHeight w:val="239"/>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 — Trade</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686</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923</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r>
      <w:tr>
        <w:trPr>
          <w:trHeight w:val="220"/>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r>
      <w:tr>
        <w:trPr>
          <w:trHeight w:val="239"/>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r>
      <w:tr>
        <w:trPr>
          <w:trHeight w:val="223"/>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104</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193</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195</w:t>
            </w:r>
          </w:p>
        </w:tc>
      </w:tr>
      <w:tr>
        <w:trPr>
          <w:trHeight w:val="229"/>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Total Cash Flows from Operating Activities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521</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1,062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1,115</w:t>
            </w:r>
          </w:p>
        </w:tc>
      </w:tr>
      <w:tr>
        <w:trPr>
          <w:trHeight w:val="221"/>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8"/>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Acquisition of Cooper Tire, net of cash and restricted cash acquired (Note 2)</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(1,856 )</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0"/>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(647 )</w:t>
            </w:r>
          </w:p>
        </w:tc>
      </w:tr>
      <w:tr>
        <w:trPr>
          <w:trHeight w:val="239"/>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Proceeds from Sale and Leaseback Transaction (Note 6)</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108</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Asset Dispositions</w:t>
            </w:r>
          </w:p>
        </w:tc>
        <w:tc>
          <w:tcPr>
            <w:tcW w:w="24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Short Term Securities Acquired</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(96 )</w:t>
            </w:r>
          </w:p>
        </w:tc>
      </w:tr>
      <w:tr>
        <w:trPr>
          <w:trHeight w:val="220"/>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 Term Securities Redeemed</w:t>
            </w:r>
          </w:p>
        </w:tc>
        <w:tc>
          <w:tcPr>
            <w:tcW w:w="24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w:t>
            </w:r>
          </w:p>
        </w:tc>
      </w:tr>
      <w:tr>
        <w:trPr>
          <w:trHeight w:val="239"/>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Notes Receivable</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23"/>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Transactions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29"/>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Total Cash Flows from Investing Activities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(914 )</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(2,793 )</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(667 )</w:t>
            </w:r>
          </w:p>
        </w:tc>
      </w:tr>
      <w:tr>
        <w:trPr>
          <w:trHeight w:val="221"/>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8"/>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Short Term Debt and Overdrafts Incurred</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1,321</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1,095</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1,651</w:t>
            </w:r>
          </w:p>
        </w:tc>
      </w:tr>
      <w:tr>
        <w:trPr>
          <w:trHeight w:val="220"/>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 Term Debt and Overdrafts Paid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(1,593 )</w:t>
            </w:r>
          </w:p>
        </w:tc>
      </w:tr>
      <w:tr>
        <w:trPr>
          <w:trHeight w:val="239"/>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Long Term Debt Incurred</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10,503</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9,862</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6,251</w:t>
            </w:r>
          </w:p>
        </w:tc>
      </w:tr>
      <w:tr>
        <w:trPr>
          <w:trHeight w:val="220"/>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 Term Debt Paid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(9,947 )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(8,504 )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(6,059 )</w:t>
            </w:r>
          </w:p>
        </w:tc>
      </w:tr>
      <w:tr>
        <w:trPr>
          <w:trHeight w:val="239"/>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Common Stock Issued</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Dividends Paid (Note 21)</w:t>
            </w:r>
          </w:p>
        </w:tc>
        <w:tc>
          <w:tcPr>
            <w:tcW w:w="24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r>
      <w:tr>
        <w:trPr>
          <w:trHeight w:val="239"/>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Transactions with Minority Interests in Subsidiaries</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23"/>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Debt Related Costs and Other Transactions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Total Cash Flows from Financing Activities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575</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1,309</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203</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29"/>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Net Change in Cash, Cash Equivalents and Restricted Cash</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147</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(460 )</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650</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the Period</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1,164</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1,624</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974</w:t>
            </w:r>
          </w:p>
        </w:tc>
      </w:tr>
      <w:tr>
        <w:trPr>
          <w:trHeight w:val="263"/>
        </w:trPr>
        <w:tc>
          <w:tcPr>
            <w:tcW w:w="7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the Period</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1,311</w:t>
            </w:r>
          </w:p>
        </w:tc>
        <w:tc>
          <w:tcPr>
            <w:tcW w:w="1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1,164</w:t>
            </w:r>
          </w:p>
        </w:tc>
        <w:tc>
          <w:tcPr>
            <w:tcW w:w="1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-24765</wp:posOffset>
            </wp:positionV>
            <wp:extent cx="1028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5553710</wp:posOffset>
            </wp:positionH>
            <wp:positionV relativeFrom="paragraph">
              <wp:posOffset>-7620</wp:posOffset>
            </wp:positionV>
            <wp:extent cx="1028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-24765</wp:posOffset>
            </wp:positionV>
            <wp:extent cx="939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-7620</wp:posOffset>
            </wp:positionV>
            <wp:extent cx="939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18" w:right="33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Accounting Policies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significant accounting policies used in the preparation of the accompanying consolidated financial statements follows: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3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On June 7, 2021 (the “Closing Date”), we completed the acquisition of Cooper Tire &amp; Rubber Company (“Cooper Tire”). As a result of the acquisition, Cooper Tire, along with its subsidiaries, became subsidiaries of Goodyear. For further information about the acquisition, refer to Note to the Consolidated Financial Statements No. 2, Cooper Tire Acquisition.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Effective January 1, 2022, we adopted an accounting standards update which requires the disclosure of certain types of government assistance that are accounted for by analogizing to a grant model. We do not have material grants to disclose under this new accounting standards update.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September 2022, the Financial Accounting Standards Board ("FASB") issued an accounting standards update on the disclosure of supplier finance programs. Entities are required to disclose the key terms of each program, including a description of the payment terms and assets pledged as security or other forms of guarantees, if any, provided for the committed payment to the finance provider or intermediary. In addition, on a quarterly basis, entities are required to disclose the related obligations outstanding at each interim reporting period and where those obligations are presented on the balance sheet and, on an annual basis, entities are also required to disclose a roll-forward of the amount of the obligations outstanding at the end of the reporting period. The standards update is effective retrospectively for fiscal years beginning after December 15, 2022, including interim periods within those fiscal years, except for the roll-forward information, which is effective prospectively for fiscal years beginning after December 15, 2023, with early adoption permitted. We are currently assessing the impact of this standards update on our disclosures in the notes to the consolidated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include the results of operations of the businesses in which we acquire a controlling financial interest in our consolidated financial statements beginning as of the acquisition date. On the acquisition date, we recognize, separate from goodwill, the assets acquired, including separately identifiable intangible assets, and the liabilities assumed at their fair values. The excess of the consideration transferred over the fair values assigned to the net identifiable assets and liabilities of the acquired business is recognized as goodwill. Transaction costs are recognized separately from the acquisition and are expensed as incurred.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all legal entities in which we hold a controlling financial interest. A controlling financial interest generally arises from our ownership of a majority of the voting shares of our subsidiaries. We would also hold a controlling financial interest in variable interest entities if we are considered to be the primary beneficiary. Investments in companies in which we do not own a majority interest and we have the ability to exercise significant influence over operating and financial policies are accounted for using the equity method. Investments in other companies are carried at cost. All intercompany balances and transactions have been eliminated in consolidation.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amounts reported in the consolidated financial statements and related notes to the consolidated financial statements. Actual results could differ from those estimates. On an ongoing basis, management reviews its estimates, including those related to:</w:t>
      </w:r>
    </w:p>
    <w:p>
      <w:pPr>
        <w:spacing w:after="0" w:line="69"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product liabilities and other litigation,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workers’ compensation,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intangibles and other long-lived assets,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 valuation allowances and uncertain income tax positions,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5"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and other postretirement benefits,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operating allowances and accruals, based on currently available information.</w:t>
      </w:r>
    </w:p>
    <w:p>
      <w:pPr>
        <w:spacing w:after="0" w:line="117" w:lineRule="exact"/>
        <w:rPr>
          <w:sz w:val="20"/>
          <w:szCs w:val="20"/>
          <w:color w:val="auto"/>
        </w:rPr>
      </w:pPr>
    </w:p>
    <w:p>
      <w:pPr>
        <w:ind w:right="1740"/>
        <w:spacing w:after="0" w:line="375" w:lineRule="auto"/>
        <w:rPr>
          <w:sz w:val="20"/>
          <w:szCs w:val="20"/>
          <w:color w:val="auto"/>
        </w:rPr>
      </w:pPr>
      <w:r>
        <w:rPr>
          <w:rFonts w:ascii="Times New Roman" w:cs="Times New Roman" w:eastAsia="Times New Roman" w:hAnsi="Times New Roman"/>
          <w:sz w:val="18"/>
          <w:szCs w:val="18"/>
          <w:color w:val="auto"/>
        </w:rPr>
        <w:t xml:space="preserve">Changes in facts and circumstances may alter such estimates and affect results of operations and financial position in future periods. </w:t>
      </w:r>
      <w:r>
        <w:rPr>
          <w:rFonts w:ascii="Times New Roman" w:cs="Times New Roman" w:eastAsia="Times New Roman" w:hAnsi="Times New Roman"/>
          <w:sz w:val="18"/>
          <w:szCs w:val="18"/>
          <w:b w:val="1"/>
          <w:bCs w:val="1"/>
          <w:i w:val="1"/>
          <w:iCs w:val="1"/>
          <w:color w:val="auto"/>
        </w:rPr>
        <w:t>Revenue Recognition and Accounts Receivable Valuation</w:t>
      </w:r>
    </w:p>
    <w:p>
      <w:pPr>
        <w:jc w:val="both"/>
        <w:spacing w:after="0" w:line="254" w:lineRule="auto"/>
        <w:rPr>
          <w:sz w:val="20"/>
          <w:szCs w:val="20"/>
          <w:color w:val="auto"/>
        </w:rPr>
      </w:pPr>
      <w:r>
        <w:rPr>
          <w:rFonts w:ascii="Times New Roman" w:cs="Times New Roman" w:eastAsia="Times New Roman" w:hAnsi="Times New Roman"/>
          <w:sz w:val="18"/>
          <w:szCs w:val="18"/>
          <w:color w:val="auto"/>
        </w:rPr>
        <w:t>Sales are recognized when obligations under the terms of a contract are satisfied and control is transferred. This generally occurs with shipment or delivery, depending on the terms of the underlying contract, or when services have been rendered. Sales are measured as the amount of consideration we expect to receive in exchange for transferring goods or providing services. The amount of consideration we receive and sales we recognize can vary due to changes in sales incentives, rebates, rights of return or other items we offer our customers, for which we estimate the expected amounts based on an analysis of historical experience, or as the most likely amount in a range of possible outcomes. Payment terms with customers vary by region and customer, but are generally 30-90 days or at the point of sale for our consumer retail locations. Net sales exclude sales, value added and other taxes. Costs to obtain contracts are generally expensed as incurred due to the short term nature of individual contracts. Incidental items that are immaterial in the context of the contract are recognized as expense as incurred. We have elected to recognize the costs incurred for transportation of products to customers as a component of Cost of Goods Sold ("CGS").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Appropriate provisions are made for uncollectible accounts based on historical loss experience, portfolio duration, economic conditions and credit risk, considering both expected future losses as well as current incurred losses. The adequacy of the allowances are assessed quarterly. Effective January 1, 2020, we adopted, using the modified retrospective adoption approach, an accounting standards update with new guidance related to the accounting for credit losses on financial instruments. Our adoption of this standards update resulted in adjustments in 2020 that decreased Retained Earnings by $12 million, with Accounts Receivable decreasing by $15 million and Deferred Income Taxes increasing by $3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Research and development costs include, among other things, materials, equipment, compensation and contract services. These costs are expensed as incurred and included as a component of CGS. Research and development expenditures were $501 million, $473 million and $390 million in 2022, 2021 and 2020, respectively.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Warranties are provided on the sale of certain of our products and services and an accrual for estimated future claims is recorded at the time revenue is recognized. Tire replacement under most of the warranties we offer is on a prorated basis. Warranty reserves are based on past claims experience, sales history and other considerations. Refer to Note to the Consolidated Financial Statements No. 20, Commitments and Contingent Liabilities.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Cleanup Matters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expense environmental costs related to existing conditions resulting from past or current operations and from which no current or future benefit is discernible. Expenditures that extend the life of the related property or mitigate or prevent future environmental contamination are capitalized. We determine our liability on a site by site basis and record a liability at the time when it is probable and can be reasonably estimated. Our estimated liability is reduced to reflect the anticipated participation of other potentially responsible parties in those instances where it is probable that such parties are legally responsible and financially capable of paying their respective share of the relevant costs. Our estimated liability is not discounted or reduced for possible recoveries from insurance carriers. Refer to Note to the Consolidated Financial Statements No. 20, Commitments and Contingent Liabilities.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Costs</w:t>
      </w:r>
    </w:p>
    <w:p>
      <w:pPr>
        <w:spacing w:after="0" w:line="12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We record a liability for estimated legal and defense costs related to pending general and product liability claims, environmental matters and workers’ compensation claims. Refer to Note to the Consolidated Financial Statements No. 20, Commitments and Contingent Liabilities.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Costs incurred for producing and communicating advertising are generally expensed when incurred as a component of Selling, Administrative and General Expense ("SAG"). Costs incurred under our cooperative advertising programs with dealers and franchisees are generally recorded as reductions of sales as related revenues are recognized. Advertising costs, including costs for our cooperative advertising programs with dealers and franchisees, were $375 million, $382 million and $304 million in 2022, 2021 and 2020, respectively.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Rationalizations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record costs for rationalization actions implemented to reduce excess and high-cost manufacturing capacity and operating and administrative costs. Associate-related costs include severance, supplemental unemployment compensation and benefits, medical benefits, pension curtailments, postretirement benefits, and other termination benefits. For ongoing benefit arrangements, a liability is recognized when it is probable that employees will be entitled to benefits and the amount can be reasonably estimated. For one-time benefit arrangements, a liability is incurred and must be accrued at the date the plan is communicated to employees, unless they will be retained beyond a minimum retention period. In this case, the liability is calculated at the date the plan is communicated to employees and is accrued ratably over the future service period. For voluntary benefit arrangements, a liability is not estimable and is not recognized until eligible associates apply for the benefit and we accept the applications. Other costs generally include non-cancelable lease, contract termination and relocation costs. A liability for these costs is recognized in the period in which the liability is incurred. Rationalization charges related to accelerated depreciation and asset impairments are recorded in CGS or SAG. Refer to Note to the Consolidated Financial Statements No. 4, Costs Associated with Rationalization Programs.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Income taxes are recognized during the year in which transactions enter into the determination of financial statement income, with deferred taxes being provided for temporary differences between carrying values of assets and liabilities for financial reporting purposes and such carrying values as measured under applicable tax laws. The effect on deferred tax assets or liabilities of a change in the tax law or tax rate is recognized in the period the change is enacted. Valuation allowances are recorded to reduce net deferred tax assets to the amount that is more likely than not to be realized. The calculation of our tax liabilities also involves considering uncertainties in the application of complex tax regulations. We recognize liabilities for uncertain income tax positions based on our estimate of whether it is more likely than not that additional taxes will be required and we report related interest and penalties as income taxes. To the extent that we incur expense under global intangible low-taxed income provisions, we will treat it as a component of income tax expense in the period incurred. Our policy is to utilize an item-by-item approach to release stranded income tax effects from Accumulated Other Comprehensive Loss ("AOCL"). Refer to Note to the Consolidated Financial Statements No. 7, Income Taxes.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 Consolidated Statements of Cash Flows / Restricted Cash</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Cash and cash equivalents consist of cash on hand and marketable securities with original maturities of three months or less. Substantially all of our cash and short-term investment securities are held with investment grade rated counterparties. At December 31, 2022, our cash investments with any single counterparty did not exceed approximately $270 million.</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Cash flows associated with derivative financial instruments designated as hedges of identifiable transactions or events are classified in the same category as the cash flows from the related hedged items. Cash flows associated with derivative financial instruments not designated as hedges are classified as operating activities. Bank overdrafts, if any, are recorded within Notes Payable and Overdrafts. Cash flows associated with bank overdrafts are classified as financing activities.</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Customer prepayments for products and government grants received that predominately relate to operations are reported as operating activities. Government grants received that are predominately related to capital expenditures are reported as investing activities. The Consolidated Statements of Cash Flows are presented net of finance leases of $25 million, $39 million and $3 million originating in the years ended December 31, 2022, 2021 and 2020, respectively, and accrued capital expenditures financed with extended terms of $15 million in 2020 which were paid in 2021. Cash flows from investing activities in 2022 exclude $324 million of accrued capital expenditures remaining unpaid at December 31, 2022, and include payment for $257 million of capital expenditures that were accrued and unpaid at December 31, 2021. Cash flows from investing activities in 2021 exclude $257 million of accrued capital expenditures remaining unpaid at December 31, 2021, and include payment for $224 million of capital expenditures that were accrued and unpaid at December 31, 2020. Cash flows from investing activities in 2020 exclude $224 million of accrued capital expenditures remaining unpaid at December 31, 2020, and include payment for $243 million of capital expenditures that were accrued and unpaid at December 31, 2019.</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a reconciliation of Cash, Cash Equivalents and Restricted Cash as reported within the Consolidated Statements of Cash Flows: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69"/>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1,227</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1,088</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1,539</w:t>
            </w:r>
          </w:p>
        </w:tc>
      </w:tr>
      <w:tr>
        <w:trPr>
          <w:trHeight w:val="243"/>
        </w:trPr>
        <w:tc>
          <w:tcPr>
            <w:tcW w:w="66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Restricted Cash</w:t>
            </w:r>
            <w:r>
              <w:rPr>
                <w:rFonts w:ascii="Times New Roman" w:cs="Times New Roman" w:eastAsia="Times New Roman" w:hAnsi="Times New Roman"/>
                <w:sz w:val="24"/>
                <w:szCs w:val="24"/>
                <w:color w:val="auto"/>
                <w:vertAlign w:val="superscript"/>
              </w:rPr>
              <w:t>(1)</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85</w:t>
            </w:r>
          </w:p>
        </w:tc>
      </w:tr>
      <w:tr>
        <w:trPr>
          <w:trHeight w:val="27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1,311</w:t>
            </w:r>
          </w:p>
        </w:tc>
        <w:tc>
          <w:tcPr>
            <w:tcW w:w="1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1,164</w:t>
            </w:r>
          </w:p>
        </w:tc>
        <w:tc>
          <w:tcPr>
            <w:tcW w:w="1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1,624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-24765</wp:posOffset>
            </wp:positionV>
            <wp:extent cx="939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-7620</wp:posOffset>
            </wp:positionV>
            <wp:extent cx="939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-24765</wp:posOffset>
            </wp:positionV>
            <wp:extent cx="939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-7620</wp:posOffset>
            </wp:positionV>
            <wp:extent cx="939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43" w:lineRule="exact"/>
        <w:rPr>
          <w:sz w:val="20"/>
          <w:szCs w:val="20"/>
          <w:color w:val="auto"/>
        </w:rPr>
      </w:pPr>
    </w:p>
    <w:p>
      <w:pPr>
        <w:ind w:left="760" w:hanging="752"/>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remaining acquired restricted cash of Cooper Tire of $16 million and $25 million at December 31, 2022 and 2021, respectively.</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Restricted Cash primarily represents amounts required to be set aside in relation to (i) accounts receivable factoring programs and (ii) change-in-control provisions of certain Cooper Tire compensation plans. The restrictions lapse when cash from factored accounts receivable is remitted to the purchaser of those receivables or as the compensation payments are made, respectively. At December 31, 2022, $74 million and $10 million were recorded in Prepaid Expenses and Other Current Assets and Other Assets in the Consolidated Balance Sheets, respectively. At December 31, 2021, $62 million and $14 million were recorded in Prepaid Expenses and Other Current Assets and Other Assets in the Consolidated Balance Sheets,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Net Assets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certain countries where we operate, transfers of funds into or out of such countries by way of dividends, loans or advances are generally or periodically subject to various governmental regulations. In addition, certain of our credit agreements and other debt instruments limit the ability of foreign subsidiaries to make cash distributions. At December 31, 2022, approximately $1.0 billion of net assets were subject to such regulations or limitations.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using the first-in, first-out or the average cost method. Costs include direct material, direct labor and applicable manufacturing and engineering overhead. We allocate fixed manufacturing overheads based on normal production capacity and recognize abnormal manufacturing costs as period costs. We determine a provision for excess and obsolete inventory based on management’s review of inventories on hand compared to estimated future usage and sales. Refer to Note to the Consolidated Financial Statements No. 11, Inventories.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is recorded when the cost of acquired businesses exceeds the fair value of the identifiable net assets acquired. Goodwill and intangible assets with indefinite useful lives are not amortized but are assessed for impairment annually with the option to perform a qualitative assessment to determine whether further impairment testing is necessary or to perform a quantitative assessment by comparing the fair value of the reporting unit or indefinite-lived intangible to its carrying amount. Under the qualitative assessment, an entity is not required to calculate the fair value unless the entity determines that it is more likely than not that the fair value is less than the carrying amount. If under the quantitative assessment the fair value is less than the carrying amount, then an impairment loss will be recorded for the difference between the carrying value and the fair value.</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annual testing, impairment testing is conducted when events occur or circumstances change, including the macroeconomic environment, our business performance or our market capitalization, that would more likely than not reduce the fair value of the asset below its carrying amount. Goodwill and intangible assets with indefinite useful lives would be written down to fair value if considered impaired. Intangible assets with finite useful lives are amortized to their estimated residual values over such finite lives, and reviewed for impairment whenever events or circumstances warrant such a review. Refer to Note to the Consolidated Financial Statements No. 12, Goodwill and Intangible Assets.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Investments in marketable securities are stated at fair value. Fair value is determined using quoted market prices at the end of the reporting period and, when appropriate, exchange rates at that date. Unrealized gains and losses on marketable equity securities are recorded in earnings. Unrealized gains and losses on marketable debt securities classified as available-for-sale are recorded in AOCL, net of tax. Our investments in TireHub, LLC (“TireHub”), a distribution joint venture in the U.S., and ACTR Company Limited ("ACTR"), a tire manufacturing joint venture in Vietnam, are accounted for under the equity method.</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regularly review our investments to determine whether a decline in fair value below their recorded amount is other than temporary. If the decline in fair value is judged to be other than temporary, the investment is written down to fair value and the amount of the write-down is included in the Consolidated Statements of Operations. Refer to Notes to the Consolidated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Financial Statements No. 13, Other Assets and Investments, No. 17, Fair Value Measurements, and No. 22, Reclassifications out of Accumulated Other Comprehensive Loss.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Property, plant and equipment are stated at cost. Depreciation is computed using the straight-line method. Additions and improvements that substantially extend the useful life of property, plant and equipment, and interest costs incurred during the construction period of major projects are capitalized. Government grants to us that are predominately related to capital expenditures are recorded as reductions of the cost of the associated assets. Repair and maintenance costs are expensed as incurred. Property, plant and equipment are depreciated to their estimated residual values over their estimated useful lives, and reviewed for impairment whenever events or circumstances warrant such a review. Depreciation expense for property, plant and equipment was $928 million, $862 million and $857 million in 2022, 2021 and 2020, respectively. Refer to Notes to the Consolidated Financial Statements No. 5, Interest Expense, and No. 14, Property, Plant and Equipment.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determine if an arrangement is or contains a lease at inception. We enter into leases primarily for our distribution facilities, manufacturing equipment, administrative offices, retail stores, vehicles and data processing equipment under varying terms and conditions. Our leases have remaining lease terms of less than 1 year to approximately 50 years. Most of our leases include options to extend the lease, with renewal terms ranging from 1 to 50 years or more, and some include options to terminate the lease within 1 year. If it is reasonably certain that an option to extend or terminate a lease will be exercised, that option is considered in the lease term. Leases with an initial term of 12 months or less are not recorded on the balance sheet, and we recognize short-term lease expense for these leases on a straight-line basis over the lease term.</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lease agreements include variable lease payments, generally based on consumer price indices. Variable lease payments that are assigned to an index are determined based on the initial index at commencement, and the variability based on changes in the index is accounted for as it changes. The variable portion of payments is not included in the initial measurement of the right-of-use asset or lease liability due to the uncertainty of the payment amount and are recorded as lease expense in the period incurred. Our lease agreements do not contain any material residual value guarantees or material restrictive covenants. We have lease agreements with lease and non-lease components, which are accounted for separately.</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Operating leases are included in Operating Lease Right-of-Use (“ROU”) Assets, Operating Lease Liabilities due Within One Year and Operating Lease Liabilities on our Consolidated Balance Sheets. Finance leases are included in Property, Plant and Equipment, Long Term Debt and Finance Leases due Within One Year, and Long Term Debt and Finance Leases on our Consolidated Balance Sheets.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Operating lease ROU assets and liabilities are recognized at the commencement date based on the present value of lease payments over the lease term. Generally, we use our incremental borrowing rate based on the information available at the commencement date in determining the present value of lease payments, unless there is a rate stated in the lease agreement. Operating lease expense is recognized on a straight-line basis over the lease term. Refer to Note to the Consolidated Financial Statements No. 15, Leases.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functional currency for most subsidiaries outside the United States is the local currency. Financial statements of these subsidiaries are translated into U.S. dollars using the exchange rate at each balance sheet date for assets and liabilities and a weighted average exchange rate for each period for revenues, expenses, gains and losses. The U.S. dollar is used as the functional currency in countries with a history of high inflation and in countries that predominantly sell into the U.S. dollar export market. For all operations, gains or losses from remeasuring foreign currency transactions into the functional currency are included in Other (Income) Expense. Translation adjustments are recorded in AOCL. Income taxes are generally not provided for foreign currency translation adjustments.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 and Hedging Activities</w:t>
      </w:r>
    </w:p>
    <w:p>
      <w:pPr>
        <w:spacing w:after="0" w:line="12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To qualify for hedge accounting, hedging instruments must be designated as hedges and meet defined correlation and effectiveness criteria. These criteria require that the anticipated cash flows and/or changes in fair value of the hedging instrument substantially offset those of the position being hedged.</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Derivative contracts are reported at fair value on the Consolidated Balance Sheets as Accounts Receivable, Other Assets, Other Current Liabilities or Other Long Term Liabilities. Deferred gains and losses on contracts designated as cash flow hedges are recorded net of tax in AOCL.</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Rate Contracts — </w:t>
      </w:r>
      <w:r>
        <w:rPr>
          <w:rFonts w:ascii="Times New Roman" w:cs="Times New Roman" w:eastAsia="Times New Roman" w:hAnsi="Times New Roman"/>
          <w:sz w:val="18"/>
          <w:szCs w:val="18"/>
          <w:color w:val="auto"/>
        </w:rPr>
        <w:t>Gains and losses on contracts designated as cash flow hedges are initially deferred and recorded in AOCL. Amounts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transferred from AOCL and recognized in income as Interest Expense in the same period that the hedged item is recognized in income. Gains and losses on contracts designated as fair value hedges are recognized in income in the current period as Interest Expense. Gains and losses on contracts with no hedging designation are recorded in the current period in Other (Income) Expense.</w:t>
      </w:r>
    </w:p>
    <w:p>
      <w:pPr>
        <w:spacing w:after="0" w:line="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Foreign Currency Contracts — </w:t>
      </w:r>
      <w:r>
        <w:rPr>
          <w:rFonts w:ascii="Times New Roman" w:cs="Times New Roman" w:eastAsia="Times New Roman" w:hAnsi="Times New Roman"/>
          <w:sz w:val="18"/>
          <w:szCs w:val="18"/>
          <w:color w:val="auto"/>
        </w:rPr>
        <w:t>Gains and losses on contracts designated as cash flow hedges are initially deferred and recorded in AOCL. Amounts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transferred from AOCL and recognized in income in the same period and on the same line that the hedged item is recognized in income. Gains and losses on contracts designated as fair value hedges, excluding premiums and discounts, are recorded in Other (Income) Expense in the current period. Gains and losses on contracts with no hedging designation are also recorded in Other (Income) Expense in the current period. We do not include premiums or discounts on forward currency contracts in our assessment of hedge effectiveness. Premiums and discounts on contracts designated as hedges are recorded in AOCL. The amounts are recognized in the Statement of Operations on a straight-line basis over the life of the contract on the same line that the hedged item is recognized in the Statement of Operations.</w:t>
      </w:r>
    </w:p>
    <w:p>
      <w:pPr>
        <w:spacing w:after="0" w:line="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Investment Hedging — </w:t>
      </w:r>
      <w:r>
        <w:rPr>
          <w:rFonts w:ascii="Times New Roman" w:cs="Times New Roman" w:eastAsia="Times New Roman" w:hAnsi="Times New Roman"/>
          <w:sz w:val="18"/>
          <w:szCs w:val="18"/>
          <w:color w:val="auto"/>
        </w:rPr>
        <w:t>Nonderivative instruments denominated in foreign currencies are used from time to time to hedge net investments in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Gains and losses on these instruments are deferred and recorded in AOCL as Foreign Currency Translation Adjustments. These gains and losses are only recognized in income upon the complete or partial sale of the related investment or the complete liquidation of the investment.</w:t>
      </w:r>
    </w:p>
    <w:p>
      <w:pPr>
        <w:spacing w:after="0" w:line="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Termination of Contracts — </w:t>
      </w:r>
      <w:r>
        <w:rPr>
          <w:rFonts w:ascii="Times New Roman" w:cs="Times New Roman" w:eastAsia="Times New Roman" w:hAnsi="Times New Roman"/>
          <w:sz w:val="18"/>
          <w:szCs w:val="18"/>
          <w:color w:val="auto"/>
        </w:rPr>
        <w:t>Gains and losses (including deferred gains and losses in AOCL) are recognized in Other (Income) Expense when contracts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terminated concurrently with the termination of the hedged position. To the extent that such position remains outstanding, gains and losses are amortized to Interest Expense or to Other (Income) Expense over the remaining life of that position. Gains and losses on contracts that we temporarily continue to hold after the early termination of a hedged position, or that otherwise no longer qualify for hedge accounting, are recognized in Other (Income) Expense. Refer to Note to the Consolidated Financial Statements No. 16, Financing Arrangements and Derivative Financial Instruments.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measure compensation cost arising from the grant of stock-based awards to employees at fair value and recognize such cost in income over the period during which the service is provided, usually the vesting period. We recognize compensation expense using the straight-line approach.</w:t>
      </w:r>
    </w:p>
    <w:p>
      <w:pPr>
        <w:spacing w:after="0" w:line="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Stock-based awards to employees include grants of performance share units, restricted stock units and stock options. We measure the fair value of grants of performance share units and restricted stock units based primarily on the closing market price of a share of our common stock on the date of the grant, modified as appropriate to take into account the features of such grants.</w:t>
      </w:r>
    </w:p>
    <w:p>
      <w:pPr>
        <w:spacing w:after="0" w:line="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estimate the fair value of stock options using the Black-Scholes valuation model. Assumptions used to estimate compensation expense are determined as follows:</w:t>
      </w:r>
    </w:p>
    <w:p>
      <w:pPr>
        <w:spacing w:after="0" w:line="55" w:lineRule="exact"/>
        <w:rPr>
          <w:sz w:val="20"/>
          <w:szCs w:val="20"/>
          <w:color w:val="auto"/>
        </w:rPr>
      </w:pPr>
    </w:p>
    <w:p>
      <w:pPr>
        <w:ind w:left="760" w:hanging="378"/>
        <w:spacing w:after="0" w:line="281"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represents the period of time that options granted are expected to be outstanding based on our historical experience of option exercises;</w:t>
      </w:r>
    </w:p>
    <w:p>
      <w:pPr>
        <w:spacing w:after="0" w:line="54"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is measured using the weighted average of historical daily changes in the market price of our common stock over the expected term of the award and implied volatility calculated for our exchange traded options with an expiration date greater than one year;</w:t>
      </w:r>
    </w:p>
    <w:p>
      <w:pPr>
        <w:spacing w:after="0" w:line="54"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is equivalent to the implied yield on zero-coupon U.S. Treasury bonds with a remaining maturity equal to the expected term of the awards; and</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Forfeitures are based substantially on the history of cancellations of similar awards granted in prior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to the Consolidated Financial Statements No. 19, Stock Compensation Plans.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of Common Stock</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Basic earnings per share are computed based on the weighted average number of common shares outstanding. Diluted earnings per share primarily reflects the dilutive impact of outstanding stock options and other stock based awards. All earnings per share amounts in these notes to the consolidated financial statements are diluted, unless otherwise noted. Refer to Note to the Consolidated Financial Statements No. 8, Earnings Per Share.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Hierarchy</w:t>
      </w:r>
    </w:p>
    <w:p>
      <w:pPr>
        <w:spacing w:after="0" w:line="11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using the following hierarchy, which is based upon the transparency of inputs to the valuation as of the measurement date.</w:t>
      </w:r>
    </w:p>
    <w:p>
      <w:pPr>
        <w:spacing w:after="0" w:line="55"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 is based upon quoted prices (unadjusted) for identical assets or liabilities in active markets.</w:t>
      </w:r>
    </w:p>
    <w:p>
      <w:pPr>
        <w:spacing w:after="0" w:line="116"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 is based upon quoted prices for similar assets and liabilities in active markets, or other inputs that are observable for the asset or liability, either directly or indirectly, for substantially the full term of the financial instrument.</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 is based upon other unobservable inputs that are significant to the fair value measurement.</w:t>
      </w:r>
    </w:p>
    <w:p>
      <w:pPr>
        <w:spacing w:after="0" w:line="1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classification of fair value measurements within the hierarchy is based upon the lowest level of input that is significant to the measurement. Valuation methodologies used for assets and liabilities measured at fair value are as follows: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Where quoted prices are available in an active market, investments are classified within Level 1 of the valuation hierarchy. Level 1 securities include highly liquid government bonds, certain mortgage products and exchange-traded equities. If quoted market prices are not available, fair values are estimated using quoted prices of securities with similar characteristics or inputs other than quoted prices that are observable for the security, and would be classified within Level 2 of the valuation hierarchy. In certain cases where there is limited activity or less transparency around inputs to the valuation, securities would be classified within Level 3 of the valuation hierarchy.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Exchange-traded derivative financial instruments that are valued using quoted prices would be classified within Level 1 of the valuation hierarchy. Derivative financial instruments valued using internally-developed models that use as their basis readily observable market parameters are classified within Level 2 of the valuation hierarchy. Derivative financial instruments that are valued based upon models with significant unobservable market parameters, and that are normally traded less actively, would be classified within Level 3 of the valuation hierarchy. Refer to Notes to the Consolidated Financial Statements No. 16, Financing Arrangements and Derivative Financial Instruments, and No. 17, Fair Value Measurements.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 and Adjustments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Certain items previously reported in specific financial statement captions have been reclassified to conform to the current presentation. In the second quarter of 2021, we recorded an out of period adjustment of $8 million of income related to accrued freight charges in Americas. Additionally, in the first quarter of 2021, we recorded out of period adjustments totaling $20 million of expense, primarily related to the valuation of inventory in Americas. The adjustments relate to prior years and did not have a material effect on any of the periods impacted.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Cooper Tire Acquisition</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On June 7, 2021, we completed our acquisition of Cooper Tire for cash and stock consideration of $2,155 million and $942 million, respectively, or approximately $3.1 billion in total (the "Merger Consideration"). The cash component of the Merger Consideration less cash and restricted cash of Cooper Tire that was acquired amounted to $1,856 million.</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Under the acquisition method of accounting, the Merger Consideration is allocated, as of the Closing Date, to the identifiable assets acquired and liabilities assumed of Cooper Tire, which are recognized and measured at fair value based on management’s estimates, available information and supportable assumptions that management considers reasonable.</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second quarter of 2022, we finalized our valuation of the identified assets acquired and liabilities assumed. No significant measurement period changes were recorded during the six months ended June 30, 2022. Principal changes since our initial measurement in the second quarter of 2021 included</w:t>
      </w:r>
    </w:p>
    <w:p>
      <w:pPr>
        <w:spacing w:after="0" w:line="1" w:lineRule="exact"/>
        <w:rPr>
          <w:sz w:val="20"/>
          <w:szCs w:val="20"/>
          <w:color w:val="auto"/>
        </w:rPr>
      </w:pPr>
    </w:p>
    <w:p>
      <w:pPr>
        <w:jc w:val="both"/>
        <w:ind w:firstLine="8"/>
        <w:spacing w:after="0" w:line="251" w:lineRule="auto"/>
        <w:tabs>
          <w:tab w:leader="none" w:pos="23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the value attributed to customer relationships primarily to reflect updated assumptions related to customer attrition rates, (ii) updating the value attributed to trade names to reflect our long-term view of how each acquired brand fits into the overall product portfolio of the combined company and the appropriate royalty rate to value each acquired brand based on expected profitability, (iii) decreasing the value attributed to Property, Plant and Equipment primarily to reflect updated assumptions related to the estimated economic value of certain underlying assets, (iv) decreasing the value attributed to pension and other postretirement benefit liabilities primarily to reflect updated plan population data, (v) increasing the value attributed to a liability for environmental matters primarily to reflect updated estimated lifecycle remediation cost data and recording other liabilities identified during the measurement period, and (vi) a reclassification between Accounts Receivable and Accounts Payable to conform to Goodyear's classification of customer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rebate and discount program liabilities. These adjustments were recorded net of adjustments to Deferred Tax Liabilities with the corresponding offset recorded to Goodwill, as applicable.</w:t>
      </w:r>
    </w:p>
    <w:p>
      <w:pPr>
        <w:spacing w:after="0" w:line="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following table sets forth cumulative measurement period changes from the Closing Date to the second quarter of 2022 when our purchase accounting was finalized, as well as the final and initial allocation of the Merger Consideration to the estimated fair value of the identifiable tangible and intangible assets acquired and liabilities assumed of Cooper Tire, with the excess recorded to Goodwill as of the Closing Date: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vMerge w:val="restart"/>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Final</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vMerge w:val="restart"/>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132"/>
              <w:spacing w:after="0" w:line="149" w:lineRule="exact"/>
              <w:rPr>
                <w:sz w:val="20"/>
                <w:szCs w:val="20"/>
                <w:color w:val="auto"/>
              </w:rPr>
            </w:pPr>
            <w:r>
              <w:rPr>
                <w:rFonts w:ascii="Times New Roman" w:cs="Times New Roman" w:eastAsia="Times New Roman" w:hAnsi="Times New Roman"/>
                <w:sz w:val="14"/>
                <w:szCs w:val="14"/>
                <w:b w:val="1"/>
                <w:bCs w:val="1"/>
                <w:color w:val="auto"/>
              </w:rPr>
              <w:t>Measurement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Purchase Price Allocation</w:t>
            </w:r>
          </w:p>
        </w:tc>
        <w:tc>
          <w:tcPr>
            <w:tcW w:w="180" w:type="dxa"/>
            <w:vAlign w:val="bottom"/>
          </w:tcPr>
          <w:p>
            <w:pPr>
              <w:spacing w:after="0"/>
              <w:rPr>
                <w:sz w:val="16"/>
                <w:szCs w:val="16"/>
                <w:color w:val="auto"/>
              </w:rPr>
            </w:pPr>
          </w:p>
        </w:tc>
        <w:tc>
          <w:tcPr>
            <w:tcW w:w="1220" w:type="dxa"/>
            <w:vAlign w:val="bottom"/>
            <w:tcBorders>
              <w:bottom w:val="single" w:sz="8" w:color="auto"/>
            </w:tcBorders>
            <w:gridSpan w:val="2"/>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Period Changes</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Purchase Price Allocation</w:t>
            </w:r>
          </w:p>
        </w:tc>
        <w:tc>
          <w:tcPr>
            <w:tcW w:w="0" w:type="dxa"/>
            <w:vAlign w:val="bottom"/>
          </w:tcPr>
          <w:p>
            <w:pPr>
              <w:spacing w:after="0"/>
              <w:rPr>
                <w:sz w:val="1"/>
                <w:szCs w:val="1"/>
                <w:color w:val="auto"/>
              </w:rPr>
            </w:pPr>
          </w:p>
        </w:tc>
      </w:tr>
      <w:tr>
        <w:trPr>
          <w:trHeight w:val="23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3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20"/>
                <w:szCs w:val="20"/>
                <w:color w:val="auto"/>
              </w:rPr>
            </w:pPr>
          </w:p>
        </w:tc>
        <w:tc>
          <w:tcPr>
            <w:tcW w:w="2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47"/>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FF0FC"/>
          </w:tcPr>
          <w:p>
            <w:pPr>
              <w:spacing w:after="0"/>
              <w:rPr>
                <w:sz w:val="21"/>
                <w:szCs w:val="21"/>
                <w:color w:val="auto"/>
              </w:rPr>
            </w:pPr>
          </w:p>
        </w:tc>
        <w:tc>
          <w:tcPr>
            <w:tcW w:w="2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708</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3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 w:type="dxa"/>
            <w:vAlign w:val="bottom"/>
          </w:tcPr>
          <w:p>
            <w:pPr>
              <w:spacing w:after="0"/>
              <w:rPr>
                <w:sz w:val="20"/>
                <w:szCs w:val="20"/>
                <w:color w:val="auto"/>
              </w:rPr>
            </w:pPr>
          </w:p>
        </w:tc>
        <w:tc>
          <w:tcPr>
            <w:tcW w:w="2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1,346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1,372</w:t>
            </w:r>
          </w:p>
        </w:tc>
        <w:tc>
          <w:tcPr>
            <w:tcW w:w="0" w:type="dxa"/>
            <w:vAlign w:val="bottom"/>
          </w:tcPr>
          <w:p>
            <w:pPr>
              <w:spacing w:after="0"/>
              <w:rPr>
                <w:sz w:val="1"/>
                <w:szCs w:val="1"/>
                <w:color w:val="auto"/>
              </w:rPr>
            </w:pPr>
          </w:p>
        </w:tc>
      </w:tr>
      <w:tr>
        <w:trPr>
          <w:trHeight w:val="247"/>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FF0FC"/>
          </w:tcPr>
          <w:p>
            <w:pPr>
              <w:spacing w:after="0"/>
              <w:rPr>
                <w:sz w:val="21"/>
                <w:szCs w:val="21"/>
                <w:color w:val="auto"/>
              </w:rPr>
            </w:pPr>
          </w:p>
        </w:tc>
        <w:tc>
          <w:tcPr>
            <w:tcW w:w="2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633</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3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tcPr>
          <w:p>
            <w:pPr>
              <w:spacing w:after="0"/>
              <w:rPr>
                <w:sz w:val="20"/>
                <w:szCs w:val="20"/>
                <w:color w:val="auto"/>
              </w:rPr>
            </w:pPr>
          </w:p>
        </w:tc>
        <w:tc>
          <w:tcPr>
            <w:tcW w:w="2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47"/>
        </w:trPr>
        <w:tc>
          <w:tcPr>
            <w:tcW w:w="5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FF0FC"/>
          </w:tcPr>
          <w:p>
            <w:pPr>
              <w:spacing w:after="0"/>
              <w:rPr>
                <w:sz w:val="21"/>
                <w:szCs w:val="21"/>
                <w:color w:val="auto"/>
              </w:rPr>
            </w:pPr>
          </w:p>
        </w:tc>
        <w:tc>
          <w:tcPr>
            <w:tcW w:w="2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360</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32"/>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4,742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4,840</w:t>
            </w:r>
          </w:p>
        </w:tc>
        <w:tc>
          <w:tcPr>
            <w:tcW w:w="0" w:type="dxa"/>
            <w:vAlign w:val="bottom"/>
          </w:tcPr>
          <w:p>
            <w:pPr>
              <w:spacing w:after="0"/>
              <w:rPr>
                <w:sz w:val="1"/>
                <w:szCs w:val="1"/>
                <w:color w:val="auto"/>
              </w:rPr>
            </w:pPr>
          </w:p>
        </w:tc>
      </w:tr>
      <w:tr>
        <w:trPr>
          <w:trHeight w:val="247"/>
        </w:trPr>
        <w:tc>
          <w:tcPr>
            <w:tcW w:w="5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9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 Trade</w:t>
            </w:r>
          </w:p>
        </w:tc>
        <w:tc>
          <w:tcPr>
            <w:tcW w:w="160" w:type="dxa"/>
            <w:vAlign w:val="bottom"/>
          </w:tcPr>
          <w:p>
            <w:pPr>
              <w:spacing w:after="0"/>
              <w:rPr>
                <w:sz w:val="20"/>
                <w:szCs w:val="20"/>
                <w:color w:val="auto"/>
              </w:rPr>
            </w:pPr>
          </w:p>
        </w:tc>
        <w:tc>
          <w:tcPr>
            <w:tcW w:w="2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47"/>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60" w:type="dxa"/>
            <w:vAlign w:val="bottom"/>
            <w:shd w:val="clear" w:color="auto" w:fill="CFF0FC"/>
          </w:tcPr>
          <w:p>
            <w:pPr>
              <w:spacing w:after="0"/>
              <w:rPr>
                <w:sz w:val="21"/>
                <w:szCs w:val="21"/>
                <w:color w:val="auto"/>
              </w:rPr>
            </w:pPr>
          </w:p>
        </w:tc>
        <w:tc>
          <w:tcPr>
            <w:tcW w:w="2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356</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3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Finance Leases and Notes Payable and Overdrafts</w:t>
            </w:r>
          </w:p>
        </w:tc>
        <w:tc>
          <w:tcPr>
            <w:tcW w:w="160" w:type="dxa"/>
            <w:vAlign w:val="bottom"/>
          </w:tcPr>
          <w:p>
            <w:pPr>
              <w:spacing w:after="0"/>
              <w:rPr>
                <w:sz w:val="20"/>
                <w:szCs w:val="20"/>
                <w:color w:val="auto"/>
              </w:rPr>
            </w:pPr>
          </w:p>
        </w:tc>
        <w:tc>
          <w:tcPr>
            <w:tcW w:w="2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47"/>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60" w:type="dxa"/>
            <w:vAlign w:val="bottom"/>
            <w:shd w:val="clear" w:color="auto" w:fill="CFF0FC"/>
          </w:tcPr>
          <w:p>
            <w:pPr>
              <w:spacing w:after="0"/>
              <w:rPr>
                <w:sz w:val="21"/>
                <w:szCs w:val="21"/>
                <w:color w:val="auto"/>
              </w:rPr>
            </w:pPr>
          </w:p>
        </w:tc>
        <w:tc>
          <w:tcPr>
            <w:tcW w:w="2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292</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3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spacing w:after="0"/>
              <w:rPr>
                <w:sz w:val="20"/>
                <w:szCs w:val="20"/>
                <w:color w:val="auto"/>
              </w:rPr>
            </w:pPr>
          </w:p>
        </w:tc>
        <w:tc>
          <w:tcPr>
            <w:tcW w:w="2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47"/>
        </w:trPr>
        <w:tc>
          <w:tcPr>
            <w:tcW w:w="5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Minority Equity</w:t>
            </w:r>
          </w:p>
        </w:tc>
        <w:tc>
          <w:tcPr>
            <w:tcW w:w="160" w:type="dxa"/>
            <w:vAlign w:val="bottom"/>
            <w:tcBorders>
              <w:bottom w:val="single" w:sz="8" w:color="auto"/>
            </w:tcBorders>
            <w:shd w:val="clear" w:color="auto" w:fill="CFF0FC"/>
          </w:tcPr>
          <w:p>
            <w:pPr>
              <w:spacing w:after="0"/>
              <w:rPr>
                <w:sz w:val="21"/>
                <w:szCs w:val="21"/>
                <w:color w:val="auto"/>
              </w:rPr>
            </w:pPr>
          </w:p>
        </w:tc>
        <w:tc>
          <w:tcPr>
            <w:tcW w:w="2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2"/>
        </w:trPr>
        <w:tc>
          <w:tcPr>
            <w:tcW w:w="5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1,645</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1,743</w:t>
            </w:r>
          </w:p>
        </w:tc>
        <w:tc>
          <w:tcPr>
            <w:tcW w:w="0" w:type="dxa"/>
            <w:vAlign w:val="bottom"/>
          </w:tcPr>
          <w:p>
            <w:pPr>
              <w:spacing w:after="0"/>
              <w:rPr>
                <w:sz w:val="1"/>
                <w:szCs w:val="1"/>
                <w:color w:val="auto"/>
              </w:rPr>
            </w:pPr>
          </w:p>
        </w:tc>
      </w:tr>
      <w:tr>
        <w:trPr>
          <w:trHeight w:val="280"/>
        </w:trPr>
        <w:tc>
          <w:tcPr>
            <w:tcW w:w="5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Merger Consideration</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3,097</w:t>
            </w: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3,097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4791075</wp:posOffset>
            </wp:positionH>
            <wp:positionV relativeFrom="paragraph">
              <wp:posOffset>-1591945</wp:posOffset>
            </wp:positionV>
            <wp:extent cx="111125" cy="1625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-1591945</wp:posOffset>
            </wp:positionV>
            <wp:extent cx="102870" cy="1625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-350520</wp:posOffset>
            </wp:positionV>
            <wp:extent cx="111125" cy="1714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-350520</wp:posOffset>
            </wp:positionV>
            <wp:extent cx="102870" cy="1714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-24765</wp:posOffset>
            </wp:positionV>
            <wp:extent cx="1111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-7620</wp:posOffset>
            </wp:positionV>
            <wp:extent cx="1111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-24765</wp:posOffset>
            </wp:positionV>
            <wp:extent cx="1028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-7620</wp:posOffset>
            </wp:positionV>
            <wp:extent cx="1028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estimated value of Inventory includes adjustments totaling $245 million, comprised of $135 million, primarily to adjust inventory valued on a last-in, first-out ("LIFO") basis to a current cost basis, and $110 million to step-up inventory to estimated fair value. The fair value step-up was fully amortized to CGS in 2021 as the related inventory was sold, which negatively impacted our 2021 results. We eliminated the LIFO reserve on Cooper Tire’s U.S. inventories as we predominately determine the value of our inventory using the first-in, first-out ("FIFO") method. To estimate the fair value of inventory, we considered the components of Cooper Tire’s inventory, as well as estimates of selling prices and selling and distribution costs that were based on Cooper Tire’s historical experience.</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estimated value of Property, Plant and Equipment includes adjustments totaling $138 million to increase the net book value of $1,208 million to the final fair value estimate of $1,346 million. This estimate is based on a combination of cost and market approaches, including appraisals, and expectations as to the duration of time we expect to realize benefits from those assets.</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estimated fair values of identifiable intangible assets acquired were prepared using an income valuation approach, which requires a forecast of expected future cash flows either through the use of the relief-from-royalty method or the multi-period excess earnings method. The estimated useful lives are based on our historical experience and expectations as to the duration of time we expect to realize benefits from those assets.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estimated fair values of the identifiable intangible assets acquired, their weighted average estimated useful lives and the related valuation methodology are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Final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Measurement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years)</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Changes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120" w:type="dxa"/>
            <w:vAlign w:val="bottom"/>
          </w:tcPr>
          <w:p>
            <w:pPr>
              <w:spacing w:after="0"/>
              <w:rPr>
                <w:sz w:val="16"/>
                <w:szCs w:val="16"/>
                <w:color w:val="auto"/>
              </w:rPr>
            </w:pPr>
          </w:p>
        </w:tc>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Methodology</w:t>
            </w:r>
          </w:p>
        </w:tc>
        <w:tc>
          <w:tcPr>
            <w:tcW w:w="0" w:type="dxa"/>
            <w:vAlign w:val="bottom"/>
          </w:tcPr>
          <w:p>
            <w:pPr>
              <w:spacing w:after="0"/>
              <w:rPr>
                <w:sz w:val="1"/>
                <w:szCs w:val="1"/>
                <w:color w:val="auto"/>
              </w:rPr>
            </w:pPr>
          </w:p>
        </w:tc>
      </w:tr>
      <w:tr>
        <w:trPr>
          <w:trHeight w:val="23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(indefinite-lived)</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shd w:val="clear" w:color="auto" w:fill="CFF0FC"/>
          </w:tcPr>
          <w:p>
            <w:pPr>
              <w:spacing w:after="0"/>
              <w:rPr>
                <w:sz w:val="20"/>
                <w:szCs w:val="20"/>
                <w:color w:val="auto"/>
              </w:rPr>
            </w:pPr>
          </w:p>
        </w:tc>
        <w:tc>
          <w:tcPr>
            <w:tcW w:w="2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Relief-from-royalty</w:t>
            </w:r>
          </w:p>
        </w:tc>
        <w:tc>
          <w:tcPr>
            <w:tcW w:w="0" w:type="dxa"/>
            <w:vAlign w:val="bottom"/>
          </w:tcPr>
          <w:p>
            <w:pPr>
              <w:spacing w:after="0"/>
              <w:rPr>
                <w:sz w:val="1"/>
                <w:szCs w:val="1"/>
                <w:color w:val="auto"/>
              </w:rPr>
            </w:pPr>
          </w:p>
        </w:tc>
      </w:tr>
      <w:tr>
        <w:trPr>
          <w:trHeight w:val="238"/>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 (definite-lived)</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 years</w:t>
            </w:r>
          </w:p>
        </w:tc>
        <w:tc>
          <w:tcPr>
            <w:tcW w:w="12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Relief-from-royalty</w:t>
            </w:r>
          </w:p>
        </w:tc>
        <w:tc>
          <w:tcPr>
            <w:tcW w:w="0" w:type="dxa"/>
            <w:vAlign w:val="bottom"/>
          </w:tcPr>
          <w:p>
            <w:pPr>
              <w:spacing w:after="0"/>
              <w:rPr>
                <w:sz w:val="1"/>
                <w:szCs w:val="1"/>
                <w:color w:val="auto"/>
              </w:rPr>
            </w:pPr>
          </w:p>
        </w:tc>
      </w:tr>
      <w:tr>
        <w:trPr>
          <w:trHeight w:val="247"/>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FF0FC"/>
          </w:tcPr>
          <w:p>
            <w:pPr>
              <w:spacing w:after="0"/>
              <w:rPr>
                <w:sz w:val="21"/>
                <w:szCs w:val="21"/>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 years</w:t>
            </w:r>
          </w:p>
        </w:tc>
        <w:tc>
          <w:tcPr>
            <w:tcW w:w="120" w:type="dxa"/>
            <w:vAlign w:val="bottom"/>
            <w:shd w:val="clear" w:color="auto" w:fill="CFF0FC"/>
          </w:tcPr>
          <w:p>
            <w:pPr>
              <w:spacing w:after="0"/>
              <w:rPr>
                <w:sz w:val="21"/>
                <w:szCs w:val="21"/>
                <w:color w:val="auto"/>
              </w:rPr>
            </w:pPr>
          </w:p>
        </w:tc>
        <w:tc>
          <w:tcPr>
            <w:tcW w:w="2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Multi-period excess earnings</w:t>
            </w: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Non-compete and other</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 years</w:t>
            </w:r>
          </w:p>
        </w:tc>
        <w:tc>
          <w:tcPr>
            <w:tcW w:w="120" w:type="dxa"/>
            <w:vAlign w:val="bottom"/>
          </w:tcPr>
          <w:p>
            <w:pPr>
              <w:spacing w:after="0"/>
              <w:rPr>
                <w:sz w:val="21"/>
                <w:szCs w:val="21"/>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0" w:type="dxa"/>
            <w:vAlign w:val="bottom"/>
          </w:tcPr>
          <w:p>
            <w:pPr>
              <w:spacing w:after="0"/>
              <w:rPr>
                <w:sz w:val="1"/>
                <w:szCs w:val="1"/>
                <w:color w:val="auto"/>
              </w:rPr>
            </w:pPr>
          </w:p>
        </w:tc>
      </w:tr>
      <w:tr>
        <w:trPr>
          <w:trHeight w:val="272"/>
        </w:trPr>
        <w:tc>
          <w:tcPr>
            <w:tcW w:w="28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926</w:t>
            </w:r>
          </w:p>
        </w:tc>
        <w:tc>
          <w:tcPr>
            <w:tcW w:w="1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2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28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2633345</wp:posOffset>
            </wp:positionH>
            <wp:positionV relativeFrom="paragraph">
              <wp:posOffset>-24765</wp:posOffset>
            </wp:positionV>
            <wp:extent cx="76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2633345</wp:posOffset>
            </wp:positionH>
            <wp:positionV relativeFrom="paragraph">
              <wp:posOffset>-7620</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-24765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-24765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All of the goodwill was allocated to our Americas segment. The goodwill consists of expected future economic benefits that will arise from expected future product sales, operating efficiencies and other synergies that may result from the acquisition, including income tax synergies, and is not deductible for tax purposes.</w:t>
      </w:r>
    </w:p>
    <w:p>
      <w:pPr>
        <w:spacing w:after="0" w:line="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the Closing Date, Cooper Tire’s operating results have been included in our Consolidated Statements of Operations. As such, during the year ended December 31, 2022, our results included the results of Cooper Tire for the entire period, while the comparable period in 2021 only included the results of Cooper Tire subsequent to the Closing Date. Our Consolidated Statements of Operations for the year ended December 31, 2022 include an incremental $1,532 million and $1,194 million of Net Sales and CGS, respectively, from Cooper Tire during the first six months of 2022. As a result of our ongoing integration efforts, particularly as it relates to administrative functions and financing activities, it is not practical to disclose Income before Income Taxes or Net Income separately for Cooper Tire.</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2021, we incurred transaction and other costs in connection with the acquisition of Cooper Tire totaling $56 million, including $10 million for a commitment fee related to a bridge term loan facility that was not utilized to finance the transaction and $6 million related to the post-combination settlement of certain Cooper Tire incentive compensation awards during the second quarter of 2021. For the year ended December 31, 2021, $50 million of these costs are included in Other (Income) Expense, with the remainder included in CGS and SAG in our Consolidated Statements of Operations. There were no transaction-related costs incurred during the year ended December 31, 2022.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 forma financial information</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table summarizes, on a pro forma basis, the combined results of operations of Goodyear and Cooper Tire for the years ended December 31, 2021 and 2020 as though the acquisition and the related financing had occurred as of January 1, 2020. The pro forma results are not necessarily indicative of either the actual consolidated results had the acquisition of Cooper Tire occurred on January 1, 2020, nor are they indicative of future consolidated operating results.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4"/>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8"/>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8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18,732</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14,902</w:t>
            </w:r>
          </w:p>
        </w:tc>
      </w:tr>
      <w:tr>
        <w:trPr>
          <w:trHeight w:val="238"/>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tcPr>
          <w:p>
            <w:pPr>
              <w:spacing w:after="0"/>
              <w:rPr>
                <w:sz w:val="20"/>
                <w:szCs w:val="20"/>
                <w:color w:val="auto"/>
              </w:rPr>
            </w:pP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791</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(1,281 )</w:t>
            </w:r>
          </w:p>
        </w:tc>
      </w:tr>
      <w:tr>
        <w:trPr>
          <w:trHeight w:val="247"/>
        </w:trPr>
        <w:tc>
          <w:tcPr>
            <w:tcW w:w="8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974</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(1,369 )</w:t>
            </w:r>
          </w:p>
        </w:tc>
      </w:tr>
    </w:tbl>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pro forma amounts have been calculated after applying Goodyear’s accounting policies and making certain adjustments, which primarily include: (i) depreciation adjustments relating to fair value step-ups to property, plant and equipment; (ii) amortization adjustments relating to fair value estimates of acquired intangible assets; (iii) incremental interest expense associated with the $1.45 billion senior note issuance and additional borrowings under our first lien revolving credit facility used, in part, to fund the acquisition, related debt issuance costs, and fair value adjustments related to Cooper Tire's debt; (iv) CGS adjustments relating to the change from LIFO to FIFO; (v) fair value adjustments for certain Cooper Tire stock-based compensation; and (vi) transaction-related costs of both Goodyear and Cooper Tire.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Net Sales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disaggregated net sales from contracts with customers by major source for the year ended December 31, 2022:</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7"/>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10,694</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4,943</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2,249</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17,886</w:t>
            </w:r>
          </w:p>
        </w:tc>
      </w:tr>
      <w:tr>
        <w:trPr>
          <w:trHeight w:val="238"/>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0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746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582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1,421</w:t>
            </w:r>
          </w:p>
        </w:tc>
      </w:tr>
      <w:tr>
        <w:trPr>
          <w:trHeight w:val="247"/>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645</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813</w:t>
            </w:r>
          </w:p>
        </w:tc>
      </w:tr>
      <w:tr>
        <w:trPr>
          <w:trHeight w:val="238"/>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20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654</w:t>
            </w:r>
          </w:p>
        </w:tc>
      </w:tr>
      <w:tr>
        <w:trPr>
          <w:trHeight w:val="243"/>
        </w:trPr>
        <w:tc>
          <w:tcPr>
            <w:tcW w:w="5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31</w:t>
            </w:r>
          </w:p>
        </w:tc>
      </w:tr>
      <w:tr>
        <w:trPr>
          <w:trHeight w:val="238"/>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12,766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5,645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2,394</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20,805</w:t>
            </w:r>
          </w:p>
        </w:tc>
      </w:tr>
      <w:tr>
        <w:trPr>
          <w:trHeight w:val="20"/>
        </w:trPr>
        <w:tc>
          <w:tcPr>
            <w:tcW w:w="5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-187960</wp:posOffset>
            </wp:positionV>
            <wp:extent cx="85725" cy="1885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-187960</wp:posOffset>
            </wp:positionV>
            <wp:extent cx="76835" cy="1885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-187960</wp:posOffset>
            </wp:positionV>
            <wp:extent cx="76835" cy="1885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835" cy="18859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disaggregated net sales from contracts with customers by major source for the year ended December 31, 2021:</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7"/>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8,221</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4,669</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14,917</w:t>
            </w:r>
          </w:p>
        </w:tc>
      </w:tr>
      <w:tr>
        <w:trPr>
          <w:trHeight w:val="238"/>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0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454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1,202</w:t>
            </w:r>
          </w:p>
        </w:tc>
      </w:tr>
      <w:tr>
        <w:trPr>
          <w:trHeight w:val="247"/>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587</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758</w:t>
            </w:r>
          </w:p>
        </w:tc>
      </w:tr>
      <w:tr>
        <w:trPr>
          <w:trHeight w:val="238"/>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20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569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569</w:t>
            </w:r>
          </w:p>
        </w:tc>
      </w:tr>
      <w:tr>
        <w:trPr>
          <w:trHeight w:val="243"/>
        </w:trPr>
        <w:tc>
          <w:tcPr>
            <w:tcW w:w="5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w:t>
            </w:r>
          </w:p>
        </w:tc>
      </w:tr>
      <w:tr>
        <w:trPr>
          <w:trHeight w:val="238"/>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10,051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5,243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2,184</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17,478</w:t>
            </w:r>
          </w:p>
        </w:tc>
      </w:tr>
      <w:tr>
        <w:trPr>
          <w:trHeight w:val="20"/>
        </w:trPr>
        <w:tc>
          <w:tcPr>
            <w:tcW w:w="5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-187960</wp:posOffset>
            </wp:positionV>
            <wp:extent cx="85725" cy="1885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-187960</wp:posOffset>
            </wp:positionV>
            <wp:extent cx="76835" cy="1885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-187960</wp:posOffset>
            </wp:positionV>
            <wp:extent cx="76835" cy="1885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35" cy="18859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disaggregated net sales from contracts with customers by major source for the year ended December 31, 2020:</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7"/>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522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Tire unit sales</w:t>
            </w:r>
            <w:r>
              <w:rPr>
                <w:rFonts w:ascii="Times New Roman" w:cs="Times New Roman" w:eastAsia="Times New Roman" w:hAnsi="Times New Roman"/>
                <w:sz w:val="24"/>
                <w:szCs w:val="24"/>
                <w:color w:val="auto"/>
                <w:vertAlign w:val="superscript"/>
              </w:rPr>
              <w:t>(1)</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5,138</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3,611</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1,590</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10,339</w:t>
            </w:r>
          </w:p>
        </w:tc>
      </w:tr>
      <w:tr>
        <w:trPr>
          <w:trHeight w:val="238"/>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0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956</w:t>
            </w:r>
          </w:p>
        </w:tc>
      </w:tr>
      <w:tr>
        <w:trPr>
          <w:trHeight w:val="247"/>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538</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688</w:t>
            </w:r>
          </w:p>
        </w:tc>
      </w:tr>
      <w:tr>
        <w:trPr>
          <w:trHeight w:val="238"/>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20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317</w:t>
            </w:r>
          </w:p>
        </w:tc>
      </w:tr>
      <w:tr>
        <w:trPr>
          <w:trHeight w:val="243"/>
        </w:trPr>
        <w:tc>
          <w:tcPr>
            <w:tcW w:w="5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w:t>
            </w:r>
          </w:p>
        </w:tc>
      </w:tr>
      <w:tr>
        <w:trPr>
          <w:trHeight w:val="238"/>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6,556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4,020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1,745</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12,321</w:t>
            </w:r>
          </w:p>
        </w:tc>
      </w:tr>
      <w:tr>
        <w:trPr>
          <w:trHeight w:val="20"/>
        </w:trPr>
        <w:tc>
          <w:tcPr>
            <w:tcW w:w="5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4131945</wp:posOffset>
            </wp:positionH>
            <wp:positionV relativeFrom="paragraph">
              <wp:posOffset>-187960</wp:posOffset>
            </wp:positionV>
            <wp:extent cx="93980" cy="1885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-187960</wp:posOffset>
            </wp:positionV>
            <wp:extent cx="85725" cy="1885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-187960</wp:posOffset>
            </wp:positionV>
            <wp:extent cx="85725" cy="1885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43" w:lineRule="exact"/>
        <w:rPr>
          <w:sz w:val="20"/>
          <w:szCs w:val="20"/>
          <w:color w:val="auto"/>
        </w:rPr>
      </w:pPr>
    </w:p>
    <w:p>
      <w:pPr>
        <w:ind w:left="760" w:hanging="752"/>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 tire unit sales for 2020 include a gain of $34 million for a one-time legal settlement.</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Tire unit sales consist of consumer, commercial, farm and off-the-road tire sales, including the sale of new Company-branded tires through Company-owned retail channels. Other tire and related sales consist of aviation, race and motorcycle tire sales, retread sales and other tire related sales. Sales of tires in this category are not included in reported tire unit information. Retail services and service related sales consist of automotive services performed for customers through our Company-owned retail channels, and includes service related products. Chemical sales relate to the sale of synthetic rubber and other chemicals to third parties, and exclude intercompany sales. Other sales include items such as franchise fees and ancillary tire parts.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we receive consideration from a customer prior to transferring goods or services under the terms of a sales contract, we record deferred revenue, which represents a contract liability. Deferred revenue included in Other Current Liabilities in the Consolidated Balance Sheets totaled $19 million and $23 million at December 31, 2022 and 2021, respectively. Deferred revenue included in Other Long Term Liabilities in the Consolidated Balance Sheets totaled $15 million and $21 million at December 31, 2022 and 2021, respectively. We recognize deferred revenue after we have transferred control of the goods or services to the customer and all revenue recognition criteria are met.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balances of deferred revenue related to contracts with customers, and changes during the years ended December 31: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20" w:type="dxa"/>
            <w:vAlign w:val="bottom"/>
          </w:tcPr>
          <w:p>
            <w:pPr>
              <w:spacing w:after="0"/>
              <w:rPr>
                <w:sz w:val="16"/>
                <w:szCs w:val="16"/>
                <w:color w:val="auto"/>
              </w:rPr>
            </w:pPr>
          </w:p>
        </w:tc>
      </w:tr>
      <w:tr>
        <w:trPr>
          <w:trHeight w:val="236"/>
        </w:trPr>
        <w:tc>
          <w:tcPr>
            <w:tcW w:w="1140" w:type="dxa"/>
            <w:vAlign w:val="bottom"/>
          </w:tcPr>
          <w:p>
            <w:pPr>
              <w:spacing w:after="0"/>
              <w:rPr>
                <w:sz w:val="20"/>
                <w:szCs w:val="20"/>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25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44</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50</w:t>
            </w:r>
          </w:p>
        </w:tc>
        <w:tc>
          <w:tcPr>
            <w:tcW w:w="1120" w:type="dxa"/>
            <w:vAlign w:val="bottom"/>
          </w:tcPr>
          <w:p>
            <w:pPr>
              <w:spacing w:after="0"/>
              <w:rPr>
                <w:sz w:val="20"/>
                <w:szCs w:val="20"/>
                <w:color w:val="auto"/>
              </w:rPr>
            </w:pPr>
          </w:p>
        </w:tc>
      </w:tr>
      <w:tr>
        <w:trPr>
          <w:trHeight w:val="238"/>
        </w:trPr>
        <w:tc>
          <w:tcPr>
            <w:tcW w:w="11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Revenue deferred during period</w:t>
            </w:r>
          </w:p>
        </w:tc>
        <w:tc>
          <w:tcPr>
            <w:tcW w:w="2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211</w:t>
            </w: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recognized during period</w:t>
            </w:r>
          </w:p>
        </w:tc>
        <w:tc>
          <w:tcPr>
            <w:tcW w:w="25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120" w:type="dxa"/>
            <w:vAlign w:val="bottom"/>
          </w:tcPr>
          <w:p>
            <w:pPr>
              <w:spacing w:after="0"/>
              <w:rPr>
                <w:sz w:val="21"/>
                <w:szCs w:val="21"/>
                <w:color w:val="auto"/>
              </w:rPr>
            </w:pPr>
          </w:p>
        </w:tc>
      </w:tr>
      <w:tr>
        <w:trPr>
          <w:trHeight w:val="238"/>
        </w:trPr>
        <w:tc>
          <w:tcPr>
            <w:tcW w:w="11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25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0"/>
                <w:szCs w:val="20"/>
                <w:color w:val="auto"/>
              </w:rPr>
            </w:pPr>
          </w:p>
        </w:tc>
      </w:tr>
      <w:tr>
        <w:trPr>
          <w:trHeight w:val="278"/>
        </w:trPr>
        <w:tc>
          <w:tcPr>
            <w:tcW w:w="1140" w:type="dxa"/>
            <w:vAlign w:val="bottom"/>
          </w:tcPr>
          <w:p>
            <w:pPr>
              <w:spacing w:after="0"/>
              <w:rPr>
                <w:sz w:val="24"/>
                <w:szCs w:val="24"/>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25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34</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44</w:t>
            </w:r>
          </w:p>
        </w:tc>
        <w:tc>
          <w:tcPr>
            <w:tcW w:w="1120" w:type="dxa"/>
            <w:vAlign w:val="bottom"/>
          </w:tcPr>
          <w:p>
            <w:pPr>
              <w:spacing w:after="0"/>
              <w:rPr>
                <w:sz w:val="24"/>
                <w:szCs w:val="24"/>
                <w:color w:val="auto"/>
              </w:rPr>
            </w:pPr>
          </w:p>
        </w:tc>
      </w:tr>
      <w:tr>
        <w:trPr>
          <w:trHeight w:val="630"/>
        </w:trPr>
        <w:tc>
          <w:tcPr>
            <w:tcW w:w="11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5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9"/>
                <w:szCs w:val="9"/>
                <w:color w:val="auto"/>
              </w:rPr>
            </w:pPr>
          </w:p>
        </w:tc>
        <w:tc>
          <w:tcPr>
            <w:tcW w:w="3560" w:type="dxa"/>
            <w:vAlign w:val="bottom"/>
            <w:tcBorders>
              <w:bottom w:val="single" w:sz="8" w:color="9A9A9A"/>
            </w:tcBorders>
          </w:tcPr>
          <w:p>
            <w:pPr>
              <w:spacing w:after="0"/>
              <w:rPr>
                <w:sz w:val="9"/>
                <w:szCs w:val="9"/>
                <w:color w:val="auto"/>
              </w:rPr>
            </w:pPr>
          </w:p>
        </w:tc>
        <w:tc>
          <w:tcPr>
            <w:tcW w:w="25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-521970</wp:posOffset>
            </wp:positionV>
            <wp:extent cx="939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-504825</wp:posOffset>
            </wp:positionV>
            <wp:extent cx="939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Costs Associated with Rationalization Programs</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In order to maintain our global competitiveness, we have implemented rationalization actions over the past several years to reduce high-cost and excess manufacturing capacity and operating and administrative costs.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roll-forward of the liability balance between periods: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7"/>
        </w:trPr>
        <w:tc>
          <w:tcPr>
            <w:tcW w:w="6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Associate-</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2"/>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Related Costs</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Other Costs</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220</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220</w:t>
            </w: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 charges(1)</w:t>
            </w:r>
          </w:p>
        </w:tc>
        <w:tc>
          <w:tcPr>
            <w:tcW w:w="1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w:t>
            </w: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Incurred, net of foreign currency translation of $12 million and $0 million, respectively</w:t>
            </w: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(174 )</w:t>
            </w: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Reversed to the Statement of Operations</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40"/>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200</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200</w:t>
            </w: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 charges</w:t>
            </w:r>
          </w:p>
        </w:tc>
        <w:tc>
          <w:tcPr>
            <w:tcW w:w="1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Incurred, net of foreign currency translation of $(8) million and $0 million, respectively</w:t>
            </w: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(205 )</w:t>
            </w: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Reversed to the Statement of Operations</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40"/>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88</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88</w:t>
            </w: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 charges</w:t>
            </w:r>
          </w:p>
        </w:tc>
        <w:tc>
          <w:tcPr>
            <w:tcW w:w="1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Incurred, net of foreign currency translation of ($5) million and $0 million, respectively</w:t>
            </w: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Reversed to the Statement of Operations</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78"/>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115</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5116830</wp:posOffset>
            </wp:positionH>
            <wp:positionV relativeFrom="paragraph">
              <wp:posOffset>-24765</wp:posOffset>
            </wp:positionV>
            <wp:extent cx="857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-7620</wp:posOffset>
            </wp:positionV>
            <wp:extent cx="857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-24765</wp:posOffset>
            </wp:positionV>
            <wp:extent cx="857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-7620</wp:posOffset>
            </wp:positionV>
            <wp:extent cx="857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43" w:lineRule="exact"/>
        <w:rPr>
          <w:sz w:val="20"/>
          <w:szCs w:val="20"/>
          <w:color w:val="auto"/>
        </w:rPr>
      </w:pPr>
    </w:p>
    <w:p>
      <w:pPr>
        <w:ind w:left="760" w:hanging="752"/>
        <w:spacing w:after="0" w:line="281"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of $156 million in 2020 exclude $5 million of benefit plan curtailments and settlements recorded in Rationalizations in the Statements of Operations.</w:t>
      </w:r>
    </w:p>
    <w:p>
      <w:pPr>
        <w:spacing w:after="0" w:line="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2023, we approved a rationalization plan and workforce reorganization that will result in an approximately 5% reduction in salaried staff globally, or about 500 positions, in response to a challenging industry environment and cost pressure driven by inflation. In certain foreign countries, relevant portions of the rationalization plan remain subject to consultation with employee representative bodies. We expect to substantially complete the rationalization plan during the first and second quarters of 2023 and estimate total pre-tax charges associated with this action to be approximately $55 million, of which approximately $39 million are expected to be cash charges primarily for associate-related and other exit costs, with the remainder representing non-cash charges primarily for accelerated depreciation and other asset-related charges. We have $37 million accrued related to this plan at December 31, 2022 and expect to record a majority of the remaining charges in the first quarter of 2023. A majority of the cash outflows associated with this plan relate to cash severance payments that are expected to be paid during the first half of 2023.</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2023, we also approved a plan to discontinue our operations in Russia. Total expected net pre-tax charges related to this plan are $13 million, of which $5 million are expected to be cash charges for associate-related and other exit costs. The remainder of the charges represent non-cash charges primarily related to the write-off of accounts receivable and other asset-related charges. The plan will result in approximately 70 job reductions. We have $3 million accrued related to this plan at December 31, 2022 and expect that a majority of the remaining charges and related cash outflows will be recognized in the first quarter of 2023.</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2022, we approved a plan to close Cooper Tire's Melksham, United Kingdom tire manufacturing facility ("Melksham") to address long-standing competitiveness issues at this plant. Total expected charges related to this plan are to be between $80 million and $90 million, of which $60 million to $70 million are expected to be cash charges primarily for associate-related and other exit costs, with the remainder representing non-cash charges primarily for accelerated depreciation and other asset-related charges. The plan will result in approximately 340 job reductions. We have $33 million accrued related to this plan at December 31, 2022 and expect that a majority of the remaining charges and related cash outflows will be recognized through 2023.</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During the third quarter of 2022, we approved a plan related to the exit of our retail operations in South Africa. Total expected charges related to this plan are $18 million, primarily representing cash charges for associate-related and other exit costs. The plan will result in approximately 900 job reductions. We have $5 million accrued related to this plan at December 31, 2022, which is expected to be substantially paid through 2023.</w:t>
      </w:r>
    </w:p>
    <w:p>
      <w:pPr>
        <w:spacing w:after="0" w:line="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During the second quarter of 2022, we approved a plan related to the integration of Cooper Tire aimed at reducing duplicative global SAG headcount and closing redundant Cooper Tire warehouse locations in Americas in line with previously announced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planned synergies. The plan will result in approximately 490 job reductions. We have $11 million accrued related to this plan at December 31, 2022, which is expected to be substantially paid through 2023.</w:t>
      </w:r>
    </w:p>
    <w:p>
      <w:pPr>
        <w:spacing w:after="0" w:line="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remainder of the accrual balance at December 31, 2022 is expected to be substantially utilized in the next 12 months and includes $13 million related to plans to reduce SAG headcount, $5 million related to the closed Amiens, France tire manufacturing facility, $2 million related to the permanent closure of our Gadsden, Alabama tire manufacturing facility ("Gadsden"), and various other plans to reduce headcount and improve operating efficiency.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net rationalization charges included in Income (Loss) before Income Taxes: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Year Plans</w:t>
            </w: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Associate severance and other related costs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103</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plan curtailment and special termination benefits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exit and non-cancelable lease costs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r>
      <w:tr>
        <w:trPr>
          <w:trHeight w:val="240"/>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Current Year Plans - Net Charges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111</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19</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102</w:t>
            </w:r>
          </w:p>
        </w:tc>
      </w:tr>
      <w:tr>
        <w:trPr>
          <w:trHeight w:val="24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Prior Year Plans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Associate severance and other related costs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plan curtailment and special termination benefits</w:t>
            </w:r>
          </w:p>
        </w:tc>
        <w:tc>
          <w:tcPr>
            <w:tcW w:w="32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exit and non-cancelable lease costs</w:t>
            </w: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Prior Year Plans - Net Charges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18</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74</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57</w:t>
            </w:r>
          </w:p>
        </w:tc>
      </w:tr>
      <w:tr>
        <w:trPr>
          <w:trHeight w:val="276"/>
        </w:trPr>
        <w:tc>
          <w:tcPr>
            <w:tcW w:w="66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Net Charges</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129</w:t>
            </w:r>
          </w:p>
        </w:tc>
        <w:tc>
          <w:tcPr>
            <w:tcW w:w="1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93</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159</w:t>
            </w:r>
          </w:p>
        </w:tc>
      </w:tr>
      <w:tr>
        <w:trPr>
          <w:trHeight w:val="221"/>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write-off and accelerated depreciation charges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30</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-530225</wp:posOffset>
            </wp:positionV>
            <wp:extent cx="93980" cy="1714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-530225</wp:posOffset>
            </wp:positionV>
            <wp:extent cx="85725" cy="1714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-205105</wp:posOffset>
            </wp:positionV>
            <wp:extent cx="1087120" cy="2057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087120" cy="205740"/>
                    </a:xfrm>
                    <a:prstGeom prst="rect">
                      <a:avLst/>
                    </a:prstGeom>
                    <a:noFill/>
                  </pic:spPr>
                </pic:pic>
              </a:graphicData>
            </a:graphic>
          </wp:anchor>
        </w:drawing>
      </w:r>
    </w:p>
    <w:p>
      <w:pPr>
        <w:spacing w:after="0" w:line="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Substantially all of the new charges in 2022 related to future cash outflows. Current year plan charges for the year ended December 31, 2022 related to the new plans approved during 2022 described above.</w:t>
      </w:r>
    </w:p>
    <w:p>
      <w:pPr>
        <w:spacing w:after="0" w:line="5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Net prior year plan charges recognized in the year ended December 31, 2022 include $15 million related to Gadsden, $7 million related to the modernization of two of our tire manufacturing facilities in Germany and $3 million for various plans to reduce global SAG headcount. Net prior year plan charges also include reversals of $9 million for actions no longer needed for their originally intended purposes.</w:t>
      </w:r>
    </w:p>
    <w:p>
      <w:pPr>
        <w:spacing w:after="0" w:line="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Ongoing rationalization plans had approximately $960 million in charges through 2022 and approximately $60 million is expected to be incurred in future periods.</w:t>
      </w:r>
    </w:p>
    <w:p>
      <w:pPr>
        <w:spacing w:after="0" w:line="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Approximately 2,200 associates will be released under new plans initiated in 2022, of which approximately 1,200 were released through December 31, 2022. In 2022, approximately 200 associates were released under plans initiated in prior years. Approximately 1,000 associates remain to be released under all ongoing rationalization plans.</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Rationalization activities initiated in 2021 include current year charges primarily related to a plan to reduce SAG headcount in EMEA. Net prior year plan charges recognized in 2021 include $37 million related to Gadsden, $26 million related to the modernization of two of our tire manufacturing facilities in Germany, and $10 million related to various plans to reduce manufacturing headcount and improve operating efficiency in EMEA. In addition, net prior year plan charges include reversals of $2 million for actions no longer needed for their originally intended purposes.</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Rationalization activities initiated in 2020 include current year charges primarily related to the permanent closure of Gadsden. Net prior year plan charges recognized in 2020 include $30 million related to additional termination benefits for associates at the closed Amiens, France tire manufacturing facility. In addition, net prior year plan charges include $19 million related to the plan to modernize two of our tire manufacturing facilities in Germany, $5 million related to a plan primarily to offer voluntary buy-outs to certain associates at Gadsden, and $3 million related to the closure of our tire manufacturing facility in Philippsburg, Germany. Net prior year plan charges for the year ended December 31, 2020 also include reversals of $2 million for actions no longer needed for their originally intended purposes and a curtailment credit of $4 million for a postretirement benefit plan related to the exit of employees under an approved rationalization plan.</w:t>
      </w:r>
    </w:p>
    <w:p>
      <w:pPr>
        <w:spacing w:after="0" w:line="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Asset write-off and accelerated depreciation charges in 2022 primarily related to the discontinuation of our operations in Russia and the plan related to the integration of Cooper Tire. Asset write-off and accelerated depreciation charges for 2022 were primarily recorded in SAG.</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write-off and accelerated depreciation charges in 2020 primarily related to Gadsden and were recorded in CGS.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Interest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includes interest and the amortization of deferred financing fees and debt discounts, less amounts capitalized,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before capitalization</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470</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403</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339</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78"/>
        </w:trPr>
        <w:tc>
          <w:tcPr>
            <w:tcW w:w="66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451</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387</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-24765</wp:posOffset>
            </wp:positionV>
            <wp:extent cx="939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-7620</wp:posOffset>
            </wp:positionV>
            <wp:extent cx="939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-24765</wp:posOffset>
            </wp:positionV>
            <wp:extent cx="857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-7620</wp:posOffset>
            </wp:positionV>
            <wp:extent cx="857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payments for interest, net of amounts capitalized, were $437 million, $316 million and $315 million in 2022, 2021 and 2020,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Other (Income) Expense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Non-service related pension and other postretirement benefits cost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110</w:t>
            </w: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on a favorable indirect tax ruling in Brazil</w:t>
            </w:r>
          </w:p>
        </w:tc>
        <w:tc>
          <w:tcPr>
            <w:tcW w:w="32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fees and financial instruments expense</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foreign currency exchange (gains) losses</w:t>
            </w:r>
          </w:p>
        </w:tc>
        <w:tc>
          <w:tcPr>
            <w:tcW w:w="32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product liability expense - discontinued products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income</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(gains) losses on asset sales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legal claims</w:t>
            </w:r>
          </w:p>
        </w:tc>
        <w:tc>
          <w:tcPr>
            <w:tcW w:w="32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Miscellaneous (income) expense</w:t>
            </w: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r>
      <w:tr>
        <w:trPr>
          <w:trHeight w:val="238"/>
        </w:trPr>
        <w:tc>
          <w:tcPr>
            <w:tcW w:w="66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75</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94</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119</w:t>
            </w: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-187960</wp:posOffset>
            </wp:positionV>
            <wp:extent cx="102870" cy="1885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-187960</wp:posOffset>
            </wp:positionV>
            <wp:extent cx="93980" cy="1885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Non-service related pension and other postretirement benefits cost consists primarily of the interest cost, expected return on plan assets and amortization components of net periodic cost, as well as curtailments and settlements which are not related to rationalization plans. Non-service related pension and other postretirement benefits cost includes net pension settlement and curtailment charges of $124 million, $43 million and $18 million in 2022, 2021 and 2020, respectively. For further information, refer to Note to the Consolidated Financial Statements No. 18, Pension, Other Postretirement Benefits and Savings Plans.</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along with other companies, had previously filed various claims with the Brazilian tax authorities challenging the legality of the government's calculation of certain indirect taxes. During the second quarter of 2021, the Brazilian Supreme Court rendered a final ruling that was favorable to companies on the remaining open aspects of these claims. As a result of the ruling, we recorded a gain in CGS of $69 million and related interest income of $48 million in Other (Income) Expense.</w:t>
      </w:r>
    </w:p>
    <w:p>
      <w:pPr>
        <w:spacing w:after="0" w:line="7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Financing fees and financial instruments expense consists of commitment fees and charges incurred in connection with financing transactions. Financing fees and financial instruments expense in 2021 included a $10 million charge for a commitment fee on a bridge term loan facility related to the Cooper Tire acquisition that was not utilized and was terminated upon the closing of the transaction.</w:t>
      </w:r>
    </w:p>
    <w:p>
      <w:pPr>
        <w:spacing w:after="0" w:line="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Net foreign currency exchange (gains) losses include $7 million of expense in the first quarter of 2021 related to the out of period adjustments discussed in Note to the Consolidated Financial Statements No. 1, Accounting Policies.</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General and product liability expense - discontinued products consists of charges for claims against us related primarily to asbestos personal injury claims, net of probable insurance recoveries.</w:t>
      </w:r>
    </w:p>
    <w:p>
      <w:pPr>
        <w:spacing w:after="0" w:line="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gains on asset sales in 2022 include a $95 million gain in the second quarter of 2022 related to a sale and leaseback transaction of certain consumer and commercial retail locations in Americas. Cash proceeds, which were received during the second quarter of 2022, related to this transaction totaled $108 million. Leaseback terms for all locations include a 15-year initial term with up to six 5-year renewal options. We determined at the inception of the leases that it was not probable that we would exercise any of the renewal options. The transaction resulted in the recognition of Operating Lease ROU Assets totaling $57 million. The remainder of net gains on asset sales in 2022 primarily relate to the sale and exit of certain retail locations in Americas during the fourth quarter. Net gains on asset sales in 2021 primarily relate to the sale of land in Hanau, Germany.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costs include legal, consulting and other expenses incurred by us in connection with the Cooper Tire acquisition.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Miscellaneous (income) expense for the year ended December 31, 2021 includes an insurance settlement gain of $10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Other (Income) Expense also includes royalty income, which is derived primarily from licensing arrangements, interest income and intellectual property-related legal claims.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(Loss) before Income Taxes follow: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(993 )</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358</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615</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(147 )</w:t>
            </w:r>
          </w:p>
        </w:tc>
      </w:tr>
      <w:tr>
        <w:trPr>
          <w:trHeight w:val="278"/>
        </w:trPr>
        <w:tc>
          <w:tcPr>
            <w:tcW w:w="66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399</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513</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-24765</wp:posOffset>
            </wp:positionV>
            <wp:extent cx="939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-7620</wp:posOffset>
            </wp:positionV>
            <wp:extent cx="939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-24765</wp:posOffset>
            </wp:positionV>
            <wp:extent cx="857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-7620</wp:posOffset>
            </wp:positionV>
            <wp:extent cx="857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income taxes at the U.S. statutory rate to United States and Foreign Tax Expense (Benefit)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federal income tax expense (benefit) at the statutory rate of 21%</w:t>
            </w:r>
          </w:p>
        </w:tc>
        <w:tc>
          <w:tcPr>
            <w:tcW w:w="96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(239 )</w:t>
            </w: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foreign losses (income) with no tax due to valuation allowances</w:t>
            </w: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w:t>
            </w: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 for foreign income taxed at different rates</w:t>
            </w:r>
          </w:p>
        </w:tc>
        <w:tc>
          <w:tcPr>
            <w:tcW w:w="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r>
      <w:tr>
        <w:trPr>
          <w:trHeight w:val="211"/>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establishment (release) of foreign valuation allowances and write off of deferred</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1"/>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charges (benefits) related to foreign tax credits, R&amp;D and foreign</w:t>
            </w:r>
          </w:p>
        </w:tc>
        <w:tc>
          <w:tcPr>
            <w:tcW w:w="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48"/>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derived intangible deduction</w:t>
            </w:r>
          </w:p>
        </w:tc>
        <w:tc>
          <w:tcPr>
            <w:tcW w:w="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U.S. federal benefit</w:t>
            </w: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impact of enacted rate and law changes</w:t>
            </w:r>
          </w:p>
        </w:tc>
        <w:tc>
          <w:tcPr>
            <w:tcW w:w="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establishment (release) of uncertain tax positions</w:t>
            </w: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establishment (release) of U.S. valuation allowances</w:t>
            </w:r>
          </w:p>
        </w:tc>
        <w:tc>
          <w:tcPr>
            <w:tcW w:w="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310</w:t>
            </w: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 and Foreign Tax Expense (Benefit)</w:t>
            </w:r>
          </w:p>
        </w:tc>
        <w:tc>
          <w:tcPr>
            <w:tcW w:w="960" w:type="dxa"/>
            <w:vAlign w:val="bottom"/>
            <w:tcBorders>
              <w:bottom w:val="single" w:sz="8" w:color="auto"/>
            </w:tcBorders>
            <w:gridSpan w:val="2"/>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190</w:t>
            </w:r>
          </w:p>
        </w:tc>
        <w:tc>
          <w:tcPr>
            <w:tcW w:w="160" w:type="dxa"/>
            <w:vAlign w:val="bottom"/>
            <w:gridSpan w:val="2"/>
          </w:tcPr>
          <w:p>
            <w:pPr>
              <w:spacing w:after="0"/>
              <w:rPr>
                <w:sz w:val="20"/>
                <w:szCs w:val="20"/>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(267 )</w:t>
            </w:r>
          </w:p>
        </w:tc>
        <w:tc>
          <w:tcPr>
            <w:tcW w:w="160" w:type="dxa"/>
            <w:vAlign w:val="bottom"/>
            <w:gridSpan w:val="2"/>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110</w:t>
            </w:r>
          </w:p>
        </w:tc>
      </w:tr>
      <w:tr>
        <w:trPr>
          <w:trHeight w:val="20"/>
        </w:trPr>
        <w:tc>
          <w:tcPr>
            <w:tcW w:w="65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20"/>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United States and Foreign Tax Expense (Benefit) by taxing jurisdiction, follow:</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40" w:type="dxa"/>
            <w:vAlign w:val="bottom"/>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r>
      <w:tr>
        <w:trPr>
          <w:trHeight w:val="238"/>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47"/>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166</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95</w:t>
            </w:r>
          </w:p>
        </w:tc>
      </w:tr>
      <w:tr>
        <w:trPr>
          <w:trHeight w:val="238"/>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0"/>
        </w:trPr>
        <w:tc>
          <w:tcPr>
            <w:tcW w:w="65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162</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204</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87</w:t>
            </w:r>
          </w:p>
        </w:tc>
      </w:tr>
      <w:tr>
        <w:trPr>
          <w:trHeight w:val="24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5"/>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63</w:t>
            </w:r>
          </w:p>
        </w:tc>
      </w:tr>
      <w:tr>
        <w:trPr>
          <w:trHeight w:val="238"/>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43"/>
        </w:trPr>
        <w:tc>
          <w:tcPr>
            <w:tcW w:w="6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38"/>
        </w:trPr>
        <w:tc>
          <w:tcPr>
            <w:tcW w:w="6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(471 )</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276"/>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 and Foreign Tax Expense (Benefit)</w:t>
            </w:r>
          </w:p>
        </w:tc>
        <w:tc>
          <w:tcPr>
            <w:tcW w:w="4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190</w:t>
            </w:r>
          </w:p>
        </w:tc>
        <w:tc>
          <w:tcPr>
            <w:tcW w:w="2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CFF0FC"/>
            </w:tcBorders>
            <w:gridSpan w:val="2"/>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(267 )</w:t>
            </w:r>
          </w:p>
        </w:tc>
        <w:tc>
          <w:tcPr>
            <w:tcW w:w="2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5116830</wp:posOffset>
            </wp:positionH>
            <wp:positionV relativeFrom="paragraph">
              <wp:posOffset>-2294255</wp:posOffset>
            </wp:positionV>
            <wp:extent cx="102870" cy="1885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-2294255</wp:posOffset>
            </wp:positionV>
            <wp:extent cx="93980" cy="18859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-350520</wp:posOffset>
            </wp:positionV>
            <wp:extent cx="93980" cy="1714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-350520</wp:posOffset>
            </wp:positionV>
            <wp:extent cx="85725" cy="1714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-24765</wp:posOffset>
            </wp:positionV>
            <wp:extent cx="939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-7620</wp:posOffset>
            </wp:positionV>
            <wp:extent cx="939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-24765</wp:posOffset>
            </wp:positionV>
            <wp:extent cx="857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-7620</wp:posOffset>
            </wp:positionV>
            <wp:extent cx="857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Income tax expense in 2022 was $190 million on income before income taxes of $399 million. In 2022, income tax expense includes net discrete tax expense totaling $23 million, including a charge of $14 million to write off deferred tax assets related to tax loss carryforwards in the UK and a charge of $11 million to establish a full valuation allowance on our net deferred tax assets in Russia, partially offset by a net benefit of $2 million for various other items.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2021, income tax benefit of $267 million includes net discrete tax benefits totaling $409 million, including a reduction in our valuation allowances of $340 million for certain U.S. deferred tax assets for foreign tax credits and state tax loss carryforwards, a $39 million benefit to adjust our deferred tax assets in England for a second quarter enacted change in the tax rate, a $21 million benefit to reflect an increase in our estimated state tax rate used in calculating our U.S. net deferred tax assets as a result of a change in the overall mix of our earnings by state after including the impact of the acquisition of Cooper Tire, an $8 million benefit related to a favorable court ruling in Brazil, and a net benefit of $1 million for various other items.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2020, income tax expense of $110 million includes net discrete tax expense totaling $305 million, including the establishment of a $295 million valuation allowance in the U.S. on certain deferred tax assets for foreign tax credits. Discrete tax expense also includes a net charge of $10 million, including a $15 million charge related to a U.S. valuation allowance for state tax loss</w:t>
      </w:r>
    </w:p>
    <w:p>
      <w:pPr>
        <w:sectPr>
          <w:pgSz w:w="11900" w:h="16838" w:orient="portrait"/>
          <w:cols w:equalWidth="0" w:num="1">
            <w:col w:w="11240"/>
          </w:cols>
          <w:pgMar w:left="320" w:top="118" w:right="33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carryforwards, a $13 million benefit to adjust our deferred tax assets in England for a third quarter enacted change in the tax rate, and various other net charges totaling $8 million.</w:t>
      </w:r>
    </w:p>
    <w:p>
      <w:pPr>
        <w:spacing w:after="0" w:line="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16, 2022, the Inflation Reduction Act (the "Act") was signed into law in the U.S. The Act includes a new 15% corporate alternative minimum tax ("CAMT"). This CAMT applies to tax years beginning after December 31, 2022 for companies with average annual adjusted financial statement income over the previous three years in excess of $1 billion. For 2023, we do not anticipate this CAMT will apply to us due to the significant pandemic-driven losses we incurred in 2020. As allowed, we elected to not consider the estimated impact of potential future CAMT obligations for purposes of assessing valuation allowances on our deferred tax assets.</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consider both positive and negative evidence when measuring the need for a valuation allowance. The weight given to the evidence is commensurate with the extent to which it may be objectively verified. Current and cumulative financial reporting results are a source of objectively verifiable evidence. We give operating results during the most recent three-year period a significant weight in our analysis. We typically only consider forecasts of future profitability when positive cumulative operating results exist in the most recent three-year period. We perform scheduling exercises to determine if sufficient taxable income of the appropriate character exists in the periods required in order to realize our deferred tax assets with limited lives (such as tax loss carryforwards and tax credits) prior to their expiration. We also consider prudent tax planning strategies (including an assessment of their feasibility) to accelerate taxable income if required to utilize expiring deferred tax assets. A valuation allowance is not required to the extent that, in our judgment, positive evidence exists with a magnitude and duration sufficient to result in a conclusion that it is more likely than not that our deferred tax assets will be realized.</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31, 2022 and December 31, 2021, we had approximately $1.1 billion and $1.2 billion of U.S. federal, state and local net deferred tax assets, respectively, inclusive of valuation allowances totaling $26 million in each year primarily for state tax loss carryforwards with limited lives. Approximately $700 million of these U.S. net deferred tax assets have unlimited lives and approximately $400 million have limited lives and expire between 2023 and 2042. In the U.S., we have a cumulative loss for the three-year period ended December 31, 2022. However, as the three-year cumulative loss in the U.S. is driven by business disruptions created by the COVID-19 pandemic, primarily in 2020, and only includes the favorable impact of the Cooper Tire acquisition since the Closing Date, we also considered other objectively verifiable information in assessing our ability to utilize our net deferred tax assets, including continued favorable overall volume trends in the tire industry and our tire volume compared to 2020 levels. In addition, the Cooper Tire acquisition has generated significant incremental domestic earnings since the Closing Date and provides opportunities for cost and other operating synergies to further improve our U.S. profitability.</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31, 2022 and December 31, 2021, our U.S. net deferred tax assets described above include approximately $230 million and $340 million, respectively, of foreign tax credits with limited lives. Our earnings and forecasts of future profitability, taking into consideration recent trends, along with three significant sources of foreign income, provide us sufficient positive evidence that we will be able to utilize these net foreign tax credits which expire through 2032. Our sources of foreign income are (1) 100% of our domestic profitability can be re-characterized as foreign source income under current U.S. tax law to the extent domestic losses have offset foreign source income in prior years, (2) annual net foreign source income, exclusive of dividends, primarily from royalties, and (3) tax planning strategies, including accelerating income on cross border transactions, including sales of inventory or raw materials to our subsidiaries, reducing U.S. interest expense by, for example, reducing intercompany loans through repatriating current year earnings of foreign subsidiaries, and other financing transactions, all of which would increase our domestic profitability.</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consider our current forecasts of future profitability in assessing our ability to realize our deferred tax assets, including our foreign tax credits. These forecasts include the impact of recent trends, including various macroeconomic factors such as the impact of higher raw material, transportation, labor and energy costs, on our profitability, as well as the impact of tax planning strategies. These macroeconomic factors possess a high degree of volatility and can significantly impact our profitability. As such, there is a risk that future earnings will not be sufficient to fully utilize our U.S. net deferred tax assets, including our foreign tax credits. However, we believe our forecasts of future profitability along with the three significant sources of foreign income described above provide us sufficient positive, objectively verifiable evidence to conclude that it is more likely than not that, at December 31, 2022, our U.S. net deferred tax assets, including our foreign tax credits, will be fully utilized.</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2022 and December 31, 2021, we also had approximately $1.2 billion and $1.3 billion of foreign net deferred tax assets, respectively, and related valuation allowances of approximately $1.0 billion in each year.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$873 million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having a significant impact on our financial position or results of operations will exist within the next twelve months.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Temporary differences and carryforwards giving rise to deferred tax assets and liabilities at December 31 follow: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loss carryforwards and credits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1,160</w:t>
            </w:r>
          </w:p>
        </w:tc>
        <w:tc>
          <w:tcPr>
            <w:tcW w:w="16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1,274</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research and development expenditures</w:t>
            </w:r>
          </w:p>
        </w:tc>
        <w:tc>
          <w:tcPr>
            <w:tcW w:w="3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481</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453</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royalty income</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457</w:t>
            </w: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534</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basis differences</w:t>
            </w:r>
          </w:p>
        </w:tc>
        <w:tc>
          <w:tcPr>
            <w:tcW w:w="3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364</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deductible as paid</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320</w:t>
            </w: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331</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Postretirement benefits and pensions</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126</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Rationalizations and other provisions</w:t>
            </w:r>
          </w:p>
        </w:tc>
        <w:tc>
          <w:tcPr>
            <w:tcW w:w="3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Vacation and sick pay</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98</w:t>
            </w:r>
          </w:p>
        </w:tc>
      </w:tr>
      <w:tr>
        <w:trPr>
          <w:trHeight w:val="240"/>
        </w:trPr>
        <w:tc>
          <w:tcPr>
            <w:tcW w:w="77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3,070</w:t>
            </w:r>
          </w:p>
        </w:tc>
        <w:tc>
          <w:tcPr>
            <w:tcW w:w="1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3,332</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(1,072 )</w:t>
            </w: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(1,044 )</w:t>
            </w:r>
          </w:p>
        </w:tc>
      </w:tr>
      <w:tr>
        <w:trPr>
          <w:trHeight w:val="24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38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1,998</w:t>
            </w:r>
          </w:p>
        </w:tc>
        <w:tc>
          <w:tcPr>
            <w:tcW w:w="1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2,288</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basis differences</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(407 )</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(503 )</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property basis differences related to Cooper Tire acquisition</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(227 )</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on undistributed earnings of subsidiaries</w:t>
            </w:r>
          </w:p>
        </w:tc>
        <w:tc>
          <w:tcPr>
            <w:tcW w:w="3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deferred tax assets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1,309</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1,461</w:t>
            </w: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-187960</wp:posOffset>
            </wp:positionV>
            <wp:extent cx="111125" cy="1885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11125" cy="188595"/>
                    </a:xfrm>
                    <a:prstGeom prst="rect">
                      <a:avLst/>
                    </a:prstGeom>
                    <a:noFill/>
                  </pic:spPr>
                </pic:pic>
              </a:graphicData>
            </a:graphic>
          </wp:anchor>
        </w:drawing>
      </w:r>
    </w:p>
    <w:p>
      <w:pPr>
        <w:spacing w:after="0" w:line="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31, 2022, we had $746 million of tax assets for net operating loss, capital loss and tax credit carryforwards related to certain foreign subsidiaries. These carryforwards are primarily from countries with unlimited carryforward periods, but include $72 million of tax credit carryforwards in various European countries that are subject to expiration from 2023 to 2032. A valuation allowance totaling $1,046 million has been recorded against these and other deferred tax assets where recovery of the asset or carryforward is uncertain. In addition, we had $348 million of federal and $66 million of state tax assets for net operating loss and tax credit carryforwards. The federal carryforwards include $227 million of foreign tax credits that are subject to expiration from 2023 to 2032 and $121 million of tax assets related to research and development credits and other federal credits that are subject to expiration from 2030 to 2042. The state carryforwards include $57 million that are subject to expiration from 2023 to 2042. A valuation allowance of $26 million has been recorded against federal and state deferred tax assets where recovery is uncertain.</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At December 31, 2022, we had unrecognized tax benefits of $87 million that, if recognized, would have a favorable impact on our tax expense of $56 million. We had accrued interest of $1 million as of December 31, 2022. If not favorably settled, $14 million of the unrecognized tax benefits and all the accrued interest would require the use of our cash. We do not expect changes during 2023 to our unrecognized tax benefits to have a significant impact on our financial position or results of operations. A summary of our unrecognized tax benefits and changes during the year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90</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85</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82</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3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Decreases related to prior year tax positions</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impact</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3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87</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90</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85</w:t>
            </w: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-187960</wp:posOffset>
            </wp:positionV>
            <wp:extent cx="93980" cy="1885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-187960</wp:posOffset>
            </wp:positionV>
            <wp:extent cx="85725" cy="18859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are open to examination in the U.S. for 2021 and in Germany from 2018 onward. Generally, for our remaining tax jurisdictions, years from 2017 onward are still open to examination.</w:t>
      </w:r>
    </w:p>
    <w:p>
      <w:pPr>
        <w:spacing w:after="0" w:line="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undistributed earnings and profits of our foreign subsidiaries totaling approximately $2.7 billion at December 31, 2022. We have concluded that no provision for tax in the U.S. is required because substantially all of the remaining undistributed earnings and profits have been or will be reinvested in property, plant and equipment and working capital outside of the U.S. A foreign withholding tax charge of approximately $100 million (net of foreign tax credits) would be required if these earnings and profits were to be distributed to the U.S.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payments for income taxes were $174 million, $201 million and $45 million in 2022, 2021 and 2020,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Earnings Per Share</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Basic earnings per share are computed based on the weighted average number of common shares outstanding. Diluted earnings per share are calculated to reflect the potential dilution that could occur if securities or other contracts were exercised or converted into common stock.</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per common share are calculated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 — basic:</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202</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764</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(1,254 )</w:t>
            </w: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63"/>
        </w:trPr>
        <w:tc>
          <w:tcPr>
            <w:tcW w:w="6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2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284</w:t>
            </w:r>
          </w:p>
        </w:tc>
        <w:tc>
          <w:tcPr>
            <w:tcW w:w="1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234</w:t>
            </w:r>
          </w:p>
        </w:tc>
      </w:tr>
      <w:tr>
        <w:trPr>
          <w:trHeight w:val="225"/>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Earnings (loss) per common share — basic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0.71</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2.92</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(5.35 )</w:t>
            </w: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5"/>
        </w:trPr>
        <w:tc>
          <w:tcPr>
            <w:tcW w:w="6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4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 — diluted:</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81"/>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202</w:t>
            </w: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764</w:t>
            </w: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(1,254 )</w:t>
            </w:r>
          </w:p>
        </w:tc>
      </w:tr>
      <w:tr>
        <w:trPr>
          <w:trHeight w:val="223"/>
        </w:trPr>
        <w:tc>
          <w:tcPr>
            <w:tcW w:w="662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284</w:t>
            </w:r>
          </w:p>
        </w:tc>
        <w:tc>
          <w:tcPr>
            <w:tcW w:w="16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234</w:t>
            </w:r>
          </w:p>
        </w:tc>
      </w:tr>
      <w:tr>
        <w:trPr>
          <w:trHeight w:val="243"/>
        </w:trPr>
        <w:tc>
          <w:tcPr>
            <w:tcW w:w="6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Dilutive effect of stock options and other dilutive securities</w:t>
            </w: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286</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234</w:t>
            </w:r>
          </w:p>
        </w:tc>
      </w:tr>
      <w:tr>
        <w:trPr>
          <w:trHeight w:val="20"/>
        </w:trPr>
        <w:tc>
          <w:tcPr>
            <w:tcW w:w="6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65"/>
        </w:trPr>
        <w:tc>
          <w:tcPr>
            <w:tcW w:w="6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Earnings (loss) per common share — diluted</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0.71</w:t>
            </w:r>
          </w:p>
        </w:tc>
        <w:tc>
          <w:tcPr>
            <w:tcW w:w="16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2.89</w:t>
            </w:r>
          </w:p>
        </w:tc>
        <w:tc>
          <w:tcPr>
            <w:tcW w:w="16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-1369060</wp:posOffset>
            </wp:positionV>
            <wp:extent cx="1096010" cy="2057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096010" cy="205740"/>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-701675</wp:posOffset>
            </wp:positionV>
            <wp:extent cx="1096010" cy="1797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096010" cy="17970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-367665</wp:posOffset>
            </wp:positionV>
            <wp:extent cx="93980" cy="1885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-367665</wp:posOffset>
            </wp:positionV>
            <wp:extent cx="93980" cy="18859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-24765</wp:posOffset>
            </wp:positionV>
            <wp:extent cx="939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-7620</wp:posOffset>
            </wp:positionV>
            <wp:extent cx="939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-24765</wp:posOffset>
            </wp:positionV>
            <wp:extent cx="939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-7620</wp:posOffset>
            </wp:positionV>
            <wp:extent cx="939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Weighted average shares outstanding — diluted for 2022 excludes approximately 2 million equivalent shares related to options with exercise prices greater than the average market price of our common shares (i.e., “underwater” options). There were approximately 2 million and 9 million equivalent shares related to underwater options for 2021 and 2020, respectively. There were no options with exercise prices greater than the average market price of our common shares (i.e., "in-the-money" options) for 2020, which would have been excluded from the determination of diluted earnings per share due to the Goodyear net loss.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Business Segments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Segment information reflects our strategic business units (“SBUs”), which are organized to meet customer requirements and global competition. For the year ended December 31, 2022, we operated our business through three operating segments representing our regional tire businesses: Americas; Europe, Middle East and Africa; and Asia Pacific. Segment information is reported on the basis used for reporting to our Chief Executive Officer. Each of the three regional business segments is involved in the development, manufacture, distribution and sale of tires. Certain of the business segments also provide related products and services, which include retreads and automotive and commercial truck maintenance and repair services. Each segment also exports tires to other segments. Since the Closing Date, Cooper Tire's operating results have been incorporated into each of our SBUs.</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Americas manufactures and sells tires for automobiles, trucks, buses, earthmoving, mining and industrial equipment, aircraft, and for various other applications throughout North, Central and South America. Americas also provides related products and services including retreaded tires, tread rubber, and automotive and commercial truck maintenance and repair services, as well as sells chemical and natural rubber products to our other business segments and to unaffiliated customers.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EMEA manufactures and sells tires for automobiles, trucks, buses, aircraft, motorcycles, and earthmoving, mining and industrial equipment throughout Europe, the Middle East and Africa. EMEA also sells retreaded aviation tires, retreading and related services for commercial truck and earthmoving, mining and industrial equipment, and automotive maintenance and repair services.</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Asia Pacific manufactures and sells tires for automobiles, trucks, buses, aircraft, farm, and earthmoving, mining and industrial equipment throughout the Asia Pacific region. Asia Pacific also provides related products and services including retreaded truck and aviation tires, tread rubber, and automotive maintenance and repair services.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segment sales and operating income (loss), and the reconciliation of segment operating income (loss) to Income (Loss) before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8"/>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12,766</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10,051</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6,556</w:t>
            </w:r>
          </w:p>
        </w:tc>
      </w:tr>
      <w:tr>
        <w:trPr>
          <w:trHeight w:val="247"/>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5,645</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5,243</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4,020</w:t>
            </w:r>
          </w:p>
        </w:tc>
      </w:tr>
      <w:tr>
        <w:trPr>
          <w:trHeight w:val="238"/>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2,394</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2,184</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1,745</w:t>
            </w:r>
          </w:p>
        </w:tc>
      </w:tr>
      <w:tr>
        <w:trPr>
          <w:trHeight w:val="278"/>
        </w:trPr>
        <w:tc>
          <w:tcPr>
            <w:tcW w:w="66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20,805</w:t>
            </w:r>
          </w:p>
        </w:tc>
        <w:tc>
          <w:tcPr>
            <w:tcW w:w="1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17,478</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12,321</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5"/>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1,094</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914</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r>
      <w:tr>
        <w:trPr>
          <w:trHeight w:val="238"/>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2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43"/>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w:t>
            </w:r>
          </w:p>
        </w:tc>
      </w:tr>
      <w:tr>
        <w:trPr>
          <w:trHeight w:val="238"/>
        </w:trPr>
        <w:tc>
          <w:tcPr>
            <w:tcW w:w="66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Operating Income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1,276</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1,288</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(14 )</w:t>
            </w: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5"/>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8"/>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and Other Asset Impairments (Notes 12 and 13)</w:t>
            </w:r>
          </w:p>
        </w:tc>
        <w:tc>
          <w:tcPr>
            <w:tcW w:w="32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330</w:t>
            </w: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Rationalizations (Note 4)</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159</w:t>
            </w:r>
          </w:p>
        </w:tc>
      </w:tr>
      <w:tr>
        <w:trPr>
          <w:trHeight w:val="238"/>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(Note 5)</w:t>
            </w:r>
          </w:p>
        </w:tc>
        <w:tc>
          <w:tcPr>
            <w:tcW w:w="32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324</w:t>
            </w: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 (Note 6)</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119</w:t>
            </w:r>
          </w:p>
        </w:tc>
      </w:tr>
      <w:tr>
        <w:trPr>
          <w:trHeight w:val="238"/>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 write-offs and accelerated depreciation (Note 4)</w:t>
            </w:r>
          </w:p>
        </w:tc>
        <w:tc>
          <w:tcPr>
            <w:tcW w:w="32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w:t>
            </w: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incentive compensation plans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r>
      <w:tr>
        <w:trPr>
          <w:trHeight w:val="238"/>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expenses of divested operations</w:t>
            </w:r>
          </w:p>
        </w:tc>
        <w:tc>
          <w:tcPr>
            <w:tcW w:w="32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r>
      <w:tr>
        <w:trPr>
          <w:trHeight w:val="247"/>
        </w:trPr>
        <w:tc>
          <w:tcPr>
            <w:tcW w:w="6640" w:type="dxa"/>
            <w:vAlign w:val="bottom"/>
            <w:tcBorders>
              <w:bottom w:val="single" w:sz="8" w:color="CFF0FC"/>
            </w:tcBorders>
            <w:shd w:val="clear" w:color="auto" w:fill="CFF0FC"/>
          </w:tcPr>
          <w:p>
            <w:pPr>
              <w:ind w:left="200"/>
              <w:spacing w:after="0" w:line="247"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4"/>
                <w:szCs w:val="24"/>
                <w:color w:val="auto"/>
                <w:vertAlign w:val="superscript"/>
              </w:rPr>
              <w:t>(1)</w:t>
            </w: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66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399</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513</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(1,140 )</w:t>
            </w: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5151120</wp:posOffset>
            </wp:positionH>
            <wp:positionV relativeFrom="paragraph">
              <wp:posOffset>-2405380</wp:posOffset>
            </wp:positionV>
            <wp:extent cx="1078865" cy="1797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078865" cy="17970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-1763395</wp:posOffset>
            </wp:positionV>
            <wp:extent cx="85725" cy="18859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-1763395</wp:posOffset>
            </wp:positionV>
            <wp:extent cx="85725" cy="18859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-187960</wp:posOffset>
            </wp:positionV>
            <wp:extent cx="85725" cy="18859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-187960</wp:posOffset>
            </wp:positionV>
            <wp:extent cx="85725" cy="18859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70" w:lineRule="exact"/>
        <w:rPr>
          <w:sz w:val="20"/>
          <w:szCs w:val="20"/>
          <w:color w:val="auto"/>
        </w:rPr>
      </w:pPr>
    </w:p>
    <w:p>
      <w:pPr>
        <w:jc w:val="both"/>
        <w:ind w:left="760" w:hanging="752"/>
        <w:spacing w:after="0" w:line="265"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unallocated corporate costs and the elimination of $25 million, $22 million and $17 million for the years ended December 31, 2022, 2021 and 2020, respectively, of royalty income attributable to the SBUs. Increases in 2021 and 2022 were driven by the acquisition of Cooper Tire.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segment assets at December 31: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12,171</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10,874</w:t>
            </w:r>
          </w:p>
        </w:tc>
      </w:tr>
      <w:tr>
        <w:trPr>
          <w:trHeight w:val="247"/>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5,239</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4,953</w:t>
            </w: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2,913</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3,125</w:t>
            </w:r>
          </w:p>
        </w:tc>
      </w:tr>
      <w:tr>
        <w:trPr>
          <w:trHeight w:val="240"/>
        </w:trPr>
        <w:tc>
          <w:tcPr>
            <w:tcW w:w="6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Assets</w:t>
            </w: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20,323</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18,952</w:t>
            </w:r>
          </w:p>
        </w:tc>
      </w:tr>
      <w:tr>
        <w:trPr>
          <w:trHeight w:val="243"/>
        </w:trPr>
        <w:tc>
          <w:tcPr>
            <w:tcW w:w="6620" w:type="dxa"/>
            <w:vAlign w:val="bottom"/>
          </w:tcPr>
          <w:p>
            <w:pPr>
              <w:ind w:left="120"/>
              <w:spacing w:after="0" w:line="243"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4"/>
                <w:szCs w:val="24"/>
                <w:color w:val="auto"/>
                <w:vertAlign w:val="superscript"/>
              </w:rPr>
              <w:t>(1)</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2,108</w:t>
            </w: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2,450</w:t>
            </w:r>
          </w:p>
        </w:tc>
      </w:tr>
      <w:tr>
        <w:trPr>
          <w:trHeight w:val="274"/>
        </w:trPr>
        <w:tc>
          <w:tcPr>
            <w:tcW w:w="66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22,431</w:t>
            </w:r>
          </w:p>
        </w:tc>
        <w:tc>
          <w:tcPr>
            <w:tcW w:w="14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21,402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-24765</wp:posOffset>
            </wp:positionV>
            <wp:extent cx="939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-7620</wp:posOffset>
            </wp:positionV>
            <wp:extent cx="939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83" w:lineRule="exact"/>
        <w:rPr>
          <w:sz w:val="20"/>
          <w:szCs w:val="20"/>
          <w:color w:val="auto"/>
        </w:rPr>
      </w:pPr>
    </w:p>
    <w:p>
      <w:pPr>
        <w:ind w:left="760" w:hanging="752"/>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includes substantially all of our U.S. net deferred tax assets.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Results of operations are measured based on net sales to unaffiliated customers and segment operating income. Each segment exports tires to other segments. The financial results of each segment exclude sales of tires exported to other segments, but include operating income derived from such transactions. Segment operating income is computed as follows: Net sales less CGS (excluding asset write-offs and accelerated depreciation charges) and SAG (including certain allocated corporate administrative expenses). Segment operating income also includes certain royalties and equity in earnings of most affiliates. Segment operating income does not include net rationalization charges, asset sales, goodwill and other asset impairment charges and certain other items.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following table presents geographic information. Net sales by country were determined based on the location of the selling subsidiary. Long-lived assets consist of property, plant and equipment. Management did not consider the net sales of any individual country outside the United States to be significant to the consolidated financial statements. For long-lived assets, only the United States and China were considered to be significant.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10,734</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8,480</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5,424</w:t>
            </w:r>
          </w:p>
        </w:tc>
      </w:tr>
      <w:tr>
        <w:trPr>
          <w:trHeight w:val="243"/>
        </w:trPr>
        <w:tc>
          <w:tcPr>
            <w:tcW w:w="6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international</w:t>
            </w: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10,071</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8,998</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6,897</w:t>
            </w:r>
          </w:p>
        </w:tc>
      </w:tr>
      <w:tr>
        <w:trPr>
          <w:trHeight w:val="238"/>
        </w:trPr>
        <w:tc>
          <w:tcPr>
            <w:tcW w:w="66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20,805</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17,478</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12,321</w:t>
            </w: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3,804</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3,717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743</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833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international</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3,747</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3,795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8"/>
        </w:trPr>
        <w:tc>
          <w:tcPr>
            <w:tcW w:w="66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8,294</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8,345</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-992505</wp:posOffset>
            </wp:positionV>
            <wp:extent cx="93980" cy="18859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-24765</wp:posOffset>
            </wp:positionV>
            <wp:extent cx="939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-7620</wp:posOffset>
            </wp:positionV>
            <wp:extent cx="939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-992505</wp:posOffset>
            </wp:positionV>
            <wp:extent cx="85725" cy="9931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5725" cy="99314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2022, significant concentrations of cash and cash equivalents held by our international subsidiaries included the following amounts:</w:t>
      </w:r>
    </w:p>
    <w:p>
      <w:pPr>
        <w:spacing w:after="0" w:line="117"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$361 million or 29% in EMEA, primarily France, Belgium and England ($161 million or 15% at December 31, 2021),</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$316 million or 26% in Americas, primarily Chile, Brazil and Mexico ($320 million or 29% at December 31, 2021),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$301 million or 25% in Asia Pacific, primarily China, India and Australia ($317 million or 29% at December 31, 2021).</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and other asset impairments, as described in Notes to the Consolidated Financial Statements No. 12, Goodwill and Intangible Assets, and No. 13, Other Assets and Investments; rationalizations, as described in Note to the Consolidated Financial Statements No. 4, Costs Associated with Rationalization Programs; net (gains) losses on asset sales, as described in Note to the Consolidated Financial Statements No. 6, Other (Income) Expense; and asset write-offs and accelerated depreciation were not charged (credited) to the SBUs for performance evaluation purposes but were attributable to the SBUs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6"/>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Goodwill and Other Asset Impairments</w:t>
            </w:r>
          </w:p>
        </w:tc>
        <w:tc>
          <w:tcPr>
            <w:tcW w:w="16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19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43"/>
        </w:trPr>
        <w:tc>
          <w:tcPr>
            <w:tcW w:w="50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6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38"/>
        </w:trPr>
        <w:tc>
          <w:tcPr>
            <w:tcW w:w="50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Goodwill and Other Asset Impairments</w:t>
            </w:r>
          </w:p>
        </w:tc>
        <w:tc>
          <w:tcPr>
            <w:tcW w:w="19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330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6"/>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Rationalizations</w:t>
            </w:r>
          </w:p>
        </w:tc>
        <w:tc>
          <w:tcPr>
            <w:tcW w:w="16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19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w:t>
            </w:r>
          </w:p>
        </w:tc>
        <w:tc>
          <w:tcPr>
            <w:tcW w:w="46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w:t>
            </w:r>
          </w:p>
        </w:tc>
        <w:tc>
          <w:tcPr>
            <w:tcW w:w="46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47"/>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8"/>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1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8"/>
        </w:trPr>
        <w:tc>
          <w:tcPr>
            <w:tcW w:w="50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Rationalizations</w:t>
            </w:r>
          </w:p>
        </w:tc>
        <w:tc>
          <w:tcPr>
            <w:tcW w:w="16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124</w:t>
            </w:r>
          </w:p>
        </w:tc>
        <w:tc>
          <w:tcPr>
            <w:tcW w:w="2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CFF0FC"/>
            </w:tcBorders>
            <w:gridSpan w:val="2"/>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87</w:t>
            </w:r>
          </w:p>
        </w:tc>
        <w:tc>
          <w:tcPr>
            <w:tcW w:w="2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CFF0FC"/>
            </w:tcBorders>
            <w:gridSpan w:val="2"/>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157</w:t>
            </w:r>
          </w:p>
        </w:tc>
        <w:tc>
          <w:tcPr>
            <w:tcW w:w="0" w:type="dxa"/>
            <w:vAlign w:val="bottom"/>
          </w:tcPr>
          <w:p>
            <w:pPr>
              <w:spacing w:after="0"/>
              <w:rPr>
                <w:sz w:val="1"/>
                <w:szCs w:val="1"/>
                <w:color w:val="auto"/>
              </w:rPr>
            </w:pPr>
          </w:p>
        </w:tc>
      </w:tr>
      <w:tr>
        <w:trPr>
          <w:trHeight w:val="221"/>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16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8"/>
        </w:trPr>
        <w:tc>
          <w:tcPr>
            <w:tcW w:w="5000" w:type="dxa"/>
            <w:vAlign w:val="bottom"/>
            <w:tcBorders>
              <w:bottom w:val="single" w:sz="8" w:color="CFF0FC"/>
            </w:tcBorders>
            <w:shd w:val="clear" w:color="auto" w:fill="CFF0FC"/>
          </w:tcPr>
          <w:p>
            <w:pPr>
              <w:spacing w:after="0"/>
              <w:rPr>
                <w:sz w:val="24"/>
                <w:szCs w:val="24"/>
                <w:color w:val="auto"/>
              </w:rPr>
            </w:pPr>
          </w:p>
        </w:tc>
        <w:tc>
          <w:tcPr>
            <w:tcW w:w="16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129</w:t>
            </w:r>
          </w:p>
        </w:tc>
        <w:tc>
          <w:tcPr>
            <w:tcW w:w="2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CFF0FC"/>
            </w:tcBorders>
            <w:gridSpan w:val="2"/>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93</w:t>
            </w:r>
          </w:p>
        </w:tc>
        <w:tc>
          <w:tcPr>
            <w:tcW w:w="2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CFF0FC"/>
            </w:tcBorders>
            <w:gridSpan w:val="2"/>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159</w:t>
            </w:r>
          </w:p>
        </w:tc>
        <w:tc>
          <w:tcPr>
            <w:tcW w:w="0" w:type="dxa"/>
            <w:vAlign w:val="bottom"/>
          </w:tcPr>
          <w:p>
            <w:pPr>
              <w:spacing w:after="0"/>
              <w:rPr>
                <w:sz w:val="1"/>
                <w:szCs w:val="1"/>
                <w:color w:val="auto"/>
              </w:rPr>
            </w:pPr>
          </w:p>
        </w:tc>
      </w:tr>
      <w:tr>
        <w:trPr>
          <w:trHeight w:val="320"/>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6"/>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(Gains) Losses on Asset Sales</w:t>
            </w:r>
          </w:p>
        </w:tc>
        <w:tc>
          <w:tcPr>
            <w:tcW w:w="16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19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46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46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6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8"/>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Segment (Gains) Losses on Asset Sales</w:t>
            </w:r>
          </w:p>
        </w:tc>
        <w:tc>
          <w:tcPr>
            <w:tcW w:w="19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(122 )</w:t>
            </w:r>
          </w:p>
        </w:tc>
        <w:tc>
          <w:tcPr>
            <w:tcW w:w="46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(14 )</w:t>
            </w:r>
          </w:p>
        </w:tc>
        <w:tc>
          <w:tcPr>
            <w:tcW w:w="46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16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000" w:type="dxa"/>
            <w:vAlign w:val="bottom"/>
          </w:tcPr>
          <w:p>
            <w:pPr>
              <w:spacing w:after="0"/>
              <w:rPr>
                <w:sz w:val="20"/>
                <w:szCs w:val="20"/>
                <w:color w:val="auto"/>
              </w:rPr>
            </w:pPr>
          </w:p>
        </w:tc>
        <w:tc>
          <w:tcPr>
            <w:tcW w:w="19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(122 )</w:t>
            </w:r>
          </w:p>
        </w:tc>
        <w:tc>
          <w:tcPr>
            <w:tcW w:w="46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(20 )</w:t>
            </w:r>
          </w:p>
        </w:tc>
        <w:tc>
          <w:tcPr>
            <w:tcW w:w="46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620" w:type="dxa"/>
            <w:vAlign w:val="bottom"/>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83</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500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00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-3261360</wp:posOffset>
            </wp:positionV>
            <wp:extent cx="85725" cy="18859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-3261360</wp:posOffset>
            </wp:positionV>
            <wp:extent cx="85725" cy="18859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-2071370</wp:posOffset>
            </wp:positionV>
            <wp:extent cx="1087120" cy="1885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087120" cy="18859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-1729105</wp:posOffset>
            </wp:positionV>
            <wp:extent cx="939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-1711960</wp:posOffset>
            </wp:positionV>
            <wp:extent cx="939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-1729105</wp:posOffset>
            </wp:positionV>
            <wp:extent cx="857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-1711960</wp:posOffset>
            </wp:positionV>
            <wp:extent cx="857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-1018540</wp:posOffset>
            </wp:positionV>
            <wp:extent cx="93980" cy="1885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-1018540</wp:posOffset>
            </wp:positionV>
            <wp:extent cx="85725" cy="18859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-675640</wp:posOffset>
            </wp:positionV>
            <wp:extent cx="93980" cy="18859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-675640</wp:posOffset>
            </wp:positionV>
            <wp:extent cx="85725" cy="18859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61"/>
        </w:trPr>
        <w:tc>
          <w:tcPr>
            <w:tcW w:w="66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722"/>
        </w:trPr>
        <w:tc>
          <w:tcPr>
            <w:tcW w:w="102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6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6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 Write-Offs and Accelerated Depreciation</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8"/>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103</w:t>
            </w:r>
          </w:p>
        </w:tc>
      </w:tr>
      <w:tr>
        <w:trPr>
          <w:trHeight w:val="243"/>
        </w:trPr>
        <w:tc>
          <w:tcPr>
            <w:tcW w:w="662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r>
      <w:tr>
        <w:trPr>
          <w:trHeight w:val="238"/>
        </w:trPr>
        <w:tc>
          <w:tcPr>
            <w:tcW w:w="66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Asset Write-Offs and Accelerated Depreciation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w:t>
            </w:r>
          </w:p>
        </w:tc>
        <w:tc>
          <w:tcPr>
            <w:tcW w:w="52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w:t>
            </w:r>
          </w:p>
        </w:tc>
        <w:tc>
          <w:tcPr>
            <w:tcW w:w="46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105</w:t>
            </w:r>
          </w:p>
        </w:tc>
      </w:tr>
      <w:tr>
        <w:trPr>
          <w:trHeight w:val="20"/>
        </w:trPr>
        <w:tc>
          <w:tcPr>
            <w:tcW w:w="10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1"/>
        </w:trPr>
        <w:tc>
          <w:tcPr>
            <w:tcW w:w="662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10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37</w:t>
            </w:r>
          </w:p>
        </w:tc>
        <w:tc>
          <w:tcPr>
            <w:tcW w:w="140" w:type="dxa"/>
            <w:vAlign w:val="bottom"/>
          </w:tcPr>
          <w:p>
            <w:pPr>
              <w:spacing w:after="0"/>
              <w:rPr>
                <w:sz w:val="20"/>
                <w:szCs w:val="20"/>
                <w:color w:val="auto"/>
              </w:rPr>
            </w:pPr>
          </w:p>
        </w:tc>
        <w:tc>
          <w:tcPr>
            <w:tcW w:w="3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gridSpan w:val="2"/>
          </w:tcPr>
          <w:p>
            <w:pPr>
              <w:spacing w:after="0"/>
              <w:rPr>
                <w:sz w:val="20"/>
                <w:szCs w:val="20"/>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105</w:t>
            </w:r>
          </w:p>
        </w:tc>
      </w:tr>
      <w:tr>
        <w:trPr>
          <w:trHeight w:val="20"/>
        </w:trPr>
        <w:tc>
          <w:tcPr>
            <w:tcW w:w="10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20"/>
        </w:trPr>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tables present segment capital expenditures and depreciation and amortization:</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6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8"/>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611</w:t>
            </w:r>
          </w:p>
        </w:tc>
        <w:tc>
          <w:tcPr>
            <w:tcW w:w="5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537</w:t>
            </w:r>
          </w:p>
        </w:tc>
        <w:tc>
          <w:tcPr>
            <w:tcW w:w="46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302</w:t>
            </w:r>
          </w:p>
        </w:tc>
      </w:tr>
      <w:tr>
        <w:trPr>
          <w:trHeight w:val="247"/>
        </w:trPr>
        <w:tc>
          <w:tcPr>
            <w:tcW w:w="66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258</w:t>
            </w: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270</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235</w:t>
            </w:r>
          </w:p>
        </w:tc>
      </w:tr>
      <w:tr>
        <w:trPr>
          <w:trHeight w:val="243"/>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91</w:t>
            </w:r>
          </w:p>
        </w:tc>
      </w:tr>
      <w:tr>
        <w:trPr>
          <w:trHeight w:val="276"/>
        </w:trPr>
        <w:tc>
          <w:tcPr>
            <w:tcW w:w="6620" w:type="dxa"/>
            <w:vAlign w:val="bottom"/>
            <w:tcBorders>
              <w:bottom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Capital Expenditures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1,013</w:t>
            </w:r>
          </w:p>
        </w:tc>
        <w:tc>
          <w:tcPr>
            <w:tcW w:w="160" w:type="dxa"/>
            <w:vAlign w:val="bottom"/>
            <w:tcBorders>
              <w:bottom w:val="single" w:sz="8" w:color="CFF0FC"/>
            </w:tcBorders>
            <w:gridSpan w:val="2"/>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942</w:t>
            </w:r>
          </w:p>
        </w:tc>
        <w:tc>
          <w:tcPr>
            <w:tcW w:w="2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CFF0FC"/>
            </w:tcBorders>
            <w:gridSpan w:val="2"/>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628</w:t>
            </w:r>
          </w:p>
        </w:tc>
      </w:tr>
      <w:tr>
        <w:trPr>
          <w:trHeight w:val="223"/>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19</w:t>
            </w:r>
          </w:p>
        </w:tc>
      </w:tr>
      <w:tr>
        <w:trPr>
          <w:trHeight w:val="274"/>
        </w:trPr>
        <w:tc>
          <w:tcPr>
            <w:tcW w:w="1020" w:type="dxa"/>
            <w:vAlign w:val="bottom"/>
            <w:tcBorders>
              <w:bottom w:val="single" w:sz="8" w:color="CFF0FC"/>
            </w:tcBorders>
            <w:shd w:val="clear" w:color="auto" w:fill="CFF0FC"/>
          </w:tcPr>
          <w:p>
            <w:pPr>
              <w:spacing w:after="0"/>
              <w:rPr>
                <w:sz w:val="23"/>
                <w:szCs w:val="23"/>
                <w:color w:val="auto"/>
              </w:rPr>
            </w:pPr>
          </w:p>
        </w:tc>
        <w:tc>
          <w:tcPr>
            <w:tcW w:w="56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1,061</w:t>
            </w:r>
          </w:p>
        </w:tc>
        <w:tc>
          <w:tcPr>
            <w:tcW w:w="160" w:type="dxa"/>
            <w:vAlign w:val="bottom"/>
            <w:tcBorders>
              <w:bottom w:val="single" w:sz="8" w:color="CFF0FC"/>
            </w:tcBorders>
            <w:gridSpan w:val="2"/>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981</w:t>
            </w:r>
          </w:p>
        </w:tc>
        <w:tc>
          <w:tcPr>
            <w:tcW w:w="20" w:type="dxa"/>
            <w:vAlign w:val="bottom"/>
            <w:tcBorders>
              <w:bottom w:val="single" w:sz="8" w:color="auto"/>
            </w:tcBorders>
            <w:shd w:val="clear" w:color="auto" w:fill="CFF0FC"/>
          </w:tcPr>
          <w:p>
            <w:pPr>
              <w:spacing w:after="0"/>
              <w:rPr>
                <w:sz w:val="23"/>
                <w:szCs w:val="23"/>
                <w:color w:val="auto"/>
              </w:rPr>
            </w:pPr>
          </w:p>
        </w:tc>
        <w:tc>
          <w:tcPr>
            <w:tcW w:w="140" w:type="dxa"/>
            <w:vAlign w:val="bottom"/>
            <w:tcBorders>
              <w:bottom w:val="single" w:sz="8" w:color="CFF0FC"/>
            </w:tcBorders>
            <w:gridSpan w:val="2"/>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647</w:t>
            </w:r>
          </w:p>
        </w:tc>
      </w:tr>
      <w:tr>
        <w:trPr>
          <w:trHeight w:val="32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6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8"/>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561</w:t>
            </w:r>
          </w:p>
        </w:tc>
        <w:tc>
          <w:tcPr>
            <w:tcW w:w="5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486</w:t>
            </w:r>
          </w:p>
        </w:tc>
        <w:tc>
          <w:tcPr>
            <w:tcW w:w="46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490</w:t>
            </w:r>
          </w:p>
        </w:tc>
      </w:tr>
      <w:tr>
        <w:trPr>
          <w:trHeight w:val="247"/>
        </w:trPr>
        <w:tc>
          <w:tcPr>
            <w:tcW w:w="66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201</w:t>
            </w:r>
          </w:p>
        </w:tc>
      </w:tr>
      <w:tr>
        <w:trPr>
          <w:trHeight w:val="238"/>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133</w:t>
            </w:r>
          </w:p>
        </w:tc>
      </w:tr>
      <w:tr>
        <w:trPr>
          <w:trHeight w:val="278"/>
        </w:trPr>
        <w:tc>
          <w:tcPr>
            <w:tcW w:w="6620" w:type="dxa"/>
            <w:vAlign w:val="bottom"/>
            <w:tcBorders>
              <w:bottom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Depreciation and Amortization</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913</w:t>
            </w:r>
          </w:p>
        </w:tc>
        <w:tc>
          <w:tcPr>
            <w:tcW w:w="160" w:type="dxa"/>
            <w:vAlign w:val="bottom"/>
            <w:tcBorders>
              <w:bottom w:val="single" w:sz="8" w:color="CFF0FC"/>
            </w:tcBorders>
            <w:gridSpan w:val="2"/>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845</w:t>
            </w:r>
          </w:p>
        </w:tc>
        <w:tc>
          <w:tcPr>
            <w:tcW w:w="2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CFF0FC"/>
            </w:tcBorders>
            <w:gridSpan w:val="2"/>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824</w:t>
            </w:r>
          </w:p>
        </w:tc>
      </w:tr>
      <w:tr>
        <w:trPr>
          <w:trHeight w:val="221"/>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35</w:t>
            </w:r>
          </w:p>
        </w:tc>
      </w:tr>
      <w:tr>
        <w:trPr>
          <w:trHeight w:val="278"/>
        </w:trPr>
        <w:tc>
          <w:tcPr>
            <w:tcW w:w="1020" w:type="dxa"/>
            <w:vAlign w:val="bottom"/>
            <w:tcBorders>
              <w:bottom w:val="single" w:sz="8" w:color="CFF0FC"/>
            </w:tcBorders>
            <w:shd w:val="clear" w:color="auto" w:fill="CFF0FC"/>
          </w:tcPr>
          <w:p>
            <w:pPr>
              <w:spacing w:after="0"/>
              <w:rPr>
                <w:sz w:val="24"/>
                <w:szCs w:val="24"/>
                <w:color w:val="auto"/>
              </w:rPr>
            </w:pPr>
          </w:p>
        </w:tc>
        <w:tc>
          <w:tcPr>
            <w:tcW w:w="56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964</w:t>
            </w:r>
          </w:p>
        </w:tc>
        <w:tc>
          <w:tcPr>
            <w:tcW w:w="160" w:type="dxa"/>
            <w:vAlign w:val="bottom"/>
            <w:tcBorders>
              <w:bottom w:val="single" w:sz="8" w:color="CFF0FC"/>
            </w:tcBorders>
            <w:gridSpan w:val="2"/>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883</w:t>
            </w:r>
          </w:p>
        </w:tc>
        <w:tc>
          <w:tcPr>
            <w:tcW w:w="2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CFF0FC"/>
            </w:tcBorders>
            <w:gridSpan w:val="2"/>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859</w:t>
            </w:r>
          </w:p>
        </w:tc>
      </w:tr>
      <w:tr>
        <w:trPr>
          <w:trHeight w:val="320"/>
        </w:trPr>
        <w:tc>
          <w:tcPr>
            <w:tcW w:w="8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presents segment equity in the net (income) loss of investees accounted for by the equity method:</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6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 in (Income) Loss</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8"/>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5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46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w:t>
            </w:r>
          </w:p>
        </w:tc>
      </w:tr>
      <w:tr>
        <w:trPr>
          <w:trHeight w:val="247"/>
        </w:trPr>
        <w:tc>
          <w:tcPr>
            <w:tcW w:w="66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6620" w:type="dxa"/>
            <w:vAlign w:val="bottom"/>
            <w:tcBorders>
              <w:bottom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Equity in (Income) Loss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(25 )</w:t>
            </w:r>
          </w:p>
        </w:tc>
        <w:tc>
          <w:tcPr>
            <w:tcW w:w="160" w:type="dxa"/>
            <w:vAlign w:val="bottom"/>
            <w:tcBorders>
              <w:bottom w:val="single" w:sz="8" w:color="CFF0FC"/>
            </w:tcBorders>
            <w:gridSpan w:val="2"/>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(22 )</w:t>
            </w:r>
          </w:p>
        </w:tc>
        <w:tc>
          <w:tcPr>
            <w:tcW w:w="2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CFF0FC"/>
            </w:tcBorders>
            <w:gridSpan w:val="2"/>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-4708525</wp:posOffset>
            </wp:positionV>
            <wp:extent cx="85725" cy="18859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-4708525</wp:posOffset>
            </wp:positionV>
            <wp:extent cx="85725" cy="18859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-4366260</wp:posOffset>
            </wp:positionV>
            <wp:extent cx="85725" cy="18859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-4366260</wp:posOffset>
            </wp:positionV>
            <wp:extent cx="85725" cy="18859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-2970530</wp:posOffset>
            </wp:positionV>
            <wp:extent cx="1096010" cy="18859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096010" cy="18859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-2628265</wp:posOffset>
            </wp:positionV>
            <wp:extent cx="939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-2611120</wp:posOffset>
            </wp:positionV>
            <wp:extent cx="939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-2628265</wp:posOffset>
            </wp:positionV>
            <wp:extent cx="857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-2611120</wp:posOffset>
            </wp:positionV>
            <wp:extent cx="857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-1600835</wp:posOffset>
            </wp:positionV>
            <wp:extent cx="1096010" cy="18859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096010" cy="18859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-1257935</wp:posOffset>
            </wp:positionV>
            <wp:extent cx="939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-1240790</wp:posOffset>
            </wp:positionV>
            <wp:extent cx="939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-1257935</wp:posOffset>
            </wp:positionV>
            <wp:extent cx="857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-1240790</wp:posOffset>
            </wp:positionV>
            <wp:extent cx="857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-24765</wp:posOffset>
            </wp:positionV>
            <wp:extent cx="939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-7620</wp:posOffset>
            </wp:positionV>
            <wp:extent cx="939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-24765</wp:posOffset>
            </wp:positionV>
            <wp:extent cx="857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-7620</wp:posOffset>
            </wp:positionV>
            <wp:extent cx="857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Increases in total segment equity in (income) loss for 2022 and 2021 were driven by improved profitability of our TireHub joint venture in Americas and the addition of our ACTR joint venture in Asia Pacific as a result of the acquisition of Cooper Tire.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Accounts Receivable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2,722</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2,510</w:t>
            </w: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(123 )</w:t>
            </w:r>
          </w:p>
        </w:tc>
      </w:tr>
      <w:tr>
        <w:trPr>
          <w:trHeight w:val="274"/>
        </w:trPr>
        <w:tc>
          <w:tcPr>
            <w:tcW w:w="76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2,610</w:t>
            </w:r>
          </w:p>
        </w:tc>
        <w:tc>
          <w:tcPr>
            <w:tcW w:w="1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2,387</w:t>
            </w:r>
          </w:p>
        </w:tc>
      </w:tr>
      <w:tr>
        <w:trPr>
          <w:trHeight w:val="428"/>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Inventories</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93"/>
        </w:trPr>
        <w:tc>
          <w:tcPr>
            <w:tcW w:w="7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1,191</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958</w:t>
            </w: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tcPr>
          <w:p>
            <w:pPr>
              <w:spacing w:after="0"/>
              <w:rPr>
                <w:sz w:val="20"/>
                <w:szCs w:val="20"/>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191</w:t>
            </w:r>
          </w:p>
        </w:tc>
      </w:tr>
      <w:tr>
        <w:trPr>
          <w:trHeight w:val="24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3,193</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2,445</w:t>
            </w:r>
          </w:p>
        </w:tc>
      </w:tr>
      <w:tr>
        <w:trPr>
          <w:trHeight w:val="238"/>
        </w:trPr>
        <w:tc>
          <w:tcPr>
            <w:tcW w:w="76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4,571</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3,594</w:t>
            </w:r>
          </w:p>
        </w:tc>
      </w:tr>
      <w:tr>
        <w:trPr>
          <w:trHeight w:val="20"/>
        </w:trPr>
        <w:tc>
          <w:tcPr>
            <w:tcW w:w="7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5955665</wp:posOffset>
            </wp:positionH>
            <wp:positionV relativeFrom="paragraph">
              <wp:posOffset>-1335405</wp:posOffset>
            </wp:positionV>
            <wp:extent cx="1111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-1318260</wp:posOffset>
            </wp:positionV>
            <wp:extent cx="1111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-187960</wp:posOffset>
            </wp:positionV>
            <wp:extent cx="111125" cy="18859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11125" cy="18859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Goodwill and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net carrying amount of goodwill allocated by segment, and changes during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148"/>
        </w:trPr>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6"/>
        </w:trPr>
        <w:tc>
          <w:tcPr>
            <w:tcW w:w="386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Americas</w:t>
            </w:r>
            <w:r>
              <w:rPr>
                <w:rFonts w:ascii="Times New Roman" w:cs="Times New Roman" w:eastAsia="Times New Roman" w:hAnsi="Times New Roman"/>
                <w:sz w:val="24"/>
                <w:szCs w:val="24"/>
                <w:color w:val="auto"/>
                <w:vertAlign w:val="superscript"/>
              </w:rPr>
              <w:t>(1)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709</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724</w:t>
            </w:r>
          </w:p>
        </w:tc>
      </w:tr>
      <w:tr>
        <w:trPr>
          <w:trHeight w:val="23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80" w:type="dxa"/>
            <w:vAlign w:val="bottom"/>
          </w:tcPr>
          <w:p>
            <w:pPr>
              <w:spacing w:after="0"/>
              <w:rPr>
                <w:sz w:val="20"/>
                <w:szCs w:val="20"/>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232</w:t>
            </w:r>
          </w:p>
        </w:tc>
      </w:tr>
      <w:tr>
        <w:trPr>
          <w:trHeight w:val="243"/>
        </w:trPr>
        <w:tc>
          <w:tcPr>
            <w:tcW w:w="3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58</w:t>
            </w:r>
          </w:p>
        </w:tc>
      </w:tr>
      <w:tr>
        <w:trPr>
          <w:trHeight w:val="238"/>
        </w:trPr>
        <w:tc>
          <w:tcPr>
            <w:tcW w:w="38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1,004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33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1,014</w:t>
            </w:r>
          </w:p>
        </w:tc>
      </w:tr>
      <w:tr>
        <w:trPr>
          <w:trHeight w:val="20"/>
        </w:trPr>
        <w:tc>
          <w:tcPr>
            <w:tcW w:w="3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3369945</wp:posOffset>
            </wp:positionH>
            <wp:positionV relativeFrom="paragraph">
              <wp:posOffset>-187960</wp:posOffset>
            </wp:positionV>
            <wp:extent cx="93980" cy="18859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-187960</wp:posOffset>
            </wp:positionV>
            <wp:extent cx="93980" cy="18859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-187960</wp:posOffset>
            </wp:positionV>
            <wp:extent cx="85725" cy="18859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-187960</wp:posOffset>
            </wp:positionV>
            <wp:extent cx="85725" cy="18859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net carrying amount of goodwill allocated by segment, and changes during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148"/>
        </w:trPr>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6"/>
        </w:trPr>
        <w:tc>
          <w:tcPr>
            <w:tcW w:w="386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Americas</w:t>
            </w:r>
            <w:r>
              <w:rPr>
                <w:rFonts w:ascii="Times New Roman" w:cs="Times New Roman" w:eastAsia="Times New Roman" w:hAnsi="Times New Roman"/>
                <w:sz w:val="24"/>
                <w:szCs w:val="24"/>
                <w:color w:val="auto"/>
                <w:vertAlign w:val="superscript"/>
              </w:rPr>
              <w:t>(1)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618</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709</w:t>
            </w:r>
          </w:p>
        </w:tc>
      </w:tr>
      <w:tr>
        <w:trPr>
          <w:trHeight w:val="23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80" w:type="dxa"/>
            <w:vAlign w:val="bottom"/>
          </w:tcPr>
          <w:p>
            <w:pPr>
              <w:spacing w:after="0"/>
              <w:rPr>
                <w:sz w:val="20"/>
                <w:szCs w:val="20"/>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231</w:t>
            </w:r>
          </w:p>
        </w:tc>
      </w:tr>
      <w:tr>
        <w:trPr>
          <w:trHeight w:val="243"/>
        </w:trPr>
        <w:tc>
          <w:tcPr>
            <w:tcW w:w="3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64</w:t>
            </w:r>
          </w:p>
        </w:tc>
      </w:tr>
      <w:tr>
        <w:trPr>
          <w:trHeight w:val="238"/>
        </w:trPr>
        <w:tc>
          <w:tcPr>
            <w:tcW w:w="38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408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618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1,004</w:t>
            </w:r>
          </w:p>
        </w:tc>
      </w:tr>
      <w:tr>
        <w:trPr>
          <w:trHeight w:val="20"/>
        </w:trPr>
        <w:tc>
          <w:tcPr>
            <w:tcW w:w="3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3369945</wp:posOffset>
            </wp:positionH>
            <wp:positionV relativeFrom="paragraph">
              <wp:posOffset>-187960</wp:posOffset>
            </wp:positionV>
            <wp:extent cx="93980" cy="18859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-187960</wp:posOffset>
            </wp:positionV>
            <wp:extent cx="93980" cy="18859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-187960</wp:posOffset>
            </wp:positionV>
            <wp:extent cx="85725" cy="18859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-187960</wp:posOffset>
            </wp:positionV>
            <wp:extent cx="85725" cy="18859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43" w:lineRule="exact"/>
        <w:rPr>
          <w:sz w:val="20"/>
          <w:szCs w:val="20"/>
          <w:color w:val="auto"/>
        </w:rPr>
      </w:pPr>
    </w:p>
    <w:p>
      <w:pPr>
        <w:ind w:left="760" w:hanging="752"/>
        <w:spacing w:after="0" w:line="281"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during 2022 and 2021 was due to the acquisition of Cooper Tire. For further information, refer to Note to the Consolidated Financial Statements No. 2, Cooper Tire Acquisition.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intangible assets at December 31:</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197"/>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217"/>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177"/>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197"/>
              <w:spacing w:after="0" w:line="131"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6"/>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217"/>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197"/>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177"/>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197"/>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17"/>
              <w:spacing w:after="0" w:line="189" w:lineRule="exact"/>
              <w:rPr>
                <w:sz w:val="20"/>
                <w:szCs w:val="20"/>
                <w:color w:val="auto"/>
              </w:rPr>
            </w:pPr>
            <w:r>
              <w:rPr>
                <w:rFonts w:ascii="Times New Roman" w:cs="Times New Roman" w:eastAsia="Times New Roman" w:hAnsi="Times New Roman"/>
                <w:sz w:val="14"/>
                <w:szCs w:val="14"/>
                <w:b w:val="1"/>
                <w:bCs w:val="1"/>
                <w:color w:val="auto"/>
                <w:w w:val="97"/>
              </w:rPr>
              <w:t>Amount</w:t>
            </w:r>
            <w:r>
              <w:rPr>
                <w:rFonts w:ascii="Times New Roman" w:cs="Times New Roman" w:eastAsia="Times New Roman" w:hAnsi="Times New Roman"/>
                <w:sz w:val="19"/>
                <w:szCs w:val="19"/>
                <w:b w:val="1"/>
                <w:bCs w:val="1"/>
                <w:color w:val="auto"/>
                <w:w w:val="97"/>
                <w:vertAlign w:val="superscript"/>
              </w:rPr>
              <w:t>(1)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7"/>
              <w:spacing w:after="0" w:line="189" w:lineRule="exact"/>
              <w:rPr>
                <w:sz w:val="20"/>
                <w:szCs w:val="20"/>
                <w:color w:val="auto"/>
              </w:rPr>
            </w:pPr>
            <w:r>
              <w:rPr>
                <w:rFonts w:ascii="Times New Roman" w:cs="Times New Roman" w:eastAsia="Times New Roman" w:hAnsi="Times New Roman"/>
                <w:sz w:val="14"/>
                <w:szCs w:val="14"/>
                <w:b w:val="1"/>
                <w:bCs w:val="1"/>
                <w:color w:val="auto"/>
                <w:w w:val="96"/>
              </w:rPr>
              <w:t>Amortization</w:t>
            </w:r>
            <w:r>
              <w:rPr>
                <w:rFonts w:ascii="Times New Roman" w:cs="Times New Roman" w:eastAsia="Times New Roman" w:hAnsi="Times New Roman"/>
                <w:sz w:val="19"/>
                <w:szCs w:val="19"/>
                <w:b w:val="1"/>
                <w:bCs w:val="1"/>
                <w:color w:val="auto"/>
                <w:w w:val="96"/>
                <w:vertAlign w:val="superscript"/>
              </w:rPr>
              <w:t>(1)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97"/>
              <w:spacing w:after="0" w:line="189" w:lineRule="exact"/>
              <w:rPr>
                <w:sz w:val="20"/>
                <w:szCs w:val="20"/>
                <w:color w:val="auto"/>
              </w:rPr>
            </w:pPr>
            <w:r>
              <w:rPr>
                <w:rFonts w:ascii="Times New Roman" w:cs="Times New Roman" w:eastAsia="Times New Roman" w:hAnsi="Times New Roman"/>
                <w:sz w:val="14"/>
                <w:szCs w:val="14"/>
                <w:b w:val="1"/>
                <w:bCs w:val="1"/>
                <w:color w:val="auto"/>
                <w:w w:val="97"/>
              </w:rPr>
              <w:t>Amount</w:t>
            </w:r>
            <w:r>
              <w:rPr>
                <w:rFonts w:ascii="Times New Roman" w:cs="Times New Roman" w:eastAsia="Times New Roman" w:hAnsi="Times New Roman"/>
                <w:sz w:val="19"/>
                <w:szCs w:val="19"/>
                <w:b w:val="1"/>
                <w:bCs w:val="1"/>
                <w:color w:val="auto"/>
                <w:w w:val="97"/>
                <w:vertAlign w:val="superscript"/>
              </w:rPr>
              <w:t>(1)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7"/>
              <w:spacing w:after="0" w:line="189" w:lineRule="exact"/>
              <w:rPr>
                <w:sz w:val="20"/>
                <w:szCs w:val="20"/>
                <w:color w:val="auto"/>
              </w:rPr>
            </w:pPr>
            <w:r>
              <w:rPr>
                <w:rFonts w:ascii="Times New Roman" w:cs="Times New Roman" w:eastAsia="Times New Roman" w:hAnsi="Times New Roman"/>
                <w:sz w:val="14"/>
                <w:szCs w:val="14"/>
                <w:b w:val="1"/>
                <w:bCs w:val="1"/>
                <w:color w:val="auto"/>
                <w:w w:val="96"/>
              </w:rPr>
              <w:t>Amortization</w:t>
            </w:r>
            <w:r>
              <w:rPr>
                <w:rFonts w:ascii="Times New Roman" w:cs="Times New Roman" w:eastAsia="Times New Roman" w:hAnsi="Times New Roman"/>
                <w:sz w:val="19"/>
                <w:szCs w:val="19"/>
                <w:b w:val="1"/>
                <w:bCs w:val="1"/>
                <w:color w:val="auto"/>
                <w:w w:val="96"/>
                <w:vertAlign w:val="superscript"/>
              </w:rPr>
              <w:t>(1)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6"/>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with indefinite lives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3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spacing w:after="0"/>
              <w:rPr>
                <w:sz w:val="20"/>
                <w:szCs w:val="20"/>
                <w:color w:val="auto"/>
              </w:rPr>
            </w:pPr>
          </w:p>
        </w:tc>
        <w:tc>
          <w:tcPr>
            <w:tcW w:w="104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47"/>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patents</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8"/>
        </w:trPr>
        <w:tc>
          <w:tcPr>
            <w:tcW w:w="33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1,098</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(94 )</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1,004</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1,098</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(59 )</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1,039</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760" w:hanging="75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impact of foreign currency translation.</w:t>
      </w:r>
    </w:p>
    <w:p>
      <w:pPr>
        <w:spacing w:after="0" w:line="1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Intangible assets are primarily comprised of the rights to use the Cooper and Dunlop brand names and related trademarks, Cooper Tire customer relationships, and certain other brand names and trademarks.</w:t>
      </w:r>
    </w:p>
    <w:p>
      <w:pPr>
        <w:spacing w:after="0" w:line="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Amortization expense for intangible assets totaled $35 million in 2022, $21 million in 2021 and $2 million in 2020. We estimate that annual amortization expense related to intangible assets will be $34 million in 2023, and an average of $31 million in 2024 through 2027. The weighted average remaining amortization period is approximately 10 years.</w:t>
      </w:r>
    </w:p>
    <w:p>
      <w:pPr>
        <w:spacing w:after="0" w:line="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annual impairment analyses for 2022 and 2021, including the acquisition of Cooper Tire, indicated no impairment of goodwill or intangible assets with indefinite lives. In 2020, we recorded a non-cash goodwill impairment charge of $182 million related to our EMEA reporting unit.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Other Assets and Investments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Dividends received from our consolidated subsidiaries were $115 million, $177 million and $155 million in 2022, 2021 and 2020, respectively. Dividends received in 2022 were primarily from Brazil, Mexico and Singapore and paid to the United States. Dividends received in 2021 were primarily from Brazil, Singapore and Peru and paid to the United States. Dividends received in 2020 were primarily from Singapore, Peru and Brazil and paid to the United States. Dividends received from our affiliates accounted for using the equity method were $7 million, $6 million and $5 million in 2022, 2021 and 2020, respectively.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in TireHub</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carrying value of our investment in TireHub was $60 million and $72 million at December 31, 2022 and 2021, respectively, and was included in Other Assets on our Consolidated Balance Sheets. In addition, we had an outstanding loan receivable from TireHub of $17 million at December 31, 2022, which was also included in Other Assets on our Consolidated Balance Sheets. Our investment in TireHub is accounted for under the equity method of accounting and, as such, includes our 50% share of the net income (losses) of TireHub, which totaled $1 million, $4 million and $(36) million in 2022, 2021 and 2020, respectively.</w:t>
      </w:r>
    </w:p>
    <w:p>
      <w:pPr>
        <w:spacing w:after="0" w:line="7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In 2020, we recorded a non-cash impairment charge of $148 million related to our investment in TireHub. We concluded that there was no additional other-than-temporary decline in the fair value of our investment in TireHub during 2022 or 2021.</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in ACTR Company Limited</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part of the Cooper Tire acquisition, Goodyear acquired a 35% equity interest in ACTR Company Limited, a tire manufacturing joint venture in Vietnam, valued at $70 million and $58 million at December 31, 2022 and 2021, respectively. Our investment in ACTR is accounted for under the equity method of accounting and, as such, includes our 35% share of the net income of ACTR, which totaled $12 million and $4 million for the years ended December 31, 2022 and 2021,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Property, Plant and Equipment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31"/>
        </w:trPr>
        <w:tc>
          <w:tcPr>
            <w:tcW w:w="4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273"/>
              <w:spacing w:after="0" w:line="131" w:lineRule="exact"/>
              <w:rPr>
                <w:sz w:val="20"/>
                <w:szCs w:val="20"/>
                <w:color w:val="auto"/>
              </w:rPr>
            </w:pPr>
            <w:r>
              <w:rPr>
                <w:rFonts w:ascii="Times New Roman" w:cs="Times New Roman" w:eastAsia="Times New Roman" w:hAnsi="Times New Roman"/>
                <w:sz w:val="14"/>
                <w:szCs w:val="14"/>
                <w:b w:val="1"/>
                <w:bCs w:val="1"/>
                <w:color w:val="auto"/>
              </w:rPr>
              <w:t>Finance</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Finance</w:t>
            </w: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87"/>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Pr>
          <w:p>
            <w:pPr>
              <w:spacing w:after="0"/>
              <w:rPr>
                <w:sz w:val="16"/>
                <w:szCs w:val="16"/>
                <w:color w:val="auto"/>
              </w:rPr>
            </w:pPr>
          </w:p>
        </w:tc>
        <w:tc>
          <w:tcPr>
            <w:tcW w:w="9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Owned</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40" w:type="dxa"/>
            <w:vAlign w:val="bottom"/>
          </w:tcPr>
          <w:p>
            <w:pPr>
              <w:spacing w:after="0"/>
              <w:rPr>
                <w:sz w:val="16"/>
                <w:szCs w:val="16"/>
                <w:color w:val="auto"/>
              </w:rPr>
            </w:pP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r>
      <w:tr>
        <w:trPr>
          <w:trHeight w:val="238"/>
        </w:trPr>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449</w:t>
            </w: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553</w:t>
            </w:r>
          </w:p>
        </w:tc>
      </w:tr>
      <w:tr>
        <w:trPr>
          <w:trHeight w:val="247"/>
        </w:trPr>
        <w:tc>
          <w:tcPr>
            <w:tcW w:w="4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Buildings</w:t>
            </w: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2,640</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2,857</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2,681</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2,913</w:t>
            </w:r>
          </w:p>
        </w:tc>
      </w:tr>
      <w:tr>
        <w:trPr>
          <w:trHeight w:val="238"/>
        </w:trPr>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14,838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14,889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14,893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14,924</w:t>
            </w:r>
          </w:p>
        </w:tc>
      </w:tr>
      <w:tr>
        <w:trPr>
          <w:trHeight w:val="243"/>
        </w:trPr>
        <w:tc>
          <w:tcPr>
            <w:tcW w:w="4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1,173</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1,173</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785</w:t>
            </w:r>
          </w:p>
        </w:tc>
      </w:tr>
      <w:tr>
        <w:trPr>
          <w:trHeight w:val="236"/>
        </w:trPr>
        <w:tc>
          <w:tcPr>
            <w:tcW w:w="400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19,100</w:t>
            </w: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19,369</w:t>
            </w:r>
          </w:p>
        </w:tc>
        <w:tc>
          <w:tcPr>
            <w:tcW w:w="12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18,911</w:t>
            </w:r>
          </w:p>
        </w:tc>
        <w:tc>
          <w:tcPr>
            <w:tcW w:w="12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19,175</w:t>
            </w:r>
          </w:p>
        </w:tc>
      </w:tr>
      <w:tr>
        <w:trPr>
          <w:trHeight w:val="243"/>
        </w:trPr>
        <w:tc>
          <w:tcPr>
            <w:tcW w:w="4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(11,308 )</w:t>
            </w:r>
          </w:p>
        </w:tc>
        <w:tc>
          <w:tcPr>
            <w:tcW w:w="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(11,377 )</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(11,066 )</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(11,130 )</w:t>
            </w:r>
          </w:p>
        </w:tc>
      </w:tr>
      <w:tr>
        <w:trPr>
          <w:trHeight w:val="236"/>
        </w:trPr>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7,792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7,992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8,045</w:t>
            </w:r>
          </w:p>
        </w:tc>
      </w:tr>
      <w:tr>
        <w:trPr>
          <w:trHeight w:val="243"/>
        </w:trPr>
        <w:tc>
          <w:tcPr>
            <w:tcW w:w="40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Spare parts</w:t>
            </w:r>
          </w:p>
        </w:tc>
        <w:tc>
          <w:tcPr>
            <w:tcW w:w="2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302</w:t>
            </w:r>
          </w:p>
        </w:tc>
        <w:tc>
          <w:tcPr>
            <w:tcW w:w="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300</w:t>
            </w:r>
          </w:p>
        </w:tc>
      </w:tr>
      <w:tr>
        <w:trPr>
          <w:trHeight w:val="238"/>
        </w:trPr>
        <w:tc>
          <w:tcPr>
            <w:tcW w:w="40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8,094</w:t>
            </w: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200</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8,294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8,145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200</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8,345</w:t>
            </w:r>
          </w:p>
        </w:tc>
      </w:tr>
      <w:tr>
        <w:trPr>
          <w:trHeight w:val="20"/>
        </w:trPr>
        <w:tc>
          <w:tcPr>
            <w:tcW w:w="4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3310255</wp:posOffset>
            </wp:positionH>
            <wp:positionV relativeFrom="paragraph">
              <wp:posOffset>-821055</wp:posOffset>
            </wp:positionV>
            <wp:extent cx="76835" cy="1625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-821055</wp:posOffset>
            </wp:positionV>
            <wp:extent cx="76835" cy="16256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-821055</wp:posOffset>
            </wp:positionV>
            <wp:extent cx="68580" cy="16256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-821055</wp:posOffset>
            </wp:positionV>
            <wp:extent cx="68580" cy="1625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-821055</wp:posOffset>
            </wp:positionV>
            <wp:extent cx="68580" cy="1625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3310255</wp:posOffset>
            </wp:positionH>
            <wp:positionV relativeFrom="paragraph">
              <wp:posOffset>-504825</wp:posOffset>
            </wp:positionV>
            <wp:extent cx="76835" cy="1625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-504825</wp:posOffset>
            </wp:positionV>
            <wp:extent cx="76835" cy="1625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-504825</wp:posOffset>
            </wp:positionV>
            <wp:extent cx="68580" cy="16256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-504825</wp:posOffset>
            </wp:positionV>
            <wp:extent cx="68580" cy="1625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-504825</wp:posOffset>
            </wp:positionV>
            <wp:extent cx="68580" cy="16256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3310255</wp:posOffset>
            </wp:positionH>
            <wp:positionV relativeFrom="paragraph">
              <wp:posOffset>-187960</wp:posOffset>
            </wp:positionV>
            <wp:extent cx="76835" cy="18859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-187960</wp:posOffset>
            </wp:positionV>
            <wp:extent cx="76835" cy="18859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-187960</wp:posOffset>
            </wp:positionV>
            <wp:extent cx="68580" cy="18859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-187960</wp:posOffset>
            </wp:positionV>
            <wp:extent cx="68580" cy="18859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-187960</wp:posOffset>
            </wp:positionV>
            <wp:extent cx="68580" cy="18859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range of useful lives of property used in arriving at the annual amount of depreciation is as follows: buildings and improvements, 3 to 45 years; and machinery and equipment, 3 to 40 years.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included in Income (Loss) before Income Taxes for the years ended December 31, 2022, 2021 and 2020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6"/>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27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38"/>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2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27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8"/>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7"/>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 Term Lease Expense</w:t>
            </w:r>
          </w:p>
        </w:tc>
        <w:tc>
          <w:tcPr>
            <w:tcW w:w="27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8"/>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2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3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7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Expense</w:t>
            </w:r>
          </w:p>
        </w:tc>
        <w:tc>
          <w:tcPr>
            <w:tcW w:w="3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341</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333</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316</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780" w:type="dxa"/>
            <w:vAlign w:val="bottom"/>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86</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384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840" w:type="dxa"/>
            <w:vAlign w:val="bottom"/>
            <w:tcBorders>
              <w:bottom w:val="single" w:sz="8" w:color="9A9A9A"/>
            </w:tcBorders>
          </w:tcPr>
          <w:p>
            <w:pPr>
              <w:spacing w:after="0"/>
              <w:rPr>
                <w:sz w:val="8"/>
                <w:szCs w:val="8"/>
                <w:color w:val="auto"/>
              </w:rPr>
            </w:pPr>
          </w:p>
        </w:tc>
        <w:tc>
          <w:tcPr>
            <w:tcW w:w="27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5151120</wp:posOffset>
            </wp:positionH>
            <wp:positionV relativeFrom="paragraph">
              <wp:posOffset>-675640</wp:posOffset>
            </wp:positionV>
            <wp:extent cx="76835" cy="18859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-675640</wp:posOffset>
            </wp:positionV>
            <wp:extent cx="76835" cy="18859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years ended December 31, 2022, 2021 and 2020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6"/>
                <w:szCs w:val="16"/>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10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06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276</w:t>
            </w:r>
          </w:p>
        </w:tc>
        <w:tc>
          <w:tcPr>
            <w:tcW w:w="420" w:type="dxa"/>
            <w:vAlign w:val="bottom"/>
            <w:gridSpan w:val="4"/>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278</w:t>
            </w:r>
          </w:p>
        </w:tc>
        <w:tc>
          <w:tcPr>
            <w:tcW w:w="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268</w:t>
            </w:r>
          </w:p>
        </w:tc>
        <w:tc>
          <w:tcPr>
            <w:tcW w:w="60" w:type="dxa"/>
            <w:vAlign w:val="bottom"/>
          </w:tcPr>
          <w:p>
            <w:pPr>
              <w:spacing w:after="0"/>
              <w:rPr>
                <w:sz w:val="20"/>
                <w:szCs w:val="20"/>
                <w:color w:val="auto"/>
              </w:rPr>
            </w:pPr>
          </w:p>
        </w:tc>
      </w:tr>
      <w:tr>
        <w:trPr>
          <w:trHeight w:val="247"/>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106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21"/>
                <w:szCs w:val="21"/>
                <w:color w:val="auto"/>
              </w:rPr>
            </w:pP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106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20"/>
                <w:szCs w:val="20"/>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ROU Assets Obtained in Exchange for Lease Obligations</w:t>
            </w:r>
          </w:p>
        </w:tc>
        <w:tc>
          <w:tcPr>
            <w:tcW w:w="10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06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202</w:t>
            </w:r>
          </w:p>
        </w:tc>
        <w:tc>
          <w:tcPr>
            <w:tcW w:w="60" w:type="dxa"/>
            <w:vAlign w:val="bottom"/>
          </w:tcPr>
          <w:p>
            <w:pPr>
              <w:spacing w:after="0"/>
              <w:rPr>
                <w:sz w:val="20"/>
                <w:szCs w:val="20"/>
                <w:color w:val="auto"/>
              </w:rPr>
            </w:pPr>
          </w:p>
        </w:tc>
      </w:tr>
      <w:tr>
        <w:trPr>
          <w:trHeight w:val="247"/>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06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1"/>
                <w:szCs w:val="21"/>
                <w:color w:val="auto"/>
              </w:rPr>
            </w:pPr>
          </w:p>
        </w:tc>
      </w:tr>
      <w:tr>
        <w:trPr>
          <w:trHeight w:val="324"/>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as of December 31, 2022 and 2021 is as follows:</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4"/>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lease term and discount rate)</w:t>
            </w: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24"/>
                <w:szCs w:val="2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0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 Lease ROU Assets</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340" w:type="dxa"/>
            <w:vAlign w:val="bottom"/>
            <w:tcBorders>
              <w:bottom w:val="single" w:sz="8" w:color="auto"/>
            </w:tcBorders>
            <w:gridSpan w:val="2"/>
          </w:tcPr>
          <w:p>
            <w:pPr>
              <w:jc w:val="right"/>
              <w:ind w:right="16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976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981</w:t>
            </w:r>
          </w:p>
        </w:tc>
        <w:tc>
          <w:tcPr>
            <w:tcW w:w="60" w:type="dxa"/>
            <w:vAlign w:val="bottom"/>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5"/>
        </w:trPr>
        <w:tc>
          <w:tcPr>
            <w:tcW w:w="66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80" w:type="dxa"/>
            <w:vAlign w:val="bottom"/>
            <w:gridSpan w:val="3"/>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due Within One Year</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gridSpan w:val="4"/>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204</w:t>
            </w:r>
          </w:p>
        </w:tc>
        <w:tc>
          <w:tcPr>
            <w:tcW w:w="60" w:type="dxa"/>
            <w:vAlign w:val="bottom"/>
          </w:tcPr>
          <w:p>
            <w:pPr>
              <w:spacing w:after="0"/>
              <w:rPr>
                <w:sz w:val="20"/>
                <w:szCs w:val="20"/>
                <w:color w:val="auto"/>
              </w:rPr>
            </w:pPr>
          </w:p>
        </w:tc>
      </w:tr>
      <w:tr>
        <w:trPr>
          <w:trHeight w:val="243"/>
        </w:trPr>
        <w:tc>
          <w:tcPr>
            <w:tcW w:w="6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821</w:t>
            </w: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819</w:t>
            </w:r>
          </w:p>
        </w:tc>
        <w:tc>
          <w:tcPr>
            <w:tcW w:w="60" w:type="dxa"/>
            <w:vAlign w:val="bottom"/>
          </w:tcPr>
          <w:p>
            <w:pPr>
              <w:spacing w:after="0"/>
              <w:rPr>
                <w:sz w:val="21"/>
                <w:szCs w:val="2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gridSpan w:val="4"/>
          </w:tcPr>
          <w:p>
            <w:pPr>
              <w:jc w:val="right"/>
              <w:ind w:right="168"/>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1,020</w:t>
            </w:r>
          </w:p>
        </w:tc>
        <w:tc>
          <w:tcPr>
            <w:tcW w:w="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1,023</w:t>
            </w:r>
          </w:p>
        </w:tc>
        <w:tc>
          <w:tcPr>
            <w:tcW w:w="60" w:type="dxa"/>
            <w:vAlign w:val="bottom"/>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5"/>
        </w:trPr>
        <w:tc>
          <w:tcPr>
            <w:tcW w:w="66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4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5"/>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10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420" w:type="dxa"/>
            <w:vAlign w:val="bottom"/>
            <w:gridSpan w:val="4"/>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269</w:t>
            </w:r>
          </w:p>
        </w:tc>
        <w:tc>
          <w:tcPr>
            <w:tcW w:w="2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264</w:t>
            </w:r>
          </w:p>
        </w:tc>
        <w:tc>
          <w:tcPr>
            <w:tcW w:w="60" w:type="dxa"/>
            <w:vAlign w:val="bottom"/>
          </w:tcPr>
          <w:p>
            <w:pPr>
              <w:spacing w:after="0"/>
              <w:rPr>
                <w:sz w:val="21"/>
                <w:szCs w:val="21"/>
                <w:color w:val="auto"/>
              </w:rPr>
            </w:pP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60" w:type="dxa"/>
            <w:vAlign w:val="bottom"/>
          </w:tcPr>
          <w:p>
            <w:pPr>
              <w:spacing w:after="0"/>
              <w:rPr>
                <w:sz w:val="20"/>
                <w:szCs w:val="20"/>
                <w:color w:val="auto"/>
              </w:rPr>
            </w:pPr>
          </w:p>
        </w:tc>
      </w:tr>
      <w:tr>
        <w:trPr>
          <w:trHeight w:val="278"/>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06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200</w:t>
            </w:r>
          </w:p>
        </w:tc>
        <w:tc>
          <w:tcPr>
            <w:tcW w:w="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200</w:t>
            </w:r>
          </w:p>
        </w:tc>
        <w:tc>
          <w:tcPr>
            <w:tcW w:w="60" w:type="dxa"/>
            <w:vAlign w:val="bottom"/>
          </w:tcPr>
          <w:p>
            <w:pPr>
              <w:spacing w:after="0"/>
              <w:rPr>
                <w:sz w:val="24"/>
                <w:szCs w:val="24"/>
                <w:color w:val="auto"/>
              </w:rPr>
            </w:pPr>
          </w:p>
        </w:tc>
      </w:tr>
      <w:tr>
        <w:trPr>
          <w:trHeight w:val="225"/>
        </w:trPr>
        <w:tc>
          <w:tcPr>
            <w:tcW w:w="6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gridSpan w:val="3"/>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Long Term Debt and Finance Leases due Within One Year</w:t>
            </w:r>
          </w:p>
        </w:tc>
        <w:tc>
          <w:tcPr>
            <w:tcW w:w="10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420" w:type="dxa"/>
            <w:vAlign w:val="bottom"/>
            <w:gridSpan w:val="4"/>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21"/>
                <w:szCs w:val="21"/>
                <w:color w:val="auto"/>
              </w:rPr>
            </w:pP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 Term Debt and Finance Leases</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237</w:t>
            </w:r>
          </w:p>
        </w:tc>
        <w:tc>
          <w:tcPr>
            <w:tcW w:w="60" w:type="dxa"/>
            <w:vAlign w:val="bottom"/>
          </w:tcPr>
          <w:p>
            <w:pPr>
              <w:spacing w:after="0"/>
              <w:rPr>
                <w:sz w:val="20"/>
                <w:szCs w:val="20"/>
                <w:color w:val="auto"/>
              </w:rPr>
            </w:pPr>
          </w:p>
        </w:tc>
      </w:tr>
      <w:tr>
        <w:trPr>
          <w:trHeight w:val="278"/>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Finance Lease Liabilities</w:t>
            </w:r>
          </w:p>
        </w:tc>
        <w:tc>
          <w:tcPr>
            <w:tcW w:w="106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255</w:t>
            </w:r>
          </w:p>
        </w:tc>
        <w:tc>
          <w:tcPr>
            <w:tcW w:w="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255</w:t>
            </w:r>
          </w:p>
        </w:tc>
        <w:tc>
          <w:tcPr>
            <w:tcW w:w="60" w:type="dxa"/>
            <w:vAlign w:val="bottom"/>
          </w:tcPr>
          <w:p>
            <w:pPr>
              <w:spacing w:after="0"/>
              <w:rPr>
                <w:sz w:val="24"/>
                <w:szCs w:val="24"/>
                <w:color w:val="auto"/>
              </w:rPr>
            </w:pPr>
          </w:p>
        </w:tc>
      </w:tr>
      <w:tr>
        <w:trPr>
          <w:trHeight w:val="198"/>
        </w:trPr>
        <w:tc>
          <w:tcPr>
            <w:tcW w:w="6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(years)</w:t>
            </w:r>
          </w:p>
        </w:tc>
        <w:tc>
          <w:tcPr>
            <w:tcW w:w="10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tcPr>
          <w:p>
            <w:pPr>
              <w:spacing w:after="0"/>
              <w:rPr>
                <w:sz w:val="20"/>
                <w:szCs w:val="20"/>
                <w:color w:val="auto"/>
              </w:rPr>
            </w:pPr>
          </w:p>
        </w:tc>
      </w:tr>
      <w:tr>
        <w:trPr>
          <w:trHeight w:val="247"/>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0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91"/>
              <w:spacing w:after="0"/>
              <w:rPr>
                <w:sz w:val="20"/>
                <w:szCs w:val="20"/>
                <w:color w:val="auto"/>
              </w:rPr>
            </w:pPr>
            <w:r>
              <w:rPr>
                <w:rFonts w:ascii="Times New Roman" w:cs="Times New Roman" w:eastAsia="Times New Roman" w:hAnsi="Times New Roman"/>
                <w:sz w:val="18"/>
                <w:szCs w:val="18"/>
                <w:color w:val="auto"/>
              </w:rPr>
              <w:t>29.2</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30.1</w:t>
            </w:r>
          </w:p>
        </w:tc>
        <w:tc>
          <w:tcPr>
            <w:tcW w:w="60" w:type="dxa"/>
            <w:vAlign w:val="bottom"/>
          </w:tcPr>
          <w:p>
            <w:pPr>
              <w:spacing w:after="0"/>
              <w:rPr>
                <w:sz w:val="21"/>
                <w:szCs w:val="21"/>
                <w:color w:val="auto"/>
              </w:rPr>
            </w:pPr>
          </w:p>
        </w:tc>
      </w:tr>
      <w:tr>
        <w:trPr>
          <w:trHeight w:val="243"/>
        </w:trPr>
        <w:tc>
          <w:tcPr>
            <w:tcW w:w="66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10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6.82 %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6.30 %</w:t>
            </w: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8.26 %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8.40 %</w:t>
            </w:r>
          </w:p>
        </w:tc>
      </w:tr>
      <w:tr>
        <w:trPr>
          <w:trHeight w:val="337"/>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maturities of our lease liabilities, excluding subleases, as of December 31, 2022 are as follows:</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0"/>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380" w:type="dxa"/>
            <w:vAlign w:val="bottom"/>
            <w:tcBorders>
              <w:top w:val="single" w:sz="8" w:color="auto"/>
            </w:tcBorders>
            <w:gridSpan w:val="3"/>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255</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20"/>
                <w:szCs w:val="20"/>
                <w:color w:val="auto"/>
              </w:rPr>
            </w:pPr>
          </w:p>
        </w:tc>
      </w:tr>
      <w:tr>
        <w:trPr>
          <w:trHeight w:val="234"/>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20"/>
                <w:szCs w:val="20"/>
                <w:color w:val="auto"/>
              </w:rPr>
            </w:pPr>
          </w:p>
        </w:tc>
      </w:tr>
      <w:tr>
        <w:trPr>
          <w:trHeight w:val="251"/>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21"/>
                <w:szCs w:val="21"/>
                <w:color w:val="auto"/>
              </w:rPr>
            </w:pPr>
          </w:p>
        </w:tc>
      </w:tr>
      <w:tr>
        <w:trPr>
          <w:trHeight w:val="234"/>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20"/>
                <w:szCs w:val="20"/>
                <w:color w:val="auto"/>
              </w:rPr>
            </w:pPr>
          </w:p>
        </w:tc>
      </w:tr>
      <w:tr>
        <w:trPr>
          <w:trHeight w:val="251"/>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436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637</w:t>
            </w:r>
          </w:p>
        </w:tc>
        <w:tc>
          <w:tcPr>
            <w:tcW w:w="60" w:type="dxa"/>
            <w:vAlign w:val="bottom"/>
          </w:tcPr>
          <w:p>
            <w:pPr>
              <w:spacing w:after="0"/>
              <w:rPr>
                <w:sz w:val="20"/>
                <w:szCs w:val="20"/>
                <w:color w:val="auto"/>
              </w:rPr>
            </w:pPr>
          </w:p>
        </w:tc>
      </w:tr>
      <w:tr>
        <w:trPr>
          <w:trHeight w:val="240"/>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10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1,328</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759</w:t>
            </w:r>
          </w:p>
        </w:tc>
        <w:tc>
          <w:tcPr>
            <w:tcW w:w="60" w:type="dxa"/>
            <w:vAlign w:val="bottom"/>
          </w:tcPr>
          <w:p>
            <w:pPr>
              <w:spacing w:after="0"/>
              <w:rPr>
                <w:sz w:val="20"/>
                <w:szCs w:val="20"/>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504</w:t>
            </w:r>
          </w:p>
        </w:tc>
        <w:tc>
          <w:tcPr>
            <w:tcW w:w="60" w:type="dxa"/>
            <w:vAlign w:val="bottom"/>
          </w:tcPr>
          <w:p>
            <w:pPr>
              <w:spacing w:after="0"/>
              <w:rPr>
                <w:sz w:val="20"/>
                <w:szCs w:val="20"/>
                <w:color w:val="auto"/>
              </w:rPr>
            </w:pPr>
          </w:p>
        </w:tc>
      </w:tr>
      <w:tr>
        <w:trPr>
          <w:trHeight w:val="278"/>
        </w:trPr>
        <w:tc>
          <w:tcPr>
            <w:tcW w:w="6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gridSpan w:val="3"/>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1,020</w:t>
            </w:r>
          </w:p>
        </w:tc>
        <w:tc>
          <w:tcPr>
            <w:tcW w:w="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255</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6135370</wp:posOffset>
            </wp:positionH>
            <wp:positionV relativeFrom="paragraph">
              <wp:posOffset>-4700270</wp:posOffset>
            </wp:positionV>
            <wp:extent cx="85725" cy="18859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-3732530</wp:posOffset>
            </wp:positionV>
            <wp:extent cx="85725" cy="17970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-3081655</wp:posOffset>
            </wp:positionV>
            <wp:extent cx="8572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-3064510</wp:posOffset>
            </wp:positionV>
            <wp:extent cx="8572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-1994535</wp:posOffset>
            </wp:positionV>
            <wp:extent cx="7132320" cy="15430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-24765</wp:posOffset>
            </wp:positionV>
            <wp:extent cx="8572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-7620</wp:posOffset>
            </wp:positionV>
            <wp:extent cx="8572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3"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As of December 31, 2022, we have additional operating and finance leases that have not yet commenced for which the present value of lease payments over the respective lease terms totals $1 million. Accordingly, these leases are not recorded on the Consolidated Balance Sheets at December 31, 2022. These leases will commence in 2023 and 2024 with lease terms of 1 year to 8 years.</w:t>
      </w:r>
    </w:p>
    <w:p>
      <w:pPr>
        <w:spacing w:after="0" w:line="17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8" w:right="2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Financing Arrangements and Derivative Financial Instruments</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At December 31, 2022, we had total credit arrangements of $11,806 million, of which $4,035 million were unused. At that date, approximately 21% of our debt was at variable interest rates averaging 5.94%.</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Notes Payable and Overdrafts, Long Term Debt and Finance Leases due Within One Year and Short Term Financing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2022, we had short term committed and uncommitted credit arrangements totaling $881 million, of which $469 million were unused.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arrangements are available primarily to certain of our foreign subsidiaries through various banks at quoted market interest rates.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amounts due within one year:</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1260" w:type="dxa"/>
            <w:vAlign w:val="bottom"/>
            <w:shd w:val="clear" w:color="auto" w:fill="CFF0FC"/>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foreign and domestic debt</w:t>
            </w:r>
          </w:p>
        </w:tc>
        <w:tc>
          <w:tcPr>
            <w:tcW w:w="12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369</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 and Overdrafts</w:t>
            </w:r>
          </w:p>
        </w:tc>
        <w:tc>
          <w:tcPr>
            <w:tcW w:w="1260" w:type="dxa"/>
            <w:vAlign w:val="bottom"/>
            <w:tcBorders>
              <w:bottom w:val="single" w:sz="8" w:color="auto"/>
            </w:tcBorders>
            <w:shd w:val="clear" w:color="auto" w:fill="CFF0FC"/>
          </w:tcPr>
          <w:p>
            <w:pPr>
              <w:jc w:val="right"/>
              <w:ind w:right="10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395</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126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5.75 %</w:t>
            </w:r>
          </w:p>
        </w:tc>
        <w:tc>
          <w:tcPr>
            <w:tcW w:w="26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2.78 %</w:t>
            </w:r>
          </w:p>
        </w:tc>
        <w:tc>
          <w:tcPr>
            <w:tcW w:w="0" w:type="dxa"/>
            <w:vAlign w:val="bottom"/>
          </w:tcPr>
          <w:p>
            <w:pPr>
              <w:spacing w:after="0"/>
              <w:rPr>
                <w:sz w:val="1"/>
                <w:szCs w:val="1"/>
                <w:color w:val="auto"/>
              </w:rPr>
            </w:pPr>
          </w:p>
        </w:tc>
      </w:tr>
      <w:tr>
        <w:trPr>
          <w:trHeight w:val="247"/>
        </w:trPr>
        <w:tc>
          <w:tcPr>
            <w:tcW w:w="76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1260" w:type="dxa"/>
            <w:vAlign w:val="bottom"/>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foreign and domestic debt (including finance leases)</w:t>
            </w:r>
          </w:p>
        </w:tc>
        <w:tc>
          <w:tcPr>
            <w:tcW w:w="126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 Term Debt and Finance Leases due Within One Year</w:t>
            </w:r>
          </w:p>
        </w:tc>
        <w:tc>
          <w:tcPr>
            <w:tcW w:w="1260" w:type="dxa"/>
            <w:vAlign w:val="bottom"/>
            <w:tcBorders>
              <w:bottom w:val="single" w:sz="8" w:color="auto"/>
            </w:tcBorders>
          </w:tcPr>
          <w:p>
            <w:pPr>
              <w:jc w:val="right"/>
              <w:ind w:right="10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228</w:t>
            </w:r>
          </w:p>
        </w:tc>
        <w:tc>
          <w:tcPr>
            <w:tcW w:w="16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343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4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3.88 %</w:t>
            </w:r>
          </w:p>
        </w:tc>
        <w:tc>
          <w:tcPr>
            <w:tcW w:w="26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5.25 %</w:t>
            </w:r>
          </w:p>
        </w:tc>
        <w:tc>
          <w:tcPr>
            <w:tcW w:w="0" w:type="dxa"/>
            <w:vAlign w:val="bottom"/>
          </w:tcPr>
          <w:p>
            <w:pPr>
              <w:spacing w:after="0"/>
              <w:rPr>
                <w:sz w:val="1"/>
                <w:szCs w:val="1"/>
                <w:color w:val="auto"/>
              </w:rPr>
            </w:pPr>
          </w:p>
        </w:tc>
      </w:tr>
      <w:tr>
        <w:trPr>
          <w:trHeight w:val="24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obligations due within one year</w:t>
            </w:r>
          </w:p>
        </w:tc>
        <w:tc>
          <w:tcPr>
            <w:tcW w:w="1260" w:type="dxa"/>
            <w:vAlign w:val="bottom"/>
            <w:tcBorders>
              <w:top w:val="single" w:sz="8" w:color="auto"/>
              <w:bottom w:val="single" w:sz="8" w:color="auto"/>
            </w:tcBorders>
          </w:tcPr>
          <w:p>
            <w:pPr>
              <w:jc w:val="right"/>
              <w:ind w:right="10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623</w:t>
            </w:r>
          </w:p>
        </w:tc>
        <w:tc>
          <w:tcPr>
            <w:tcW w:w="16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5947410</wp:posOffset>
            </wp:positionH>
            <wp:positionV relativeFrom="paragraph">
              <wp:posOffset>-1172210</wp:posOffset>
            </wp:positionV>
            <wp:extent cx="102870" cy="17970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-530225</wp:posOffset>
            </wp:positionV>
            <wp:extent cx="7132320" cy="53086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53086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Long Term Debt and Finance Leases and Financing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2022, we had long term credit arrangements totaling $10,925 million, of which $3,566 million were unused.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long term debt and finance leases, net of unamortized discounts, and interest rates: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4"/>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580" w:type="dxa"/>
            <w:vAlign w:val="bottom"/>
            <w:gridSpan w:val="4"/>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69"/>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top w:val="single" w:sz="8" w:color="auto"/>
            </w:tcBorders>
          </w:tcPr>
          <w:p>
            <w:pPr>
              <w:spacing w:after="0"/>
              <w:rPr>
                <w:sz w:val="14"/>
                <w:szCs w:val="14"/>
                <w:color w:val="auto"/>
              </w:rPr>
            </w:pPr>
          </w:p>
        </w:tc>
        <w:tc>
          <w:tcPr>
            <w:tcW w:w="1660" w:type="dxa"/>
            <w:vAlign w:val="bottom"/>
            <w:tcBorders>
              <w:top w:val="single" w:sz="8" w:color="auto"/>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12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top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60" w:type="dxa"/>
            <w:vAlign w:val="bottom"/>
          </w:tcPr>
          <w:p>
            <w:pPr>
              <w:spacing w:after="0"/>
              <w:rPr>
                <w:sz w:val="14"/>
                <w:szCs w:val="14"/>
                <w:color w:val="auto"/>
              </w:rPr>
            </w:pPr>
          </w:p>
        </w:tc>
      </w:tr>
      <w:tr>
        <w:trPr>
          <w:trHeight w:val="236"/>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9.5% due 2025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802</w:t>
            </w:r>
          </w:p>
        </w:tc>
        <w:tc>
          <w:tcPr>
            <w:tcW w:w="16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802</w:t>
            </w: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5% due 2026</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900</w:t>
            </w:r>
          </w:p>
        </w:tc>
        <w:tc>
          <w:tcPr>
            <w:tcW w:w="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900</w:t>
            </w:r>
          </w:p>
        </w:tc>
        <w:tc>
          <w:tcPr>
            <w:tcW w:w="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4.875% due 2027</w:t>
            </w:r>
          </w:p>
        </w:tc>
        <w:tc>
          <w:tcPr>
            <w:tcW w:w="24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7.625% due 2027</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 due 2028</w:t>
            </w:r>
          </w:p>
        </w:tc>
        <w:tc>
          <w:tcPr>
            <w:tcW w:w="24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2.75% Euro Notes due 2028</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427</w:t>
            </w:r>
          </w:p>
        </w:tc>
        <w:tc>
          <w:tcPr>
            <w:tcW w:w="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454</w:t>
            </w:r>
          </w:p>
        </w:tc>
        <w:tc>
          <w:tcPr>
            <w:tcW w:w="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 due 2029</w:t>
            </w:r>
          </w:p>
        </w:tc>
        <w:tc>
          <w:tcPr>
            <w:tcW w:w="24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850</w:t>
            </w: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850</w:t>
            </w: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5.25% due April 2031</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550</w:t>
            </w:r>
          </w:p>
        </w:tc>
        <w:tc>
          <w:tcPr>
            <w:tcW w:w="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550</w:t>
            </w:r>
          </w:p>
        </w:tc>
        <w:tc>
          <w:tcPr>
            <w:tcW w:w="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5.25% due July 2031</w:t>
            </w:r>
          </w:p>
        </w:tc>
        <w:tc>
          <w:tcPr>
            <w:tcW w:w="24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600</w:t>
            </w: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600</w:t>
            </w: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5.625% due 2033</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450</w:t>
            </w:r>
          </w:p>
        </w:tc>
        <w:tc>
          <w:tcPr>
            <w:tcW w:w="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450</w:t>
            </w:r>
          </w:p>
        </w:tc>
        <w:tc>
          <w:tcPr>
            <w:tcW w:w="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Credit Facilities:</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First lien revolving credit facility due 2026</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4"/>
        </w:trPr>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European revolving credit facility due 2028</w:t>
            </w:r>
          </w:p>
        </w:tc>
        <w:tc>
          <w:tcPr>
            <w:tcW w:w="24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374</w:t>
            </w:r>
          </w:p>
        </w:tc>
        <w:tc>
          <w:tcPr>
            <w:tcW w:w="16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3.39 %</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38"/>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Pan-European accounts receivable facility</w:t>
            </w:r>
          </w:p>
        </w:tc>
        <w:tc>
          <w:tcPr>
            <w:tcW w:w="24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267</w:t>
            </w:r>
          </w:p>
        </w:tc>
        <w:tc>
          <w:tcPr>
            <w:tcW w:w="16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3.77 %</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279</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1.08 %</w:t>
            </w: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Mexican credit facility</w:t>
            </w:r>
          </w:p>
        </w:tc>
        <w:tc>
          <w:tcPr>
            <w:tcW w:w="24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200</w:t>
            </w:r>
          </w:p>
        </w:tc>
        <w:tc>
          <w:tcPr>
            <w:tcW w:w="16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6.29 %</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158</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1.85 %</w:t>
            </w:r>
          </w:p>
        </w:tc>
      </w:tr>
      <w:tr>
        <w:trPr>
          <w:trHeight w:val="231"/>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24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235</w:t>
            </w:r>
          </w:p>
        </w:tc>
        <w:tc>
          <w:tcPr>
            <w:tcW w:w="16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4.23 %</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333</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4.34 %</w:t>
            </w:r>
          </w:p>
        </w:tc>
      </w:tr>
      <w:tr>
        <w:trPr>
          <w:trHeight w:val="268"/>
        </w:trPr>
        <w:tc>
          <w:tcPr>
            <w:tcW w:w="564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Other foreign and domestic debt</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23"/>
                <w:szCs w:val="23"/>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650</w:t>
            </w:r>
          </w:p>
        </w:tc>
        <w:tc>
          <w:tcPr>
            <w:tcW w:w="16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6.58 %</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430</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6.05 %</w:t>
            </w:r>
          </w:p>
        </w:tc>
      </w:tr>
      <w:tr>
        <w:trPr>
          <w:trHeight w:val="236"/>
        </w:trPr>
        <w:tc>
          <w:tcPr>
            <w:tcW w:w="56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7,286</w:t>
            </w:r>
          </w:p>
        </w:tc>
        <w:tc>
          <w:tcPr>
            <w:tcW w:w="2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6,791</w:t>
            </w:r>
          </w:p>
        </w:tc>
        <w:tc>
          <w:tcPr>
            <w:tcW w:w="2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deferred financing fees</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56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7,240</w:t>
            </w:r>
          </w:p>
        </w:tc>
        <w:tc>
          <w:tcPr>
            <w:tcW w:w="2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6,736</w:t>
            </w:r>
          </w:p>
        </w:tc>
        <w:tc>
          <w:tcPr>
            <w:tcW w:w="2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6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Finance lease obligations</w:t>
            </w:r>
            <w:r>
              <w:rPr>
                <w:rFonts w:ascii="Times New Roman" w:cs="Times New Roman" w:eastAsia="Times New Roman" w:hAnsi="Times New Roman"/>
                <w:sz w:val="24"/>
                <w:szCs w:val="24"/>
                <w:color w:val="auto"/>
                <w:vertAlign w:val="superscript"/>
              </w:rPr>
              <w:t>(2)</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255</w:t>
            </w:r>
          </w:p>
        </w:tc>
        <w:tc>
          <w:tcPr>
            <w:tcW w:w="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255</w:t>
            </w:r>
          </w:p>
        </w:tc>
        <w:tc>
          <w:tcPr>
            <w:tcW w:w="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56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7,495</w:t>
            </w:r>
          </w:p>
        </w:tc>
        <w:tc>
          <w:tcPr>
            <w:tcW w:w="2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6,991</w:t>
            </w:r>
          </w:p>
        </w:tc>
        <w:tc>
          <w:tcPr>
            <w:tcW w:w="2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portion due within one year</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8"/>
        </w:trPr>
        <w:tc>
          <w:tcPr>
            <w:tcW w:w="56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7,267</w:t>
            </w:r>
          </w:p>
        </w:tc>
        <w:tc>
          <w:tcPr>
            <w:tcW w:w="1440" w:type="dxa"/>
            <w:vAlign w:val="bottom"/>
            <w:tcBorders>
              <w:bottom w:val="single" w:sz="8" w:color="CFF0FC"/>
            </w:tcBorders>
            <w:gridSpan w:val="2"/>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6,648</w:t>
            </w:r>
          </w:p>
        </w:tc>
        <w:tc>
          <w:tcPr>
            <w:tcW w:w="2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-1754505</wp:posOffset>
            </wp:positionV>
            <wp:extent cx="7132320" cy="15430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-1446530</wp:posOffset>
            </wp:positionV>
            <wp:extent cx="7132320" cy="15430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-24765</wp:posOffset>
            </wp:positionV>
            <wp:extent cx="1714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-7620</wp:posOffset>
            </wp:positionV>
            <wp:extent cx="1714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-24765</wp:posOffset>
            </wp:positionV>
            <wp:extent cx="82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-7620</wp:posOffset>
            </wp:positionV>
            <wp:extent cx="82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83" w:lineRule="exact"/>
        <w:rPr>
          <w:sz w:val="20"/>
          <w:szCs w:val="20"/>
          <w:color w:val="auto"/>
        </w:rPr>
      </w:pPr>
    </w:p>
    <w:p>
      <w:pPr>
        <w:ind w:left="760" w:hanging="752"/>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are weighted average interest rates related to various foreign credit facilities with customary terms and conditions.</w:t>
      </w:r>
    </w:p>
    <w:p>
      <w:pPr>
        <w:spacing w:after="0" w:line="116" w:lineRule="exact"/>
        <w:rPr>
          <w:rFonts w:ascii="Times New Roman" w:cs="Times New Roman" w:eastAsia="Times New Roman" w:hAnsi="Times New Roman"/>
          <w:sz w:val="18"/>
          <w:szCs w:val="18"/>
          <w:color w:val="auto"/>
        </w:rPr>
      </w:pPr>
    </w:p>
    <w:p>
      <w:pPr>
        <w:ind w:left="760" w:right="60" w:hanging="752"/>
        <w:spacing w:after="0" w:line="281"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financing additions of $20 million and $14 million during the twelve month period ended December 31, 2022 and 2021, respectively.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$800 million 9.5% Senior Notes due 2025</w:t>
      </w:r>
    </w:p>
    <w:p>
      <w:pPr>
        <w:spacing w:after="0" w:line="119"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At December 31, 2022, $800 million aggregate principal amount of 9.5% senior notes due 2025 were outstanding. $600 million of these notes were sold at 100% of the principal amount and $200 million of these notes were sold at 101.75% of the principal amount at an effective yield of 9.056%. These notes will mature on May 31, 2025. These notes are unsecured senior obligations</w:t>
      </w:r>
    </w:p>
    <w:p>
      <w:pPr>
        <w:sectPr>
          <w:pgSz w:w="11900" w:h="16838" w:orient="portrait"/>
          <w:cols w:equalWidth="0" w:num="1">
            <w:col w:w="11300"/>
          </w:cols>
          <w:pgMar w:left="320" w:top="118" w:right="279" w:bottom="1440" w:gutter="0" w:footer="0" w:header="0"/>
        </w:sectPr>
      </w:pPr>
    </w:p>
    <w:p>
      <w:pPr>
        <w:spacing w:after="0" w:line="1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8" w:right="27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and are guaranteed by our U.S. and Canadian subsidiaries that also guarantee our obligations under our U.S. first lien revolving credit facility described below.</w:t>
      </w:r>
    </w:p>
    <w:p>
      <w:pPr>
        <w:spacing w:after="0" w:line="5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We have the option to redeem these notes, in whole or in part, at any time at a redemption price of 104.75%, 102.375% and 100% during the 12-month periods commencing on May 31, 2022, 2023 and 2024 and thereafter, respectively, plus accrued and unpaid interest to the redemption date.</w:t>
      </w:r>
    </w:p>
    <w:p>
      <w:pPr>
        <w:spacing w:after="0" w:line="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terms of the indenture for these notes, among other things, limit the ability of the Company and certain of its subsidiaries, including Goodyear Europe B.V. ("GEBV"), to (i) incur additional debt or issue redeemable preferred stock, (ii) pay dividends, repurchase shares or make certain other restricted payments or investments, (iii) incur liens, (iv) sell assets, (v) incur restrictions on the ability of our subsidiaries to pay dividends or to make other payments to us, (vi) enter into affiliate transactions, (vii) engage in sale and leaseback transactions, and (viii) consolidate, merge, sell or otherwise dispose of all or substantially all of our assets. These covenants are subject to significant exceptions and qualifications. For example, if these notes are assigned an investment grade rating from at least two of Moody's, Standard and Poor's and Fitch and no default has occurred and is continuing, certain covenants will be suspended and we may elect to suspend the subsidiary guarantees. The indenture has customary defaults, including a cross-default to material indebtedness of Goodyear and our subsidiaries.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$900 million 5% Senior Notes due 2026</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At December 31, 2022, $900 million aggregate principal amount of 5% senior notes due 2026 were outstanding. These notes were sold at 100% of the principal amount and will mature on May 31, 2026. These notes are unsecured senior obligations and are guaranteed by our U.S. and Canadian subsidiaries that also guarantee our obligations under our U.S. first lien revolving credit facility described below.</w:t>
      </w:r>
    </w:p>
    <w:p>
      <w:pPr>
        <w:spacing w:after="0" w:line="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have the option to redeem these notes, in whole or in part, at any time at a redemption price of 101.667%, 100.833% and 100% during the 12-month periods commencing on May 31, 2022, 2023 and 2024 and thereafter, respectively, plus accrued and unpaid interest to the redemption date.</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indenture for these notes includes covenants that are substantially similar to those contained in the indenture governing our 9.5% senior notes due 2025, described above.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$700 million 4.875% Senior Notes due 2027</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At December 31, 2022, $700 million aggregate principal amount of 4.875% senior notes due 2027 were outstanding. These notes were sold at 100% of the principal amount and will mature on March 15, 2027. These notes are unsecured senior obligations and are guaranteed by our U.S. and Canadian subsidiaries that also guarantee our obligations under our U.S. first lien revolving credit facility described below.</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the option to redeem these notes, in whole or in part, at any time prior to their maturity. If we elect to redeem the notes prior to December 15, 2026, we will pay a redemption price equal to the greater of 100% of the principal amount of the notes redeemed or the sum of the present values of the remaining scheduled payments on the notes redeemed, discounted using a defined treasury rate plus 50 basis points, plus in either case accrued and unpaid interest to the redemption date. If we elect to redeem the notes on or after December 15, 2026, we will pay a redemption price equal to 100% of the principal amount of the notes redeemed plus accrued and unpaid interest to the redemption date.</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terms of the indenture for these notes, among other things, limit our ability and the ability of certain of our subsidiaries to (i) incur certain liens, (ii) engage in sale and leaseback transactions, and (iii) consolidate, merge, sell or otherwise dispose of all or substantially all of our assets. These covenants are subject to significant exceptions and qualifications.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$117 million 7.625% Senior Notes due 2027</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Following the Cooper Tire acquisition and at December 31, 2022, $117 million aggregate principal amount of 7.625% senior notes due 2027 were outstanding. These notes also included a $19 million fair value step-up, which is being amortized against interest expense over the remaining life of the notes. Amortization since the Closing Date was approximately $5 million. These notes are unsecured senior obligations and will mature on March 15, 2027. These notes are not redeemable prior to maturity.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25, 2022, Goodyear assumed Cooper Tire's obligations under these notes.</w:t>
      </w:r>
    </w:p>
    <w:p>
      <w:pPr>
        <w:spacing w:after="0" w:line="11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terms of the indenture for these notes, among other things, limit our ability and the ability of certain of our subsidiaries to (i) incur certain liens, (ii) enter into certain sale and leaseback transactions, and (iii) consolidate, merge, sell or otherwise dispose of all or substantially all of our assets. These covenants are subject to significant exceptions and qualifications.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$150 million 7% Senior Notes due 2028</w:t>
      </w:r>
    </w:p>
    <w:p>
      <w:pPr>
        <w:spacing w:after="0" w:line="1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At December 31, 2022, $150 million aggregate principal amount of 7% notes due 2028 were outstanding. These notes are unsecured senior obligations and will mature on March 15, 2028.</w:t>
      </w:r>
    </w:p>
    <w:p>
      <w:pPr>
        <w:spacing w:after="0" w:line="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have the option to redeem these notes, in whole or in part, at any time at a redemption price equal to the greater of 100% of the principal amount thereof or the sum of the present values of the remaining scheduled payments thereon, discounted using a defined treasury rate plus 15 basis points, plus in either case accrued and unpaid interest to the redemption date.</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terms of the indenture for these notes, among other things, limit our ability and the ability of certain of our subsidiaries to (i) incur secured debt, (ii) engage in sale and leaseback transactions, and (iii) consolidate, merge, sell or otherwise dispose of all or substantially all of our assets. These covenants are subject to significant exceptions and qualifications.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€400 million 2.75% Senior Notes due 2028 of GEBV</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At December 31, 2022, €400 million in aggregate principal amount of GEBV 2.75% senior notes due 2028 were outstanding. These notes were sold at 100% of the principal amount and will mature on August 15, 2028. These notes are unsecured senior obligations of GEBV and are guaranteed, on an unsecured senior basis, by the Company and our U.S. and Canadian subsidiaries that also guarantee our obligations under our U.S. first lien revolving credit facility described below.</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the option to redeem these notes, in whole or in part, at any time on or after August 15, 2024 at a redemption price of 101.375%, 100.688%, and 100% during the 12-month periods commencing on August 15, 2024, 2025, and 2026 and thereafter, respectively, plus accrued and unpaid interest to the redemption date. Prior to August 15, 2024, we may redeem these notes, in whole or in part, at a redemption price equal to 100% of the principal amount plus a make-whole premium and accrued and unpaid interest to the redemption date. In addition, prior to August 15, 2024, we may redeem up to 35% of the original aggregate principal amount of these notes from the net cash proceeds of certain equity offerings at a redemption price equal to 102.75% of the principal amount plus accrued and unpaid interest to the redemption date.</w:t>
      </w:r>
    </w:p>
    <w:p>
      <w:pPr>
        <w:spacing w:after="0" w:line="7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indenture for these notes includes covenants that are substantially similar to those contained in the indenture governing our 4.875% senior notes due 2027, described above.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$850 million 5% Senior Notes due 2029</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At December 31, 2022, $850 million in aggregate principal amount of 5% senior notes due 2029 were outstanding. These notes were sold at 100% of the principal amount and will mature on July 15, 2029. These notes are unsecured senior obligations and are guaranteed by our U.S. and Canadian subsidiaries that also guarantee our obligations under our U.S. first lien revolving credit facility described below.</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the option to redeem these notes, in whole or in part, at any time prior to their maturity. If we elect to redeem these notes prior to three months before their maturity date, we will pay a redemption price equal to the greater of 100% of the principal amount of the notes redeemed or the sum of the present values of the remaining scheduled payments on the notes redeemed, discounted using a defined treasury rate plus 50 basis points, plus in either case accrued and unpaid interest to the redemption date. If we elect to redeem these notes on or after three months before their maturity date, we will pay a redemption price equal to 100% of the principal amount of the notes redeemed plus accrued and unpaid interest to the redemption date.</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indenture for these notes includes covenants that are substantially similar to those contained in the indenture governing our 4.875% senior notes due 2027, described above.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$550 million 5.25% Senior Notes due April 2031</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At December 31, 2022, $550 million in aggregate principal amount of 5.25% senior notes due April 2031 were outstanding. These notes were sold at 100% of the principal amount and will mature on April 30, 2031. These notes are unsecured senior obligations and are guaranteed by our U.S. and Canadian subsidiaries that also guarantee our obligations under our U.S. first lien revolving credit facility described below.</w:t>
      </w:r>
    </w:p>
    <w:p>
      <w:pPr>
        <w:spacing w:after="0" w:line="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indenture for these notes includes redemption provisions that are substantially similar to those contained in the indenture governing our 5% senior notes due 2029, described above.</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indenture for these notes includes covenants that are substantially similar to those contained in the indenture governing our 4.875% senior notes due 2027, described above.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$600 million 5.25% Senior Notes due July 2031</w:t>
      </w:r>
    </w:p>
    <w:p>
      <w:pPr>
        <w:spacing w:after="0" w:line="1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At December 31, 2022, $600 million in aggregate principal amount of 5.25% senior notes due July 2031 were outstanding. These notes were sold at 100% of the principal amount and will mature on July 15, 2031. These notes are unsecured senior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obligations and are guaranteed by our U.S. and Canadian subsidiaries that also guarantee our obligations under our U.S. first lien revolving credit facility described below.</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indenture for these notes includes redemption provisions that are substantially similar to those contained in the indenture governing our 5% senior notes due 2029, described above.</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indenture for these notes includes covenants that are substantially similar to those contained in the indenture governing our 4.875% senior notes due 2027, described above.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$450 million 5.625% Senior Notes due 2033</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At December 31, 2022, $450 million in aggregate principal amount of 5.625% senior notes due 2033 were outstanding. These notes were sold at 100% of the principal amount and will mature on April 30, 2033. These notes are unsecured senior obligations and are guaranteed by our U.S. and Canadian subsidiaries that also guarantee our obligations under our U.S. first lien revolving credit facility described below.</w:t>
      </w:r>
    </w:p>
    <w:p>
      <w:pPr>
        <w:spacing w:after="0" w:line="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indenture for these notes includes redemption provisions that are substantially similar to those contained in the indenture governing our 5% senior notes due 2029, described above.</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indenture for these notes includes covenants that are substantially similar to those contained in the indenture governing our 4.875% senior notes due 2027, described above.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$2.75 billion Amended and Restated First Lien Revolving Credit Facility due 2026</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September 15, 2022, we amended our $2.75 billion first lien revolving credit facility to change the base interest rate from LIBOR to SOFR. Our first lien revolving credit facility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 Based on our current liquidity, amounts drawn under this facility bear interest at SOFR plus 125 basis points.</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obligations under the facility are guaranteed by most of our wholly-owned U.S. and Canadian subsidiaries. Our obligations under the facility and our subsidiaries' obligations under the related guarantees are secured by first priority security interests in collateral that includes, subject to certain exceptions:</w:t>
      </w:r>
    </w:p>
    <w:p>
      <w:pPr>
        <w:spacing w:after="0" w:line="55"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Canadian accounts receivable and inventory;</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U.S. manufacturing facilities;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interests in our U.S. subsidiaries and up to 65% of the voting equity interests in most of our directly owned foreign subsidiaries;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other tangible and intangible assets, including equipment, contract rights and intellectual property.</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Availability under the facility is subject to a borrowing base, which is based on (i) eligible accounts receivable and inventory of The Goodyear Tire &amp; Rubber Company and certain of its U.S. and Canadian subsidiaries, (ii) the value of our principal trademarks in an amount not to exceed $400 million, (iii) the value of eligible machinery and equipment, and (iv) certain cash in an amount not to exceed $275 million. To the extent that our eligible accounts receivable, inventory and other components of the borrowing base decline in value, our borrowing base will decrease and the availability under the facility may decrease below $2.75 billion. In addition, if the amount of outstanding borrowings and letters of credit under the facility exceeds the borrowing base, we would be required to prepay borrowings and/or cash collateralize letters of credit sufficient to eliminate the excess. As of December 31, 2022, our borrowing base was above the facility's stated amount of $2.75 billion.</w:t>
      </w:r>
    </w:p>
    <w:p>
      <w:pPr>
        <w:spacing w:after="0" w:line="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facility contains covenants that, among other things, limit our ability and the ability of certain of our subsidiaries to (i) incur additional debt or issue redeemable preferred stock, (ii) pay dividends, repurchase shares or make certain other restricted payments or investments, (iii) incur liens, (iv) sell assets,</w:t>
      </w:r>
    </w:p>
    <w:p>
      <w:pPr>
        <w:spacing w:after="0" w:line="1" w:lineRule="exact"/>
        <w:rPr>
          <w:sz w:val="20"/>
          <w:szCs w:val="20"/>
          <w:color w:val="auto"/>
        </w:rPr>
      </w:pPr>
    </w:p>
    <w:p>
      <w:pPr>
        <w:jc w:val="both"/>
        <w:ind w:firstLine="8"/>
        <w:spacing w:after="0" w:line="252" w:lineRule="auto"/>
        <w:tabs>
          <w:tab w:leader="none" w:pos="25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restrictions on the ability of our subsidiaries to pay dividends or to make other payments to us, (vi) enter into affiliate transactions, (vii) engage in sale and leaseback transactions, and (viii) consolidate, merge, sell or otherwise dispose of all or substantially all of our assets. These covenants are subject to significant exceptions and qualifications. In addition, in the event that the availability under the facility plus the aggregate amount of our Available Cash is less than $275 million, we will not be permitted to allow our ratio of EBITDA to Consolidated Interest Expense to be less than 2.0 to 1.0 for any period of four consecutive fiscal quarters. “Available Cash,” “EBITDA” and “Consolidated Interest Expense” have the meanings given them in the facility.</w:t>
      </w:r>
    </w:p>
    <w:p>
      <w:pPr>
        <w:spacing w:after="0" w:line="8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material adverse change in our business or financial condition since December 31, 2020. The facility also has customary defaults, including a cross-default to material indebtedness of Goodyear and our subsidiaries.</w:t>
      </w:r>
    </w:p>
    <w:p>
      <w:pPr>
        <w:spacing w:after="0" w:line="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Available Cash (as defined in the facility) plus the availability under the facility is greater than $750 million, amounts drawn under the facility will bear interest, at our option, at (i) 125 basis points over SOFR or (ii) 25 basis points over an alternate base rate (the higher of (a) the prime rate, (b) the federal funds effective rate or the overnight bank funding rate plus 50 basis points or (c) SOFR for a one month interest period plus 100 basis points). If Available Cash plus the availability under the facility is equal to or less than $750 million, then amounts drawn under the facility will bear interest, at our option, at (i) 150 basis points over SOFR or (ii) 50 basis points over an alternate base rate. Undrawn amounts under the facility will be subject to an annual commitment fee of 25 basis points.</w:t>
      </w:r>
    </w:p>
    <w:p>
      <w:pPr>
        <w:spacing w:after="0" w:line="7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At December 31, 2022, we had no borrowings and $3 million of letters of credit issued under the revolving credit facility. At December 31, 2021, we had no borrowings and $19 million of letters of credit issued under the revolving credit facility.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€800 million Amended and Restated Senior Secured European Revolving Credit Facility due 2028</w:t>
      </w:r>
    </w:p>
    <w:p>
      <w:pPr>
        <w:spacing w:after="0" w:line="11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On October 12, 2022, we amended and restated our European revolving credit facility. Significant changes to the European revolving credit facility include extending the maturity to January 14, 2028 and changing the base interest rate for loans denominated in U.S. dollars from LIBOR to SOFR.</w:t>
      </w:r>
    </w:p>
    <w:p>
      <w:pPr>
        <w:spacing w:after="0" w:line="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European revolving credit facility consists of (i) a €180 million German tranche that is available only to Goodyear Germany GmbH and (ii) a €620 million all-borrower tranche that is available to GEBV, Goodyear Germany and Goodyear Operations S.A. Up to €175 million of swingline loans and €75 million in letters of credit are available for issuance under the all-borrower tranche. Subject to the consent of the lenders whose commitments are to be increased, we may request that the facility be increased by up to €200 million. Amounts drawn under this facility will bear interest at SOFR plus 150 basis points for loans denominated in U.S. dollars, EURIBOR plus 150 basis points for loans denominated in euros, and SONIA plus 150 basis points for loans denominated in pounds sterling. Undrawn amounts under the facility are subject to an annual commitment fee of 25 basis points.</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GEBV and certain of its subsidiaries in the United Kingdom, Luxembourg, France and Germany provide guarantees to support the facility. GEBV’s obligations under the facility and the obligations of its subsidiaries under the related guarantees are secured by security interests in collateral that includes, subject to certain exceptions:</w:t>
      </w:r>
    </w:p>
    <w:p>
      <w:pPr>
        <w:spacing w:after="0" w:line="69" w:lineRule="exact"/>
        <w:rPr>
          <w:sz w:val="20"/>
          <w:szCs w:val="20"/>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stock of the principal subsidiaries of GEBV; and</w:t>
      </w:r>
    </w:p>
    <w:p>
      <w:pPr>
        <w:spacing w:after="0" w:line="116" w:lineRule="exact"/>
        <w:rPr>
          <w:rFonts w:ascii="Times New Roman" w:cs="Times New Roman" w:eastAsia="Times New Roman" w:hAnsi="Times New Roman"/>
          <w:sz w:val="18"/>
          <w:szCs w:val="18"/>
          <w:color w:val="auto"/>
        </w:rPr>
      </w:pPr>
    </w:p>
    <w:p>
      <w:pPr>
        <w:jc w:val="both"/>
        <w:ind w:left="760" w:right="20" w:hanging="378"/>
        <w:spacing w:after="0" w:line="265"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the tangible and intangible assets of GEBV and certain of its subsidiaries in the United Kingdom, Luxembourg, France and Germany, including real property, equipment, inventory, contract rights, intercompany receivables and cash accounts, but excluding accounts receivable and certain cash accounts in subsidiaries that are or may become parties to securitization or factoring transactions.</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German guarantors secure the German tranche on a first-lien basis and the all-borrower tranche on a second-lien basis. GEBV and its other subsidiaries that provide guarantees secure the all-borrower tranche on a first-lien basis and generally do not provide collateral support for the German tranche. The Company and its U.S. and Canadian subsidiaries that guarantee our U.S. first lien revolving credit facility described above also provide unsecured guarantees in support of the facility.</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facility contains covenants similar to those in our first lien revolving credit facility, with additional limitations applicable to GEBV and its subsidiaries. In addition, under the facility, GEBV’s ratio of Consolidated Net GEBV Indebtedness to Consolidated GEBV EBITDA for a period of four consecutive fiscal quarters is not permitted to be greater than 3.0 to 1.0 at the end of any fiscal quarter. “Consolidated Net GEBV Indebtedness” and “Consolidated GEBV EBITDA” have the meanings given them in the facility.</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2021. The facility also has customary defaults, including a cross-default to material indebtedness of Goodyear and our subsidiaries.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At December 31, 2022, there were no borrowings outstanding under the German tranche, $374 million (€350 million) of borrowings outstanding under the all-borrower tranche and no letters of credit outstanding under the European revolving credit facility. At December 31, 2021, we had no borrowings and no letters of credit outstanding under the European revolving credit facility.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Facilities (On-Balance Sheet)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GEBV and certain other of our European subsidiaries are parties to a pan-European accounts receivable securitization facility that expires in 2027. The terms of the facility provide the flexibility to designate annually the maximum amount of funding available under the facility in an amount of not less than €30 million and not more than €450 million. For the period from October 19, 2021 through October 19, 2022, the designated maximum amount of the facility was €300 million. For the period from October 20, 2022 through October 18, 2023, the designated maximum amount of the facility remains at €300 million.</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facility involves an ongoing daily sale of substantially all of the trade accounts receivable of certain GEBV subsidiaries. These subsidiaries retain servicing responsibilities. Utilization under this facility is based on eligible receivable balances.</w:t>
      </w:r>
    </w:p>
    <w:p>
      <w:pPr>
        <w:spacing w:after="0" w:line="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funding commitments under the facility will expire upon the earliest to occur of: (a) October 19, 2027,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first lien revolving credit facility; certain tax law changes; or certain changes to law, regulation or accounting standards), or (d) our request for early termination of the facility. The facility’s current back-up liquidity commitments will expire on October 18, 2023.</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At December 31, 2022, the amounts available and utilized under this program totaled $267 million (€250 million). At December 31, 2021, the amounts available and utilized under this program totaled $279 million (€246 million). The program does not qualify for sale accounting, and accordingly, these amounts are included in Long Term Debt and Finance Leases.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Factoring Facilities (Off-Balance Sheet)</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sold certain of our trade receivables under off-balance sheet programs. For these programs, we have concluded that there is generally no risk of loss to us from non-payment of the sold receivables. At December 31, 2022, the gross amount of receivables sold was $744 million, compared to $605 million at December 31, 2021. The increase from December 31, 2021 is primarily due to an increase in our accounts receivable as a result of higher sales prices.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Foreign Credit Facilities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Mexican subsidiary and a U.S. subsidiary have a revolving credit facility in Mexico. At December 31, 2022, the amounts available and utilized under this facility were $200 million. At December 31, 2021, the amounts available and utilized under this facility were $200 million and $158 million, respectively. The facility ultimately matures on November 22, 2024, has covenants relating to the Mexican and U.S. subsidiaries, and has customary representations and warranties and defaults relating to the Mexican and U.S. subsidiaries' ability to perform their respective obligations under the facility. As of December 31, 2022, SOFR has replaced LIBOR as the base interest rate for all tranches of loans under this facility.</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Chinese subsidiaries have several financing arrangements in China. These facilities contain covenants relating to these Chinese subsidiaries and have customary representations and warranties and defaults relating to these Chinese subsidiaries' ability to perform their respective obligations under these facilities. These facilities are also available for other off-balance sheet utilization, such as letters of credit and bank acceptances.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total amounts available and utilized under the Chinese financing arrangements: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74"/>
        </w:trPr>
        <w:tc>
          <w:tcPr>
            <w:tcW w:w="7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available</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852</w:t>
            </w:r>
          </w:p>
        </w:tc>
        <w:tc>
          <w:tcPr>
            <w:tcW w:w="1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1,033</w:t>
            </w:r>
          </w:p>
        </w:tc>
      </w:tr>
      <w:tr>
        <w:trPr>
          <w:trHeight w:val="221"/>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utilized:</w:t>
            </w: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47"/>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Notes Payable and Overdrafts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26</w:t>
            </w: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37</w:t>
            </w:r>
          </w:p>
        </w:tc>
      </w:tr>
      <w:tr>
        <w:trPr>
          <w:trHeight w:val="238"/>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 Term Debt due Within One Year</w:t>
            </w:r>
          </w:p>
        </w:tc>
        <w:tc>
          <w:tcPr>
            <w:tcW w:w="320" w:type="dxa"/>
            <w:vAlign w:val="bottom"/>
          </w:tcPr>
          <w:p>
            <w:pPr>
              <w:spacing w:after="0"/>
              <w:rPr>
                <w:sz w:val="20"/>
                <w:szCs w:val="20"/>
                <w:color w:val="auto"/>
              </w:rPr>
            </w:pPr>
          </w:p>
        </w:tc>
        <w:tc>
          <w:tcPr>
            <w:tcW w:w="1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124</w:t>
            </w:r>
          </w:p>
        </w:tc>
      </w:tr>
      <w:tr>
        <w:trPr>
          <w:trHeight w:val="247"/>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Long Term Debt</w:t>
            </w:r>
          </w:p>
        </w:tc>
        <w:tc>
          <w:tcPr>
            <w:tcW w:w="32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209</w:t>
            </w:r>
          </w:p>
        </w:tc>
      </w:tr>
      <w:tr>
        <w:trPr>
          <w:trHeight w:val="238"/>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Letters of credit, bank acceptances and other utilization</w:t>
            </w: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41</w:t>
            </w:r>
          </w:p>
        </w:tc>
      </w:tr>
      <w:tr>
        <w:trPr>
          <w:trHeight w:val="278"/>
        </w:trPr>
        <w:tc>
          <w:tcPr>
            <w:tcW w:w="7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utilized</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336</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411</w:t>
            </w:r>
          </w:p>
        </w:tc>
      </w:tr>
      <w:tr>
        <w:trPr>
          <w:trHeight w:val="225"/>
        </w:trPr>
        <w:tc>
          <w:tcPr>
            <w:tcW w:w="7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43"/>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Maturities</w:t>
            </w:r>
          </w:p>
        </w:tc>
        <w:tc>
          <w:tcPr>
            <w:tcW w:w="32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1/23-8/25</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1/22-6/24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5750560</wp:posOffset>
            </wp:positionH>
            <wp:positionV relativeFrom="paragraph">
              <wp:posOffset>-1292225</wp:posOffset>
            </wp:positionV>
            <wp:extent cx="111125" cy="17970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-333375</wp:posOffset>
            </wp:positionV>
            <wp:extent cx="111125" cy="17970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11125" cy="179705"/>
                    </a:xfrm>
                    <a:prstGeom prst="rect">
                      <a:avLst/>
                    </a:prstGeom>
                    <a:noFill/>
                  </pic:spPr>
                </pic:pic>
              </a:graphicData>
            </a:graphic>
          </wp:anchor>
        </w:drawing>
      </w:r>
    </w:p>
    <w:p>
      <w:pPr>
        <w:spacing w:after="0" w:line="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Certain of these facilities can only be used to finance the expansion of one of our manufacturing facilities in China and, at December 31, 2022 and December 31, 2021, the unused amounts available under these facilities were $63 million and $81 million, respectively.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Maturities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annual aggregate maturities of our debt (excluding the impact of deferred financing fees, unamortized discounts and the fair value step-up related to the Cooper Tire acquisition), finance leases and notes payable and overdrafts for the five years subsequent to December 31, 2022 are presented below. Maturities of debt credit agreements have been reported on the basis that the commitments to lend under these agreements will be terminated effective at the end of their current terms.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2027</w:t>
            </w:r>
          </w:p>
        </w:tc>
      </w:tr>
      <w:tr>
        <w:trPr>
          <w:trHeight w:val="23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899</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816</w:t>
            </w:r>
          </w:p>
        </w:tc>
      </w:tr>
      <w:tr>
        <w:trPr>
          <w:trHeight w:val="24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617</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280</w:t>
            </w:r>
          </w:p>
        </w:tc>
      </w:tr>
      <w:tr>
        <w:trPr>
          <w:trHeight w:val="274"/>
        </w:trPr>
        <w:tc>
          <w:tcPr>
            <w:tcW w:w="390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621</w:t>
            </w:r>
          </w:p>
        </w:tc>
        <w:tc>
          <w:tcPr>
            <w:tcW w:w="14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583</w:t>
            </w:r>
          </w:p>
        </w:tc>
        <w:tc>
          <w:tcPr>
            <w:tcW w:w="1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974</w:t>
            </w:r>
          </w:p>
        </w:tc>
        <w:tc>
          <w:tcPr>
            <w:tcW w:w="1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912</w:t>
            </w:r>
          </w:p>
        </w:tc>
        <w:tc>
          <w:tcPr>
            <w:tcW w:w="14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1,096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3352800</wp:posOffset>
            </wp:positionH>
            <wp:positionV relativeFrom="paragraph">
              <wp:posOffset>-24765</wp:posOffset>
            </wp:positionV>
            <wp:extent cx="939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3352800</wp:posOffset>
            </wp:positionH>
            <wp:positionV relativeFrom="paragraph">
              <wp:posOffset>-7620</wp:posOffset>
            </wp:positionV>
            <wp:extent cx="939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-24765</wp:posOffset>
            </wp:positionV>
            <wp:extent cx="8572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-7620</wp:posOffset>
            </wp:positionV>
            <wp:extent cx="8572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-24765</wp:posOffset>
            </wp:positionV>
            <wp:extent cx="8572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-7620</wp:posOffset>
            </wp:positionV>
            <wp:extent cx="8572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8572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8572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Currency Contracts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 into foreign currency contracts in order to manage the impact of changes in foreign exchange rates on our consolidated results of operations and future foreign currency-denominated cash flows. These contracts may be used to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fair values for foreign currency hedge contracts that do not meet the criteria to be accounted for as cash flow hedging instruments: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128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Values — Current asset (liability):</w:t>
            </w:r>
          </w:p>
        </w:tc>
        <w:tc>
          <w:tcPr>
            <w:tcW w:w="12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1280" w:type="dxa"/>
            <w:vAlign w:val="bottom"/>
          </w:tcPr>
          <w:p>
            <w:pPr>
              <w:jc w:val="right"/>
              <w:ind w:right="110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9</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8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r>
    </w:tbl>
    <w:p>
      <w:pPr>
        <w:spacing w:after="0" w:line="1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At December 31, 2022 and 2021, these outstanding foreign currency derivatives had notional amounts of $1,197 million and $993 million, respectively, and were primarily related to intercompany loans. Other (Income) Expense included net transaction gains on derivatives of $34 million in 2022 and net transaction gains on derivatives of $35 million in 2021. These amounts were substantially offset in Other (Income) Expense by the effect of changing exchange rates on the underlying currency exposures.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fair values for foreign currency hedge contracts that meet the criteria to be accounted for as cash flow hedging instruments: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1320" w:type="dxa"/>
            <w:vAlign w:val="bottom"/>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2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Values — Current asset (liability):</w:t>
            </w:r>
          </w:p>
        </w:tc>
        <w:tc>
          <w:tcPr>
            <w:tcW w:w="13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1320" w:type="dxa"/>
            <w:vAlign w:val="bottom"/>
          </w:tcPr>
          <w:p>
            <w:pPr>
              <w:jc w:val="right"/>
              <w:ind w:right="114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32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bl>
    <w:p>
      <w:pPr>
        <w:spacing w:after="0" w:line="10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At December 31, 2022 and 2021, these outstanding foreign currency derivatives had notional amounts of $71 million and $63 million, respectively, and primarily related to U.S. dollar denominated intercompany transactions. Based on our current forecasts, we believe that it is probable that the underlying hedge transactions will occur within an appropriate time frame in order to continue to qualify for cash flow hedge accounting treatment.</w:t>
      </w:r>
    </w:p>
    <w:p>
      <w:pPr>
        <w:spacing w:after="0" w:line="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enter into master netting agreements with counterparties. The amounts eligible for offset under the master netting agreements are not material and we have elected a gross presentation of foreign currency contracts in the Consolidated Balance Sheets.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classification of changes in fair values of foreign currency contracts that meet the criteria to be accounted for as cash flow hedging instruments (before tax and minority):</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69"/>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Amount of gains deferred to AOCL</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amounts recognized in CGS</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estimated deferred gains at December 31, 2022 that are expected to be reclassified to earnings within the next twelve months.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counterparties to our foreign currency contracts were considered by us to be substantial and creditworthy financial institutions that were recognized market makers at the time we entered into those contracts. We seek to control our credit exposure to these counterparties by diversifying across multiple counterparties, by setting counterparty credit limits based on long term credit ratings and other indicators of counterparty credit risk such as credit default swap spreads, and by monitoring the financial strength of these counterparties on a regular basis. We also enter into master netting agreements with counterparties when possible. By controlling and monitoring exposure to counterparties in this manner, we believe that we effectively manage the risk of loss due to nonperformance by a counterparty. However, the inability of a counterparty to fulfill its contractual obligations to us could have a material adverse effect on our liquidity, financial position or results of operations in the period in which it occurs.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assets and liabilities recorded at fair value on the Consolidated Balance Sheet at December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4"/>
            <w:vMerge w:val="restart"/>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Total Carrying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4"/>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gridSpan w:val="3"/>
            <w:vMerge w:val="restart"/>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4"/>
          </w:tcPr>
          <w:p>
            <w:pPr>
              <w:jc w:val="center"/>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jc w:val="center"/>
              <w:ind w:left="299"/>
              <w:spacing w:after="0" w:line="149" w:lineRule="exact"/>
              <w:rPr>
                <w:sz w:val="20"/>
                <w:szCs w:val="20"/>
                <w:color w:val="auto"/>
              </w:rPr>
            </w:pPr>
            <w:r>
              <w:rPr>
                <w:rFonts w:ascii="Times New Roman" w:cs="Times New Roman" w:eastAsia="Times New Roman" w:hAnsi="Times New Roman"/>
                <w:sz w:val="14"/>
                <w:szCs w:val="14"/>
                <w:b w:val="1"/>
                <w:bCs w:val="1"/>
                <w:color w:val="auto"/>
              </w:rPr>
              <w:t>Value in the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jc w:val="cente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4"/>
          </w:tcPr>
          <w:p>
            <w:pPr>
              <w:jc w:val="center"/>
              <w:ind w:left="122"/>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4"/>
          </w:tcPr>
          <w:p>
            <w:pPr>
              <w:jc w:val="center"/>
              <w:ind w:right="233"/>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4"/>
          </w:tcPr>
          <w:p>
            <w:pPr>
              <w:jc w:val="center"/>
              <w:ind w:right="193"/>
              <w:spacing w:after="0" w:line="149" w:lineRule="exact"/>
              <w:rPr>
                <w:sz w:val="20"/>
                <w:szCs w:val="20"/>
                <w:color w:val="auto"/>
              </w:rPr>
            </w:pPr>
            <w:r>
              <w:rPr>
                <w:rFonts w:ascii="Times New Roman" w:cs="Times New Roman" w:eastAsia="Times New Roman" w:hAnsi="Times New Roman"/>
                <w:sz w:val="14"/>
                <w:szCs w:val="14"/>
                <w:b w:val="1"/>
                <w:bCs w:val="1"/>
                <w:color w:val="auto"/>
              </w:rPr>
              <w:t>Assets/Liabilities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3"/>
          </w:tcPr>
          <w:p>
            <w:pPr>
              <w:jc w:val="center"/>
              <w:ind w:right="25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lef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4"/>
                <w:szCs w:val="14"/>
                <w:color w:val="auto"/>
              </w:rPr>
            </w:pPr>
          </w:p>
        </w:tc>
        <w:tc>
          <w:tcPr>
            <w:tcW w:w="76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13</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5</w:t>
            </w:r>
          </w:p>
        </w:tc>
        <w:tc>
          <w:tcPr>
            <w:tcW w:w="70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w:t>
            </w:r>
          </w:p>
        </w:tc>
        <w:tc>
          <w:tcPr>
            <w:tcW w:w="66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13</w:t>
            </w:r>
          </w:p>
        </w:tc>
        <w:tc>
          <w:tcPr>
            <w:tcW w:w="70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66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8"/>
        </w:trPr>
        <w:tc>
          <w:tcPr>
            <w:tcW w:w="3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top w:val="single" w:sz="8" w:color="auto"/>
              <w:bottom w:val="single" w:sz="8" w:color="auto"/>
            </w:tcBorders>
            <w:shd w:val="clear" w:color="auto" w:fill="CFF0FC"/>
          </w:tcPr>
          <w:p>
            <w:pPr>
              <w:jc w:val="right"/>
              <w:ind w:right="36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top w:val="single" w:sz="8" w:color="auto"/>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2531110</wp:posOffset>
            </wp:positionH>
            <wp:positionV relativeFrom="paragraph">
              <wp:posOffset>-684530</wp:posOffset>
            </wp:positionV>
            <wp:extent cx="76835" cy="18859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-684530</wp:posOffset>
            </wp:positionV>
            <wp:extent cx="76835" cy="18859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-684530</wp:posOffset>
            </wp:positionV>
            <wp:extent cx="68580" cy="18859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-684530</wp:posOffset>
            </wp:positionV>
            <wp:extent cx="68580" cy="18859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-684530</wp:posOffset>
            </wp:positionV>
            <wp:extent cx="68580" cy="18859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-684530</wp:posOffset>
            </wp:positionV>
            <wp:extent cx="68580" cy="18859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-684530</wp:posOffset>
            </wp:positionV>
            <wp:extent cx="68580" cy="18859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2531110</wp:posOffset>
            </wp:positionH>
            <wp:positionV relativeFrom="paragraph">
              <wp:posOffset>-24765</wp:posOffset>
            </wp:positionV>
            <wp:extent cx="7683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2531110</wp:posOffset>
            </wp:positionH>
            <wp:positionV relativeFrom="paragraph">
              <wp:posOffset>-7620</wp:posOffset>
            </wp:positionV>
            <wp:extent cx="7683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-24765</wp:posOffset>
            </wp:positionV>
            <wp:extent cx="7683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-7620</wp:posOffset>
            </wp:positionV>
            <wp:extent cx="7683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-24765</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-7620</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-24765</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-7620</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-24765</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-7620</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-24765</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-7620</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-24765</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-7620</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table presents supplemental fair value information about long term fixed rate and variable rate debt, excluding finance leases, at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766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b w:val="1"/>
                <w:bCs w:val="1"/>
                <w:color w:val="auto"/>
              </w:rPr>
              <w:t>Fixed Rate Debt</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5,766</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5,781</w:t>
            </w: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5,198</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6,149</w:t>
            </w:r>
          </w:p>
        </w:tc>
      </w:tr>
      <w:tr>
        <w:trPr>
          <w:trHeight w:val="243"/>
        </w:trPr>
        <w:tc>
          <w:tcPr>
            <w:tcW w:w="76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Variable Rate Debt</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1,474</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955</w:t>
            </w:r>
          </w:p>
        </w:tc>
      </w:tr>
      <w:tr>
        <w:trPr>
          <w:trHeight w:val="234"/>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260" w:type="dxa"/>
            <w:vAlign w:val="bottom"/>
          </w:tcPr>
          <w:p>
            <w:pPr>
              <w:spacing w:after="0"/>
              <w:rPr>
                <w:sz w:val="20"/>
                <w:szCs w:val="20"/>
                <w:color w:val="auto"/>
              </w:rPr>
            </w:pPr>
          </w:p>
        </w:tc>
        <w:tc>
          <w:tcPr>
            <w:tcW w:w="1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1,437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955</w:t>
            </w:r>
          </w:p>
        </w:tc>
      </w:tr>
    </w:tbl>
    <w:p>
      <w:pPr>
        <w:spacing w:after="0" w:line="112" w:lineRule="exact"/>
        <w:rPr>
          <w:sz w:val="20"/>
          <w:szCs w:val="20"/>
          <w:color w:val="auto"/>
        </w:rPr>
      </w:pPr>
    </w:p>
    <w:p>
      <w:pPr>
        <w:jc w:val="both"/>
        <w:ind w:left="760" w:hanging="752"/>
        <w:spacing w:after="0" w:line="265"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Notes Payable and Overdrafts of $395 million and $406 million at December 31, 2022 and 2021, respectively, of which $217 million and $227 million, respectively, are at fixed rates and $178 million and $179 million, respectively, are at variable rates. The carrying value of Notes Payable and Overdrafts approximates fair value due to the short term nature of the facilities.</w:t>
      </w:r>
    </w:p>
    <w:p>
      <w:pPr>
        <w:spacing w:after="0" w:line="6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Long term debt with fair values of $4,946 million and $5,905 million at December 31, 2022 and 2021, respectively, were estimated using quoted Level 1 market prices. The carrying value of the remaining debt was based upon internal estimates of fair value derived from market prices for similar debt.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Pension, Other Postretirement Benefits and Savings Plans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employees with defined benefit pension or defined contribution savings plans. Our hourly U.S. pension plans are frozen, except for certain grandfathered participants in the Cooper Tire hourly pension plans who continue to accrue benefits, and provide benefits based on length of service. The principal salaried U.S. pension plans are frozen and provide benefits based on compensation and length of service. Salaried employees who made voluntary contributions to these plans receive higher benefits. We also provide certain U.S. employees and employees at certain non-U.S. subsidiaries with health care benefits or life insurance benefits upon retirement. Substantial portions of retiree health care benefits are not insured and are funded from operations.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During 2022, we communicated the termination of the Cooper Tire U.S. salaried defined benefit pension plan, which was frozen in 2009, to applicable participants. The termination of the plan, which had $380 million in assets and $375 million in estimated obligations on a termination accounting basis as of December 31, 2022, is expected to be completed in the first half of 2023.</w:t>
      </w:r>
    </w:p>
    <w:p>
      <w:pPr>
        <w:spacing w:after="0" w:line="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During 2022, we recognized settlement charges of $124 million in Other (Income) Expense, primarily related to our U.S. pension plans. The settlement charges resulted from total lump sum payments exceeding annual service and interest cost of the applicable plans.</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During 2021, we recognized settlement charges of $43 million in Other (Income) Expense, primarily related to our salaried U.S pension plans. The settlement charges resulted from total lump sum payments exceeding annual service and interest cost of the applicable plans.</w:t>
      </w:r>
    </w:p>
    <w:p>
      <w:pPr>
        <w:spacing w:after="0" w:line="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2020, we recognized settlement charges of $28 million, primarily related to certain of our salaried U.S. pension plans, of which $24 million was recognized in Other (Income) Expense and $4 million in Rationalizations, related to the exit of employees under approved rationalization plans. The settlement charges resulted from total lump sum payments exceeding annual service and interest cost of the applicable plans. In addition, we recognized a curtailment credit of $6 million in Other (Income) Expense during 2020, related to a freeze of one of our non-U.S. defined benefit pension plans.</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During 2020, we also recognized a curtailment credit of $4 million related to one of our Other Postretirement Benefits plans and a termination benefits charge of $5 million related to our hourly U.S. pension plan in Rationalizations, related to the exit of employees under approved rationalization plans.</w:t>
      </w:r>
    </w:p>
    <w:p>
      <w:pPr>
        <w:spacing w:after="0" w:line="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U.K. pension plan obligations include $21 million to recognize the estimated impact to our plans from court rulings in 2018 and later, involving a plan with similar features to ours that was sponsored by another company, that required equal guaranteed minimum pension benefits for males and females. The increases were primarily recognized in AOCL during 2018 as prior service cost from plan amendments. The actual impact to our U.K. pension plans is still subject to the finalization of plan amendments in response to the court rulings and potential future judicial decisions.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benefits cost and amounts recognized in other comprehensive (income) loss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Non-U.S.</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Borders>
              <w:bottom w:val="single" w:sz="8" w:color="auto"/>
            </w:tcBorders>
            <w:gridSpan w:val="8"/>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0" w:type="dxa"/>
            <w:vAlign w:val="bottom"/>
          </w:tcPr>
          <w:p>
            <w:pPr>
              <w:spacing w:after="0"/>
              <w:rPr>
                <w:sz w:val="1"/>
                <w:szCs w:val="1"/>
                <w:color w:val="auto"/>
              </w:rPr>
            </w:pPr>
          </w:p>
        </w:tc>
      </w:tr>
      <w:tr>
        <w:trPr>
          <w:trHeight w:val="169"/>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236"/>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Benefits cost (credit):</w:t>
            </w: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7"/>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losses</w:t>
            </w: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0"/>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Net periodic cost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46</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40</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63</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71</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3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curtailments/settlements/ termination benefits</w:t>
            </w: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0"/>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benefits cost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157</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55</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77</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40</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65</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67</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7"/>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Recognized in other comprehensive (income) loss before</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tax and minority:</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Prior service cost (credit) from plan amendments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increase in net actuarial losses</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7"/>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credit in net periodic cost</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losses in net periodic cost</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15"/>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Immediate recognition of prior service cost and unrecognized</w:t>
            </w:r>
          </w:p>
        </w:tc>
        <w:tc>
          <w:tcPr>
            <w:tcW w:w="120" w:type="dxa"/>
            <w:vAlign w:val="bottom"/>
            <w:shd w:val="clear" w:color="auto" w:fill="CFF0FC"/>
          </w:tcPr>
          <w:p>
            <w:pPr>
              <w:spacing w:after="0"/>
              <w:rPr>
                <w:sz w:val="18"/>
                <w:szCs w:val="18"/>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4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gains and losses due to curtailments and settlements</w:t>
            </w:r>
          </w:p>
        </w:tc>
        <w:tc>
          <w:tcPr>
            <w:tcW w:w="12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60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Total recognized in other comprehensive (income) loss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(318 )</w:t>
            </w:r>
          </w:p>
        </w:tc>
        <w:tc>
          <w:tcPr>
            <w:tcW w:w="100" w:type="dxa"/>
            <w:vAlign w:val="bottom"/>
            <w:vMerge w:val="restart"/>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(193 )</w:t>
            </w:r>
          </w:p>
        </w:tc>
        <w:tc>
          <w:tcPr>
            <w:tcW w:w="100" w:type="dxa"/>
            <w:vAlign w:val="bottom"/>
            <w:vMerge w:val="restart"/>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(27 )</w:t>
            </w:r>
          </w:p>
        </w:tc>
        <w:tc>
          <w:tcPr>
            <w:tcW w:w="100" w:type="dxa"/>
            <w:vAlign w:val="bottom"/>
            <w:vMerge w:val="restart"/>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(34 )</w:t>
            </w:r>
          </w:p>
        </w:tc>
        <w:tc>
          <w:tcPr>
            <w:tcW w:w="80" w:type="dxa"/>
            <w:vAlign w:val="bottom"/>
            <w:vMerge w:val="restart"/>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(170 )</w:t>
            </w:r>
          </w:p>
        </w:tc>
        <w:tc>
          <w:tcPr>
            <w:tcW w:w="80" w:type="dxa"/>
            <w:vAlign w:val="bottom"/>
            <w:vMerge w:val="restart"/>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(146 )</w:t>
            </w:r>
          </w:p>
        </w:tc>
        <w:tc>
          <w:tcPr>
            <w:tcW w:w="80" w:type="dxa"/>
            <w:vAlign w:val="bottom"/>
            <w:vMerge w:val="restart"/>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(102 )</w:t>
            </w:r>
          </w:p>
        </w:tc>
        <w:tc>
          <w:tcPr>
            <w:tcW w:w="80" w:type="dxa"/>
            <w:vAlign w:val="bottom"/>
            <w:vMerge w:val="restart"/>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(21 )</w:t>
            </w:r>
          </w:p>
        </w:tc>
        <w:tc>
          <w:tcPr>
            <w:tcW w:w="80" w:type="dxa"/>
            <w:vAlign w:val="bottom"/>
            <w:vMerge w:val="restart"/>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w:t>
            </w: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before tax and minority</w:t>
            </w:r>
          </w:p>
        </w:tc>
        <w:tc>
          <w:tcPr>
            <w:tcW w:w="12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52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50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0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600" w:type="dxa"/>
            <w:vAlign w:val="bottom"/>
            <w:shd w:val="clear" w:color="auto" w:fill="CFF0FC"/>
          </w:tcPr>
          <w:p>
            <w:pPr>
              <w:ind w:left="120"/>
              <w:spacing w:after="0" w:line="201" w:lineRule="exact"/>
              <w:rPr>
                <w:sz w:val="20"/>
                <w:szCs w:val="20"/>
                <w:color w:val="auto"/>
              </w:rPr>
            </w:pPr>
            <w:r>
              <w:rPr>
                <w:rFonts w:ascii="Times New Roman" w:cs="Times New Roman" w:eastAsia="Times New Roman" w:hAnsi="Times New Roman"/>
                <w:sz w:val="18"/>
                <w:szCs w:val="18"/>
                <w:b w:val="1"/>
                <w:bCs w:val="1"/>
                <w:color w:val="auto"/>
              </w:rPr>
              <w:t>Total recognized in total benefits cost and other</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(161 )</w:t>
            </w:r>
          </w:p>
        </w:tc>
        <w:tc>
          <w:tcPr>
            <w:tcW w:w="100" w:type="dxa"/>
            <w:vAlign w:val="bottom"/>
            <w:vMerge w:val="restart"/>
            <w:shd w:val="clear" w:color="auto" w:fill="CFF0FC"/>
          </w:tcPr>
          <w:p>
            <w:pPr>
              <w:spacing w:after="0"/>
              <w:rPr>
                <w:sz w:val="17"/>
                <w:szCs w:val="17"/>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(138 )</w:t>
            </w:r>
          </w:p>
        </w:tc>
        <w:tc>
          <w:tcPr>
            <w:tcW w:w="100" w:type="dxa"/>
            <w:vAlign w:val="bottom"/>
            <w:vMerge w:val="restart"/>
            <w:shd w:val="clear" w:color="auto" w:fill="CFF0FC"/>
          </w:tcPr>
          <w:p>
            <w:pPr>
              <w:spacing w:after="0"/>
              <w:rPr>
                <w:sz w:val="17"/>
                <w:szCs w:val="17"/>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vMerge w:val="restart"/>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vMerge w:val="restart"/>
            <w:shd w:val="clear" w:color="auto" w:fill="CFF0FC"/>
          </w:tcPr>
          <w:p>
            <w:pPr>
              <w:spacing w:after="0"/>
              <w:rPr>
                <w:sz w:val="17"/>
                <w:szCs w:val="17"/>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vMerge w:val="restart"/>
            <w:shd w:val="clear" w:color="auto" w:fill="CFF0FC"/>
          </w:tcPr>
          <w:p>
            <w:pPr>
              <w:spacing w:after="0"/>
              <w:rPr>
                <w:sz w:val="17"/>
                <w:szCs w:val="17"/>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(105 )</w:t>
            </w:r>
          </w:p>
        </w:tc>
        <w:tc>
          <w:tcPr>
            <w:tcW w:w="80" w:type="dxa"/>
            <w:vAlign w:val="bottom"/>
            <w:vMerge w:val="restart"/>
            <w:shd w:val="clear" w:color="auto" w:fill="CFF0FC"/>
          </w:tcPr>
          <w:p>
            <w:pPr>
              <w:spacing w:after="0"/>
              <w:rPr>
                <w:sz w:val="17"/>
                <w:szCs w:val="17"/>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(79 )</w:t>
            </w:r>
          </w:p>
        </w:tc>
        <w:tc>
          <w:tcPr>
            <w:tcW w:w="80" w:type="dxa"/>
            <w:vAlign w:val="bottom"/>
            <w:vMerge w:val="restart"/>
            <w:shd w:val="clear" w:color="auto" w:fill="CFF0FC"/>
          </w:tcPr>
          <w:p>
            <w:pPr>
              <w:spacing w:after="0"/>
              <w:rPr>
                <w:sz w:val="17"/>
                <w:szCs w:val="17"/>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(86 )</w:t>
            </w:r>
          </w:p>
        </w:tc>
        <w:tc>
          <w:tcPr>
            <w:tcW w:w="80" w:type="dxa"/>
            <w:vAlign w:val="bottom"/>
            <w:vMerge w:val="restart"/>
            <w:shd w:val="clear" w:color="auto" w:fill="CFF0FC"/>
          </w:tcPr>
          <w:p>
            <w:pPr>
              <w:spacing w:after="0"/>
              <w:rPr>
                <w:sz w:val="17"/>
                <w:szCs w:val="17"/>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(12 )</w:t>
            </w:r>
          </w:p>
        </w:tc>
        <w:tc>
          <w:tcPr>
            <w:tcW w:w="80" w:type="dxa"/>
            <w:vAlign w:val="bottom"/>
            <w:vMerge w:val="restart"/>
            <w:shd w:val="clear" w:color="auto" w:fill="CFF0FC"/>
          </w:tcPr>
          <w:p>
            <w:pPr>
              <w:spacing w:after="0"/>
              <w:rPr>
                <w:sz w:val="17"/>
                <w:szCs w:val="17"/>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251"/>
        </w:trPr>
        <w:tc>
          <w:tcPr>
            <w:tcW w:w="46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comprehensive (income) loss before tax and minority</w:t>
            </w: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54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vMerge w:val="continue"/>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56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vMerge w:val="continue"/>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58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vMerge w:val="continue"/>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56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vMerge w:val="continue"/>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54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vMerge w:val="continue"/>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52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vMerge w:val="continue"/>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50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vMerge w:val="continue"/>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54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vMerge w:val="continue"/>
            <w:shd w:val="clear" w:color="auto" w:fill="CFF0FC"/>
          </w:tcPr>
          <w:p>
            <w:pPr>
              <w:spacing w:after="0"/>
              <w:rPr>
                <w:sz w:val="21"/>
                <w:szCs w:val="21"/>
                <w:color w:val="auto"/>
              </w:rPr>
            </w:pPr>
          </w:p>
        </w:tc>
        <w:tc>
          <w:tcPr>
            <w:tcW w:w="100" w:type="dxa"/>
            <w:vAlign w:val="bottom"/>
            <w:tcBorders>
              <w:bottom w:val="single" w:sz="8" w:color="auto"/>
            </w:tcBorders>
            <w:vMerge w:val="continue"/>
            <w:shd w:val="clear" w:color="auto" w:fill="CFF0FC"/>
          </w:tcPr>
          <w:p>
            <w:pPr>
              <w:spacing w:after="0"/>
              <w:rPr>
                <w:sz w:val="21"/>
                <w:szCs w:val="21"/>
                <w:color w:val="auto"/>
              </w:rPr>
            </w:pPr>
          </w:p>
        </w:tc>
        <w:tc>
          <w:tcPr>
            <w:tcW w:w="540" w:type="dxa"/>
            <w:vAlign w:val="bottom"/>
            <w:tcBorders>
              <w:bottom w:val="single" w:sz="8" w:color="auto"/>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3344545</wp:posOffset>
            </wp:positionH>
            <wp:positionV relativeFrom="paragraph">
              <wp:posOffset>-589915</wp:posOffset>
            </wp:positionV>
            <wp:extent cx="59690" cy="2997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9690" cy="299720"/>
                    </a:xfrm>
                    <a:prstGeom prst="rect">
                      <a:avLst/>
                    </a:prstGeom>
                    <a:noFill/>
                  </pic:spPr>
                </pic:pic>
              </a:graphicData>
            </a:graphic>
          </wp:anchor>
        </w:drawing>
        <w:drawing>
          <wp:anchor simplePos="0" relativeHeight="251657728" behindDoc="1" locked="0" layoutInCell="0" allowOverlap="1">
            <wp:simplePos x="0" y="0"/>
            <wp:positionH relativeFrom="column">
              <wp:posOffset>3841115</wp:posOffset>
            </wp:positionH>
            <wp:positionV relativeFrom="paragraph">
              <wp:posOffset>-589915</wp:posOffset>
            </wp:positionV>
            <wp:extent cx="59690" cy="2997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9690" cy="299720"/>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-589915</wp:posOffset>
            </wp:positionV>
            <wp:extent cx="59690" cy="2997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9690" cy="299720"/>
                    </a:xfrm>
                    <a:prstGeom prst="rect">
                      <a:avLst/>
                    </a:prstGeom>
                    <a:noFill/>
                  </pic:spPr>
                </pic:pic>
              </a:graphicData>
            </a:graphic>
          </wp:anchor>
        </w:drawing>
        <w:drawing>
          <wp:anchor simplePos="0" relativeHeight="251657728" behindDoc="1" locked="0" layoutInCell="0" allowOverlap="1">
            <wp:simplePos x="0" y="0"/>
            <wp:positionH relativeFrom="column">
              <wp:posOffset>4834255</wp:posOffset>
            </wp:positionH>
            <wp:positionV relativeFrom="paragraph">
              <wp:posOffset>-589915</wp:posOffset>
            </wp:positionV>
            <wp:extent cx="59690" cy="2997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9690" cy="299720"/>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-589915</wp:posOffset>
            </wp:positionV>
            <wp:extent cx="51435" cy="2997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1435" cy="299720"/>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-589915</wp:posOffset>
            </wp:positionV>
            <wp:extent cx="51435" cy="29972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1435" cy="299720"/>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-589915</wp:posOffset>
            </wp:positionV>
            <wp:extent cx="51435" cy="2997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1435" cy="29972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-589915</wp:posOffset>
            </wp:positionV>
            <wp:extent cx="51435" cy="2997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1435" cy="299720"/>
                    </a:xfrm>
                    <a:prstGeom prst="rect">
                      <a:avLst/>
                    </a:prstGeom>
                    <a:noFill/>
                  </pic:spPr>
                </pic:pic>
              </a:graphicData>
            </a:graphic>
          </wp:anchor>
        </w:drawing>
        <w:drawing>
          <wp:anchor simplePos="0" relativeHeight="251657728" behindDoc="1" locked="0" layoutInCell="0" allowOverlap="1">
            <wp:simplePos x="0" y="0"/>
            <wp:positionH relativeFrom="column">
              <wp:posOffset>3344545</wp:posOffset>
            </wp:positionH>
            <wp:positionV relativeFrom="paragraph">
              <wp:posOffset>-24765</wp:posOffset>
            </wp:positionV>
            <wp:extent cx="596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3344545</wp:posOffset>
            </wp:positionH>
            <wp:positionV relativeFrom="paragraph">
              <wp:posOffset>-7620</wp:posOffset>
            </wp:positionV>
            <wp:extent cx="596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3841115</wp:posOffset>
            </wp:positionH>
            <wp:positionV relativeFrom="paragraph">
              <wp:posOffset>-24765</wp:posOffset>
            </wp:positionV>
            <wp:extent cx="596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3841115</wp:posOffset>
            </wp:positionH>
            <wp:positionV relativeFrom="paragraph">
              <wp:posOffset>-7620</wp:posOffset>
            </wp:positionV>
            <wp:extent cx="596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-24765</wp:posOffset>
            </wp:positionV>
            <wp:extent cx="596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-7620</wp:posOffset>
            </wp:positionV>
            <wp:extent cx="596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4834255</wp:posOffset>
            </wp:positionH>
            <wp:positionV relativeFrom="paragraph">
              <wp:posOffset>-24765</wp:posOffset>
            </wp:positionV>
            <wp:extent cx="596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4834255</wp:posOffset>
            </wp:positionH>
            <wp:positionV relativeFrom="paragraph">
              <wp:posOffset>-7620</wp:posOffset>
            </wp:positionV>
            <wp:extent cx="596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-24765</wp:posOffset>
            </wp:positionV>
            <wp:extent cx="5143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-7620</wp:posOffset>
            </wp:positionV>
            <wp:extent cx="5143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-24765</wp:posOffset>
            </wp:positionV>
            <wp:extent cx="5143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-7620</wp:posOffset>
            </wp:positionV>
            <wp:extent cx="5143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-24765</wp:posOffset>
            </wp:positionV>
            <wp:extent cx="5143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-7620</wp:posOffset>
            </wp:positionV>
            <wp:extent cx="5143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-24765</wp:posOffset>
            </wp:positionV>
            <wp:extent cx="5143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-7620</wp:posOffset>
            </wp:positionV>
            <wp:extent cx="5143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Service cost is recorded in CGS or SAG. Other components of net periodic cost are recorded in Other (Income) Expense. Net curtailments, settlements and termination benefits are recorded in Other (Income) Expense or Rationalizations if related to a rationalization plan.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 the fair value of pension assets in the calculation of pension expense for all plans.</w:t>
      </w:r>
    </w:p>
    <w:p>
      <w:pPr>
        <w:spacing w:after="0" w:line="1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Total benefits cost for our other postretirement benefits was $12 million, $5 million and $1 million for our U.S. plans in 2022, 2021 and 2020, respectively, and $4 million, $4 million and $0 million for our non-U.S. plans in 2022, 2021 and 2020, respectively.</w:t>
      </w:r>
    </w:p>
    <w:p>
      <w:pPr>
        <w:spacing w:after="0" w:line="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Medicare Prescription Drug Improvement and Modernization Act provides plan sponsors a federal subsidy for certain qualifying prescription drug benefits covered under the sponsor’s postretirement health care plans. Our other postretirement benefits cost is presented net of this subsidy, which is less than $1 million annually.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change in benefit obligation and plan assets for 2022 and 2021 and the amounts recognized in our Consolidated Balance Sheets at December 31, 2022 and 2021 are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69"/>
        </w:trPr>
        <w:tc>
          <w:tcPr>
            <w:tcW w:w="4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U.S.</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Non-U.S.</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169"/>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r>
      <w:tr>
        <w:trPr>
          <w:trHeight w:val="240"/>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(5,798 )</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(5,235 )</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(3,464 )</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(3,382 )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(406 )</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(236 )</w:t>
            </w:r>
          </w:p>
        </w:tc>
      </w:tr>
      <w:tr>
        <w:trPr>
          <w:trHeight w:val="245"/>
        </w:trPr>
        <w:tc>
          <w:tcPr>
            <w:tcW w:w="4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Service cost — benefits earned</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8"/>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47"/>
        </w:trPr>
        <w:tc>
          <w:tcPr>
            <w:tcW w:w="4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Plan amendments</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r>
      <w:tr>
        <w:trPr>
          <w:trHeight w:val="238"/>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Actuarial gain</w:t>
            </w:r>
          </w:p>
        </w:tc>
        <w:tc>
          <w:tcPr>
            <w:tcW w:w="24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881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r>
      <w:tr>
        <w:trPr>
          <w:trHeight w:val="247"/>
        </w:trPr>
        <w:tc>
          <w:tcPr>
            <w:tcW w:w="4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11"/>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Curtailments/settlements/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1"/>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 benefits</w:t>
            </w:r>
          </w:p>
        </w:tc>
        <w:tc>
          <w:tcPr>
            <w:tcW w:w="24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4260" w:type="dxa"/>
            <w:vAlign w:val="bottom"/>
            <w:shd w:val="clear" w:color="auto" w:fill="CFF0FC"/>
          </w:tcPr>
          <w:p>
            <w:pPr>
              <w:ind w:left="200"/>
              <w:spacing w:after="0" w:line="249" w:lineRule="exact"/>
              <w:rPr>
                <w:sz w:val="20"/>
                <w:szCs w:val="20"/>
                <w:color w:val="auto"/>
              </w:rPr>
            </w:pPr>
            <w:r>
              <w:rPr>
                <w:rFonts w:ascii="Times New Roman" w:cs="Times New Roman" w:eastAsia="Times New Roman" w:hAnsi="Times New Roman"/>
                <w:sz w:val="18"/>
                <w:szCs w:val="18"/>
                <w:color w:val="auto"/>
              </w:rPr>
              <w:t xml:space="preserve">Acquisition of Cooper Tire </w:t>
            </w:r>
            <w:r>
              <w:rPr>
                <w:rFonts w:ascii="Times New Roman" w:cs="Times New Roman" w:eastAsia="Times New Roman" w:hAnsi="Times New Roman"/>
                <w:sz w:val="24"/>
                <w:szCs w:val="24"/>
                <w:color w:val="auto"/>
                <w:vertAlign w:val="superscript"/>
              </w:rPr>
              <w:t>(1)</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(1,088 )</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(205 )</w:t>
            </w:r>
          </w:p>
        </w:tc>
      </w:tr>
      <w:tr>
        <w:trPr>
          <w:trHeight w:val="238"/>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4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Benefit payments</w:t>
            </w: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r>
      <w:tr>
        <w:trPr>
          <w:trHeight w:val="238"/>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(4,084 )</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(5,798 )</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(2,227 )</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(3,464 )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(292 )</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(406 )</w:t>
            </w:r>
          </w:p>
        </w:tc>
      </w:tr>
      <w:tr>
        <w:trPr>
          <w:trHeight w:val="245"/>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r>
      <w:tr>
        <w:trPr>
          <w:trHeight w:val="240"/>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5,720</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4,970</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3,272</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3,041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5"/>
        </w:trPr>
        <w:tc>
          <w:tcPr>
            <w:tcW w:w="4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(969 )</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(845 )</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 contributions to plan assets</w:t>
            </w:r>
          </w:p>
        </w:tc>
        <w:tc>
          <w:tcPr>
            <w:tcW w:w="24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funding of direct participant payments</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r>
      <w:tr>
        <w:trPr>
          <w:trHeight w:val="238"/>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4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r>
      <w:tr>
        <w:trPr>
          <w:trHeight w:val="247"/>
        </w:trPr>
        <w:tc>
          <w:tcPr>
            <w:tcW w:w="4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Settlements</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6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Acquisition of Cooper Tire </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Benefit payments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38"/>
        </w:trPr>
        <w:tc>
          <w:tcPr>
            <w:tcW w:w="42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4,174</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5,720</w:t>
            </w: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2,043</w:t>
            </w: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3,272</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Funded status at end of year</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90</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(78 )</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(184 )</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(292 )</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(406 )</w:t>
            </w:r>
          </w:p>
        </w:tc>
      </w:tr>
      <w:tr>
        <w:trPr>
          <w:trHeight w:val="20"/>
        </w:trPr>
        <w:tc>
          <w:tcPr>
            <w:tcW w:w="4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3404235</wp:posOffset>
            </wp:positionH>
            <wp:positionV relativeFrom="paragraph">
              <wp:posOffset>-2054225</wp:posOffset>
            </wp:positionV>
            <wp:extent cx="59690" cy="16256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-2054225</wp:posOffset>
            </wp:positionV>
            <wp:extent cx="59690" cy="16256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-2054225</wp:posOffset>
            </wp:positionV>
            <wp:extent cx="51435" cy="16256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-2054225</wp:posOffset>
            </wp:positionV>
            <wp:extent cx="51435" cy="16256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-2054225</wp:posOffset>
            </wp:positionV>
            <wp:extent cx="51435" cy="16256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3404235</wp:posOffset>
            </wp:positionH>
            <wp:positionV relativeFrom="paragraph">
              <wp:posOffset>-187960</wp:posOffset>
            </wp:positionV>
            <wp:extent cx="59690" cy="18859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-187960</wp:posOffset>
            </wp:positionV>
            <wp:extent cx="59690" cy="18859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-187960</wp:posOffset>
            </wp:positionV>
            <wp:extent cx="51435" cy="18859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-187960</wp:posOffset>
            </wp:positionV>
            <wp:extent cx="51435" cy="18859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18859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83" w:lineRule="exact"/>
        <w:rPr>
          <w:sz w:val="20"/>
          <w:szCs w:val="20"/>
          <w:color w:val="auto"/>
        </w:rPr>
      </w:pPr>
    </w:p>
    <w:p>
      <w:pPr>
        <w:ind w:left="760" w:hanging="752"/>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fair value of Cooper Tire related benefit plan obligations and plan assets as of the Closing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actuarial gains related to changes in benefit obligations for 2022 and 2021 primarily resulted from increases in discount rates.</w:t>
      </w:r>
    </w:p>
    <w:p>
      <w:pPr>
        <w:spacing w:after="0" w:line="11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Other postretirement benefits unfunded status was $205 million and $292 million for our U.S. plans at December 31, 2022 and 2021, respectively, and $87 million and $114 million for our non-U.S. plans at December 31, 2022 and 2021, respectively.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funded status at December 31 recognized in the Consolidated Balance Sheets consists of:</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Other Postretirement</w:t>
            </w:r>
          </w:p>
        </w:tc>
      </w:tr>
      <w:tr>
        <w:trPr>
          <w:trHeight w:val="169"/>
        </w:trPr>
        <w:tc>
          <w:tcPr>
            <w:tcW w:w="3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U.S.</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920" w:type="dxa"/>
            <w:vAlign w:val="bottom"/>
            <w:tcBorders>
              <w:bottom w:val="single" w:sz="8" w:color="auto"/>
            </w:tcBorders>
          </w:tcPr>
          <w:p>
            <w:pPr>
              <w:spacing w:after="0"/>
              <w:rPr>
                <w:sz w:val="14"/>
                <w:szCs w:val="14"/>
                <w:color w:val="auto"/>
              </w:rPr>
            </w:pPr>
          </w:p>
        </w:tc>
      </w:tr>
      <w:tr>
        <w:trPr>
          <w:trHeight w:val="169"/>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47"/>
        </w:trPr>
        <w:tc>
          <w:tcPr>
            <w:tcW w:w="3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(421 )</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(602 )</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(381 )</w:t>
            </w:r>
          </w:p>
        </w:tc>
      </w:tr>
      <w:tr>
        <w:trPr>
          <w:trHeight w:val="236"/>
        </w:trPr>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amount recognized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90</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(78 )</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(184 )</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(192 )</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(292 )</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(406 )</w:t>
            </w:r>
          </w:p>
        </w:tc>
      </w:tr>
      <w:tr>
        <w:trPr>
          <w:trHeight w:val="20"/>
        </w:trPr>
        <w:tc>
          <w:tcPr>
            <w:tcW w:w="3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628"/>
        </w:trPr>
        <w:tc>
          <w:tcPr>
            <w:tcW w:w="3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01"/>
        </w:trPr>
        <w:tc>
          <w:tcPr>
            <w:tcW w:w="38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3138805</wp:posOffset>
            </wp:positionH>
            <wp:positionV relativeFrom="paragraph">
              <wp:posOffset>-675640</wp:posOffset>
            </wp:positionV>
            <wp:extent cx="68580" cy="18859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-675640</wp:posOffset>
            </wp:positionV>
            <wp:extent cx="68580" cy="18859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-675640</wp:posOffset>
            </wp:positionV>
            <wp:extent cx="59690" cy="18859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-675640</wp:posOffset>
            </wp:positionV>
            <wp:extent cx="59690" cy="18859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-675640</wp:posOffset>
            </wp:positionV>
            <wp:extent cx="59690" cy="18859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recorded in AOCL at December 31, net of tax and minority interest, consist of:</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Other Postretirement</w:t>
            </w:r>
          </w:p>
        </w:tc>
      </w:tr>
      <w:tr>
        <w:trPr>
          <w:trHeight w:val="169"/>
        </w:trPr>
        <w:tc>
          <w:tcPr>
            <w:tcW w:w="3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U.S.</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Non-U.S.</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920" w:type="dxa"/>
            <w:vAlign w:val="bottom"/>
            <w:tcBorders>
              <w:bottom w:val="single" w:sz="8" w:color="auto"/>
            </w:tcBorders>
          </w:tcPr>
          <w:p>
            <w:pPr>
              <w:spacing w:after="0"/>
              <w:rPr>
                <w:sz w:val="14"/>
                <w:szCs w:val="14"/>
                <w:color w:val="auto"/>
              </w:rPr>
            </w:pPr>
          </w:p>
        </w:tc>
      </w:tr>
      <w:tr>
        <w:trPr>
          <w:trHeight w:val="169"/>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Prior service (credit) cost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actuarial loss (gain)</w:t>
            </w: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2,160</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r>
      <w:tr>
        <w:trPr>
          <w:trHeight w:val="236"/>
        </w:trPr>
        <w:tc>
          <w:tcPr>
            <w:tcW w:w="3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Gross amount recorded</w:t>
            </w:r>
          </w:p>
        </w:tc>
        <w:tc>
          <w:tcPr>
            <w:tcW w:w="2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1,839</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2,157</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457</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491</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3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47"/>
        </w:trPr>
        <w:tc>
          <w:tcPr>
            <w:tcW w:w="3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Minority shareholders’ equity</w:t>
            </w:r>
          </w:p>
        </w:tc>
        <w:tc>
          <w:tcPr>
            <w:tcW w:w="2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amount recorded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1,920</w:t>
            </w:r>
          </w:p>
        </w:tc>
        <w:tc>
          <w:tcPr>
            <w:tcW w:w="4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2,160</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394</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426</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(99 )</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(21 )</w:t>
            </w:r>
          </w:p>
        </w:tc>
      </w:tr>
      <w:tr>
        <w:trPr>
          <w:trHeight w:val="20"/>
        </w:trPr>
        <w:tc>
          <w:tcPr>
            <w:tcW w:w="3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3147695</wp:posOffset>
            </wp:positionH>
            <wp:positionV relativeFrom="paragraph">
              <wp:posOffset>-187960</wp:posOffset>
            </wp:positionV>
            <wp:extent cx="68580" cy="18859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-187960</wp:posOffset>
            </wp:positionV>
            <wp:extent cx="59690" cy="18859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-187960</wp:posOffset>
            </wp:positionV>
            <wp:extent cx="59690" cy="18859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-187960</wp:posOffset>
            </wp:positionV>
            <wp:extent cx="59690" cy="18859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-187960</wp:posOffset>
            </wp:positionV>
            <wp:extent cx="59690" cy="18859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significant weighted average assumptions used to determine benefit obligations at December 31:</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169"/>
        </w:trPr>
        <w:tc>
          <w:tcPr>
            <w:tcW w:w="570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130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3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8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5.45 %</w:t>
            </w:r>
          </w:p>
        </w:tc>
        <w:tc>
          <w:tcPr>
            <w:tcW w:w="360" w:type="dxa"/>
            <w:vAlign w:val="bottom"/>
          </w:tcPr>
          <w:p>
            <w:pPr>
              <w:spacing w:after="0"/>
              <w:rPr>
                <w:sz w:val="20"/>
                <w:szCs w:val="20"/>
                <w:color w:val="auto"/>
              </w:rPr>
            </w:pP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2.82 %</w:t>
            </w:r>
          </w:p>
        </w:tc>
        <w:tc>
          <w:tcPr>
            <w:tcW w:w="14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5.51 %</w:t>
            </w:r>
          </w:p>
        </w:tc>
        <w:tc>
          <w:tcPr>
            <w:tcW w:w="13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w w:val="94"/>
              </w:rPr>
              <w:t>2.87 %</w:t>
            </w:r>
          </w:p>
        </w:tc>
      </w:tr>
      <w:tr>
        <w:trPr>
          <w:trHeight w:val="247"/>
        </w:trPr>
        <w:tc>
          <w:tcPr>
            <w:tcW w:w="65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—Non-U.S.</w:t>
            </w:r>
          </w:p>
        </w:tc>
        <w:tc>
          <w:tcPr>
            <w:tcW w:w="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4.69</w:t>
            </w:r>
          </w:p>
        </w:tc>
        <w:tc>
          <w:tcPr>
            <w:tcW w:w="60" w:type="dxa"/>
            <w:vAlign w:val="bottom"/>
          </w:tcPr>
          <w:p>
            <w:pPr>
              <w:spacing w:after="0"/>
              <w:rPr>
                <w:sz w:val="21"/>
                <w:szCs w:val="21"/>
                <w:color w:val="auto"/>
              </w:rPr>
            </w:pPr>
          </w:p>
        </w:tc>
      </w:tr>
      <w:tr>
        <w:trPr>
          <w:trHeight w:val="238"/>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Rate of compensation increase:</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5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100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140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128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21"/>
                <w:szCs w:val="21"/>
                <w:color w:val="auto"/>
              </w:rPr>
            </w:pPr>
          </w:p>
        </w:tc>
      </w:tr>
      <w:tr>
        <w:trPr>
          <w:trHeight w:val="234"/>
        </w:trPr>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—Non-U.S.</w:t>
            </w: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20"/>
                <w:szCs w:val="20"/>
                <w:color w:val="auto"/>
              </w:rPr>
            </w:pPr>
          </w:p>
        </w:tc>
        <w:tc>
          <w:tcPr>
            <w:tcW w:w="14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12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20"/>
                <w:szCs w:val="20"/>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significant weighted average assumptions used to determine benefits cost for the years ended December 31:</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7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48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10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4"/>
                <w:szCs w:val="14"/>
                <w:color w:val="auto"/>
              </w:rPr>
            </w:pPr>
          </w:p>
        </w:tc>
        <w:tc>
          <w:tcPr>
            <w:tcW w:w="10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0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4"/>
                <w:szCs w:val="14"/>
                <w:color w:val="auto"/>
              </w:rPr>
            </w:pPr>
          </w:p>
        </w:tc>
      </w:tr>
      <w:tr>
        <w:trPr>
          <w:trHeight w:val="23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Discount rate for determining interest cost:</w:t>
            </w:r>
          </w:p>
        </w:tc>
        <w:tc>
          <w:tcPr>
            <w:tcW w:w="6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2.74 %</w:t>
            </w: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1.72 %</w:t>
            </w:r>
          </w:p>
        </w:tc>
        <w:tc>
          <w:tcPr>
            <w:tcW w:w="11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2.66 %</w:t>
            </w:r>
          </w:p>
        </w:tc>
        <w:tc>
          <w:tcPr>
            <w:tcW w:w="11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2.33 %</w:t>
            </w: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1.97 %</w:t>
            </w:r>
          </w:p>
        </w:tc>
        <w:tc>
          <w:tcPr>
            <w:tcW w:w="280" w:type="dxa"/>
            <w:vAlign w:val="bottom"/>
          </w:tcPr>
          <w:p>
            <w:pPr>
              <w:spacing w:after="0"/>
              <w:rPr>
                <w:sz w:val="20"/>
                <w:szCs w:val="20"/>
                <w:color w:val="auto"/>
              </w:rPr>
            </w:pP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4"/>
              </w:rPr>
              <w:t>2.68 %</w:t>
            </w:r>
          </w:p>
        </w:tc>
      </w:tr>
      <w:tr>
        <w:trPr>
          <w:trHeight w:val="247"/>
        </w:trPr>
        <w:tc>
          <w:tcPr>
            <w:tcW w:w="5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—Non-U.S.</w:t>
            </w:r>
          </w:p>
        </w:tc>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5.68</w:t>
            </w:r>
          </w:p>
        </w:tc>
        <w:tc>
          <w:tcPr>
            <w:tcW w:w="60" w:type="dxa"/>
            <w:vAlign w:val="bottom"/>
          </w:tcPr>
          <w:p>
            <w:pPr>
              <w:spacing w:after="0"/>
              <w:rPr>
                <w:sz w:val="21"/>
                <w:szCs w:val="21"/>
                <w:color w:val="auto"/>
              </w:rPr>
            </w:pPr>
          </w:p>
        </w:tc>
      </w:tr>
      <w:tr>
        <w:trPr>
          <w:trHeight w:val="238"/>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long term return on plan assets:</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1420" w:type="dxa"/>
            <w:vAlign w:val="bottom"/>
            <w:gridSpan w:val="3"/>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21"/>
                <w:szCs w:val="21"/>
                <w:color w:val="auto"/>
              </w:rPr>
            </w:pPr>
          </w:p>
        </w:tc>
      </w:tr>
      <w:tr>
        <w:trPr>
          <w:trHeight w:val="238"/>
        </w:trPr>
        <w:tc>
          <w:tcPr>
            <w:tcW w:w="5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—Non-U.S.</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Pr>
          <w:p>
            <w:pPr>
              <w:spacing w:after="0"/>
              <w:rPr>
                <w:sz w:val="20"/>
                <w:szCs w:val="20"/>
                <w:color w:val="auto"/>
              </w:rPr>
            </w:pPr>
          </w:p>
        </w:tc>
        <w:tc>
          <w:tcPr>
            <w:tcW w:w="1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20"/>
                <w:szCs w:val="20"/>
                <w:color w:val="auto"/>
              </w:rPr>
            </w:pPr>
          </w:p>
        </w:tc>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20"/>
                <w:szCs w:val="20"/>
                <w:color w:val="auto"/>
              </w:rPr>
            </w:pPr>
          </w:p>
        </w:tc>
        <w:tc>
          <w:tcPr>
            <w:tcW w:w="11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14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20"/>
                <w:szCs w:val="20"/>
                <w:color w:val="auto"/>
              </w:rPr>
            </w:pPr>
          </w:p>
        </w:tc>
      </w:tr>
      <w:tr>
        <w:trPr>
          <w:trHeight w:val="247"/>
        </w:trPr>
        <w:tc>
          <w:tcPr>
            <w:tcW w:w="5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Rate of compensation increase:</w:t>
            </w:r>
          </w:p>
        </w:tc>
        <w:tc>
          <w:tcPr>
            <w:tcW w:w="4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14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20"/>
                <w:szCs w:val="20"/>
                <w:color w:val="auto"/>
              </w:rPr>
            </w:pPr>
          </w:p>
        </w:tc>
      </w:tr>
      <w:tr>
        <w:trPr>
          <w:trHeight w:val="251"/>
        </w:trPr>
        <w:tc>
          <w:tcPr>
            <w:tcW w:w="51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—Non-U.S.</w:t>
            </w:r>
          </w:p>
        </w:tc>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2.77</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1420" w:type="dxa"/>
            <w:vAlign w:val="bottom"/>
            <w:gridSpan w:val="3"/>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21"/>
                <w:szCs w:val="21"/>
                <w:color w:val="auto"/>
              </w:rPr>
            </w:pPr>
          </w:p>
        </w:tc>
      </w:tr>
    </w:tbl>
    <w:p>
      <w:pPr>
        <w:spacing w:after="0" w:line="103"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For 2022, a weighted average discount rate of 2.74% was used to determine interest cost for the U.S. pension plans. This rate was derived from spot rates along a yield curve developed from a portfolio of corporate bonds from issuers rated AA or higher by established rating agencies as of December 31, 2021, applied to our expected benefit payment cash flows. For our non-U.S. locations, a weighted average discount rate of 2.32% was used. This rate was developed based on the nature of the liabilities and local environments, using available bond indices, yield curves, projected cash flows, and long term inflation.</w:t>
      </w:r>
    </w:p>
    <w:p>
      <w:pPr>
        <w:spacing w:after="0" w:line="74"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For 2022, an assumed weighted average long term rate of return of 4.23% was used for the U.S. pension plans. In developing the long term rate of return, we evaluated input from our pension fund consultant on asset class return expectations, including determining the appropriate rate of return for our plans, which are substantially invested in fixed income securities. For our non-U.S. locations, an assumed weighted average long term rate of return of 2.64% was used. Input from local pension fund consultants concerning asset class return expectations and long term inflation form the basis of this assumption.</w:t>
      </w:r>
    </w:p>
    <w:p>
      <w:pPr>
        <w:spacing w:after="0" w:line="74"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The U.S. pension plan mortality assumption is based on our actual historical experience or published actuarial tables, and expected future mortality improvements based on published actuarial tables. For our non-U.S. locations, mortality assumptions are based on published actuarial tables which include projections of future mortality improvements.</w:t>
      </w:r>
    </w:p>
    <w:p>
      <w:pPr>
        <w:spacing w:after="0" w:line="17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8" w:right="2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5"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8"/>
          <w:szCs w:val="18"/>
          <w:color w:val="auto"/>
        </w:rPr>
        <w:t>The following table presents estimated future benefit payments from the plans as of December 31, 2022. Benefit payments for U.S. pension plans in 2023 reflect the termination of the Cooper Tire U.S. salaried defined benefit pension plan. Benefit payments for other postretirement benefits are presented net of retiree contributions and Medicare Part D Subsidy Receipts: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73"/>
        </w:trPr>
        <w:tc>
          <w:tcPr>
            <w:tcW w:w="65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vMerge w:val="continue"/>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69"/>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0" w:type="dxa"/>
            <w:vAlign w:val="bottom"/>
          </w:tcPr>
          <w:p>
            <w:pPr>
              <w:spacing w:after="0"/>
              <w:rPr>
                <w:sz w:val="1"/>
                <w:szCs w:val="1"/>
                <w:color w:val="auto"/>
              </w:rPr>
            </w:pPr>
          </w:p>
        </w:tc>
      </w:tr>
      <w:tr>
        <w:trPr>
          <w:trHeight w:val="23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755</w:t>
            </w: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0"/>
                <w:szCs w:val="20"/>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358</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348</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20"/>
                <w:szCs w:val="20"/>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354</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4"/>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2028-2032</w:t>
            </w:r>
          </w:p>
        </w:tc>
        <w:tc>
          <w:tcPr>
            <w:tcW w:w="320" w:type="dxa"/>
            <w:vAlign w:val="bottom"/>
          </w:tcPr>
          <w:p>
            <w:pPr>
              <w:spacing w:after="0"/>
              <w:rPr>
                <w:sz w:val="20"/>
                <w:szCs w:val="20"/>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1,489</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779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information on our pension plans at December 31:</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10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960" w:type="dxa"/>
            <w:vAlign w:val="bottom"/>
            <w:tcBorders>
              <w:bottom w:val="single" w:sz="8" w:color="auto"/>
            </w:tcBorders>
          </w:tcPr>
          <w:p>
            <w:pPr>
              <w:spacing w:after="0"/>
              <w:rPr>
                <w:sz w:val="16"/>
                <w:szCs w:val="16"/>
                <w:color w:val="auto"/>
              </w:rPr>
            </w:pPr>
          </w:p>
        </w:tc>
      </w:tr>
      <w:tr>
        <w:trPr>
          <w:trHeight w:val="169"/>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All plans:</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r>
      <w:tr>
        <w:trPr>
          <w:trHeight w:val="238"/>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5,780</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2,167</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3,385</w:t>
            </w:r>
          </w:p>
        </w:tc>
      </w:tr>
      <w:tr>
        <w:trPr>
          <w:trHeight w:val="24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Plans not fully-funded:</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r>
      <w:tr>
        <w:trPr>
          <w:trHeight w:val="238"/>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1,847</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799</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1,273</w:t>
            </w:r>
          </w:p>
        </w:tc>
      </w:tr>
      <w:tr>
        <w:trPr>
          <w:trHeight w:val="247"/>
        </w:trPr>
        <w:tc>
          <w:tcPr>
            <w:tcW w:w="5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1,829</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752</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1,216</w:t>
            </w:r>
          </w:p>
        </w:tc>
      </w:tr>
      <w:tr>
        <w:trPr>
          <w:trHeight w:val="234"/>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1,674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650</w:t>
            </w:r>
          </w:p>
        </w:tc>
      </w:tr>
    </w:tbl>
    <w:p>
      <w:pPr>
        <w:spacing w:after="0" w:line="112"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8"/>
          <w:szCs w:val="18"/>
          <w:color w:val="auto"/>
        </w:rPr>
        <w:t>Certain non-U.S. subsidiaries maintain unfunded pension plans consistent with local practices and requirements. At December 31, 2022, these plans accounted for $176 million of our accumulated pension benefit obligation, $211 million of our projected pension benefit obligation, and $28 million of our AOCL adjustment. At December 31, 2021, these plans accounted for $226 million of our accumulated pension benefit obligation, $253 million of our projected pension benefit obligation, and $57 million of our AOCL adjustment.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contribute $25 million to $50 million to our funded pension plans in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Assumed health care cost trend rates at December 31 follow: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28"/>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Health care cost trend rate assumed for the next year</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7.0 %</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6.5 %</w:t>
            </w:r>
          </w:p>
        </w:tc>
      </w:tr>
      <w:tr>
        <w:trPr>
          <w:trHeight w:val="245"/>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Rate to which the cost trend rate is assumed to decline (the ultimate trend rate)</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1"/>
                <w:szCs w:val="21"/>
                <w:color w:val="auto"/>
              </w:rPr>
            </w:pPr>
          </w:p>
        </w:tc>
      </w:tr>
      <w:tr>
        <w:trPr>
          <w:trHeight w:val="249"/>
        </w:trPr>
        <w:tc>
          <w:tcPr>
            <w:tcW w:w="5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that the rate reaches the ultimate trend rate</w:t>
            </w: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2031</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21"/>
                <w:szCs w:val="21"/>
                <w:color w:val="auto"/>
              </w:rPr>
            </w:pPr>
          </w:p>
        </w:tc>
      </w:tr>
      <w:tr>
        <w:trPr>
          <w:trHeight w:val="337"/>
        </w:trPr>
        <w:tc>
          <w:tcPr>
            <w:tcW w:w="7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Our pension plan weighted average investment allocation at December 31, by asset category, follows: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7"/>
        </w:trPr>
        <w:tc>
          <w:tcPr>
            <w:tcW w:w="5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69"/>
        </w:trPr>
        <w:tc>
          <w:tcPr>
            <w:tcW w:w="5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28"/>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short term securities</w:t>
            </w:r>
          </w:p>
        </w:tc>
        <w:tc>
          <w:tcPr>
            <w:tcW w:w="240" w:type="dxa"/>
            <w:vAlign w:val="bottom"/>
          </w:tcPr>
          <w:p>
            <w:pPr>
              <w:spacing w:after="0"/>
              <w:rPr>
                <w:sz w:val="19"/>
                <w:szCs w:val="19"/>
                <w:color w:val="auto"/>
              </w:rPr>
            </w:pPr>
          </w:p>
        </w:tc>
        <w:tc>
          <w:tcPr>
            <w:tcW w:w="15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tcPr>
          <w:p>
            <w:pPr>
              <w:spacing w:after="0"/>
              <w:rPr>
                <w:sz w:val="19"/>
                <w:szCs w:val="19"/>
                <w:color w:val="auto"/>
              </w:rPr>
            </w:pPr>
          </w:p>
        </w:tc>
        <w:tc>
          <w:tcPr>
            <w:tcW w:w="12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2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r>
      <w:tr>
        <w:trPr>
          <w:trHeight w:val="245"/>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1"/>
                <w:szCs w:val="21"/>
                <w:color w:val="auto"/>
              </w:rPr>
            </w:pPr>
          </w:p>
        </w:tc>
      </w:tr>
      <w:tr>
        <w:trPr>
          <w:trHeight w:val="249"/>
        </w:trPr>
        <w:tc>
          <w:tcPr>
            <w:tcW w:w="5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21"/>
                <w:szCs w:val="21"/>
                <w:color w:val="auto"/>
              </w:rPr>
            </w:pP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Alternatives</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r>
      <w:tr>
        <w:trPr>
          <w:trHeight w:val="236"/>
        </w:trPr>
        <w:tc>
          <w:tcPr>
            <w:tcW w:w="59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100 %</w:t>
            </w:r>
          </w:p>
        </w:tc>
        <w:tc>
          <w:tcPr>
            <w:tcW w:w="320" w:type="dxa"/>
            <w:vAlign w:val="bottom"/>
          </w:tcPr>
          <w:p>
            <w:pPr>
              <w:spacing w:after="0"/>
              <w:rPr>
                <w:sz w:val="20"/>
                <w:szCs w:val="20"/>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100 %</w:t>
            </w:r>
          </w:p>
        </w:tc>
        <w:tc>
          <w:tcPr>
            <w:tcW w:w="220" w:type="dxa"/>
            <w:vAlign w:val="bottom"/>
          </w:tcPr>
          <w:p>
            <w:pPr>
              <w:spacing w:after="0"/>
              <w:rPr>
                <w:sz w:val="20"/>
                <w:szCs w:val="20"/>
                <w:color w:val="auto"/>
              </w:rPr>
            </w:pPr>
          </w:p>
        </w:tc>
        <w:tc>
          <w:tcPr>
            <w:tcW w:w="12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100 %</w:t>
            </w:r>
          </w:p>
        </w:tc>
        <w:tc>
          <w:tcPr>
            <w:tcW w:w="2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r>
        <w:trPr>
          <w:trHeight w:val="20"/>
        </w:trPr>
        <w:tc>
          <w:tcPr>
            <w:tcW w:w="5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-1797685</wp:posOffset>
            </wp:positionV>
            <wp:extent cx="7132320" cy="15430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5430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3"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8"/>
          <w:szCs w:val="18"/>
          <w:color w:val="auto"/>
        </w:rPr>
        <w:t>Our pension investment policies recognize the long-term nature of pension liabilities, and are primarily designed to offset the future impact of discount rate movements on the funded status for our plans, with target return-seeking allocations based upon given funded ratio levels. All assets are managed externally according to target asset allocation guidelines we have established. Manager guidelines prohibit the use of any type of investment derivative without our prior approval. Portfolio risk is controlled by having managers comply with guidelines, establishing the maximum size of any single holding in their portfolios, and using managers with different investment styles. We periodically undertake asset and liability modeling studies to determine the appropriateness of the investments.</w:t>
      </w:r>
    </w:p>
    <w:p>
      <w:pPr>
        <w:spacing w:after="0" w:line="78"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8"/>
          <w:szCs w:val="18"/>
          <w:color w:val="auto"/>
        </w:rPr>
        <w:t>The portfolio of our U.S. pension plan assets includes holdings of global high quality and high yield fixed income securities, fixed income, equity and real estate collective trust funds, short term interest bearing deposits, and private equity and credit securities. The target asset allocation of our U.S. pension plans is 92% in duration-matched fixed income securities, 5% in private equity and credit securities, 2% in equity securities and 1% in real estate funds. Actual U.S. pension fund asset allocations are reviewed on a periodic basis and the pension funds are rebalanced to target ranges on an as needed basis.</w:t>
      </w:r>
    </w:p>
    <w:p>
      <w:pPr>
        <w:spacing w:after="0" w:line="18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18" w:right="2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portfolios of our non-U.S. pension plans include holdings of global high quality and high yield fixed income securities, U.S. and non-U.S. equities, real estate funds, insurance contracts, repurchase agreements, and short term interest bearing deposits. The weighted average target asset allocation of the non-U.S. pension funds is approximately 90% fixed income, 5% equities and 5% in real estate funds.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our pension plan assets at December 31, 2022 by asset category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3"/>
                <w:szCs w:val="13"/>
                <w:b w:val="1"/>
                <w:bCs w:val="1"/>
                <w:color w:val="auto"/>
                <w:w w:val="94"/>
              </w:rPr>
              <w:t>U.S.</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center"/>
              <w:ind w:right="176"/>
              <w:spacing w:after="0"/>
              <w:rPr>
                <w:sz w:val="20"/>
                <w:szCs w:val="20"/>
                <w:color w:val="auto"/>
              </w:rPr>
            </w:pPr>
            <w:r>
              <w:rPr>
                <w:rFonts w:ascii="Times New Roman" w:cs="Times New Roman" w:eastAsia="Times New Roman" w:hAnsi="Times New Roman"/>
                <w:sz w:val="13"/>
                <w:szCs w:val="13"/>
                <w:b w:val="1"/>
                <w:bCs w:val="1"/>
                <w:color w:val="auto"/>
              </w:rPr>
              <w:t>Non-U.S</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center"/>
              <w:ind w:right="55"/>
              <w:spacing w:after="0" w:line="139" w:lineRule="exact"/>
              <w:rPr>
                <w:sz w:val="20"/>
                <w:szCs w:val="20"/>
                <w:color w:val="auto"/>
              </w:rPr>
            </w:pPr>
            <w:r>
              <w:rPr>
                <w:rFonts w:ascii="Times New Roman" w:cs="Times New Roman" w:eastAsia="Times New Roman" w:hAnsi="Times New Roman"/>
                <w:sz w:val="13"/>
                <w:szCs w:val="13"/>
                <w:b w:val="1"/>
                <w:bCs w:val="1"/>
                <w:color w:val="auto"/>
              </w:rPr>
              <w:t>Quoted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center"/>
              <w:ind w:right="55"/>
              <w:spacing w:after="0" w:line="149" w:lineRule="exact"/>
              <w:rPr>
                <w:sz w:val="20"/>
                <w:szCs w:val="20"/>
                <w:color w:val="auto"/>
              </w:rPr>
            </w:pPr>
            <w:r>
              <w:rPr>
                <w:rFonts w:ascii="Times New Roman" w:cs="Times New Roman" w:eastAsia="Times New Roman" w:hAnsi="Times New Roman"/>
                <w:sz w:val="13"/>
                <w:szCs w:val="13"/>
                <w:b w:val="1"/>
                <w:bCs w:val="1"/>
                <w:color w:val="auto"/>
              </w:rPr>
              <w:t>Prices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center"/>
              <w:ind w:right="215"/>
              <w:spacing w:after="0" w:line="149" w:lineRule="exact"/>
              <w:rPr>
                <w:sz w:val="20"/>
                <w:szCs w:val="20"/>
                <w:color w:val="auto"/>
              </w:rPr>
            </w:pPr>
            <w:r>
              <w:rPr>
                <w:rFonts w:ascii="Times New Roman" w:cs="Times New Roman" w:eastAsia="Times New Roman" w:hAnsi="Times New Roman"/>
                <w:sz w:val="13"/>
                <w:szCs w:val="13"/>
                <w:b w:val="1"/>
                <w:bCs w:val="1"/>
                <w:color w:val="auto"/>
              </w:rPr>
              <w:t>in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center"/>
              <w:ind w:right="35"/>
              <w:spacing w:after="0" w:line="149" w:lineRule="exact"/>
              <w:rPr>
                <w:sz w:val="20"/>
                <w:szCs w:val="20"/>
                <w:color w:val="auto"/>
              </w:rPr>
            </w:pPr>
            <w:r>
              <w:rPr>
                <w:rFonts w:ascii="Times New Roman" w:cs="Times New Roman" w:eastAsia="Times New Roman" w:hAnsi="Times New Roman"/>
                <w:sz w:val="13"/>
                <w:szCs w:val="13"/>
                <w:b w:val="1"/>
                <w:bCs w:val="1"/>
                <w:color w:val="auto"/>
              </w:rPr>
              <w:t>Active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3"/>
                <w:szCs w:val="13"/>
                <w:b w:val="1"/>
                <w:bCs w:val="1"/>
                <w:color w:val="auto"/>
              </w:rPr>
              <w:t>Quoted</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center"/>
              <w:ind w:right="35"/>
              <w:spacing w:after="0" w:line="149" w:lineRule="exact"/>
              <w:rPr>
                <w:sz w:val="20"/>
                <w:szCs w:val="20"/>
                <w:color w:val="auto"/>
              </w:rPr>
            </w:pPr>
            <w:r>
              <w:rPr>
                <w:rFonts w:ascii="Times New Roman" w:cs="Times New Roman" w:eastAsia="Times New Roman" w:hAnsi="Times New Roman"/>
                <w:sz w:val="13"/>
                <w:szCs w:val="13"/>
                <w:b w:val="1"/>
                <w:bCs w:val="1"/>
                <w:color w:val="auto"/>
              </w:rPr>
              <w:t>Markets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w w:val="99"/>
              </w:rPr>
              <w:t>Prices in</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center"/>
              <w:ind w:right="195"/>
              <w:spacing w:after="0" w:line="149" w:lineRule="exact"/>
              <w:rPr>
                <w:sz w:val="20"/>
                <w:szCs w:val="20"/>
                <w:color w:val="auto"/>
              </w:rPr>
            </w:pPr>
            <w:r>
              <w:rPr>
                <w:rFonts w:ascii="Times New Roman" w:cs="Times New Roman" w:eastAsia="Times New Roman" w:hAnsi="Times New Roman"/>
                <w:sz w:val="13"/>
                <w:szCs w:val="13"/>
                <w:b w:val="1"/>
                <w:bCs w:val="1"/>
                <w:color w:val="auto"/>
              </w:rPr>
              <w:t>for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3"/>
                <w:szCs w:val="13"/>
                <w:b w:val="1"/>
                <w:bCs w:val="1"/>
                <w:color w:val="auto"/>
              </w:rPr>
              <w:t>Active</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center"/>
              <w:ind w:right="55"/>
              <w:spacing w:after="0" w:line="149" w:lineRule="exact"/>
              <w:rPr>
                <w:sz w:val="20"/>
                <w:szCs w:val="20"/>
                <w:color w:val="auto"/>
              </w:rPr>
            </w:pPr>
            <w:r>
              <w:rPr>
                <w:rFonts w:ascii="Times New Roman" w:cs="Times New Roman" w:eastAsia="Times New Roman" w:hAnsi="Times New Roman"/>
                <w:sz w:val="13"/>
                <w:szCs w:val="13"/>
                <w:b w:val="1"/>
                <w:bCs w:val="1"/>
                <w:color w:val="auto"/>
              </w:rPr>
              <w:t>Identica</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Markets</w:t>
            </w:r>
          </w:p>
        </w:tc>
        <w:tc>
          <w:tcPr>
            <w:tcW w:w="180" w:type="dxa"/>
            <w:vAlign w:val="bottom"/>
          </w:tcPr>
          <w:p>
            <w:pPr>
              <w:spacing w:after="0"/>
              <w:rPr>
                <w:sz w:val="12"/>
                <w:szCs w:val="12"/>
                <w:color w:val="auto"/>
              </w:rPr>
            </w:pPr>
          </w:p>
        </w:tc>
        <w:tc>
          <w:tcPr>
            <w:tcW w:w="90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40" w:type="dxa"/>
            <w:vAlign w:val="bottom"/>
          </w:tcPr>
          <w:p>
            <w:pPr>
              <w:spacing w:after="0"/>
              <w:rPr>
                <w:sz w:val="12"/>
                <w:szCs w:val="12"/>
                <w:color w:val="auto"/>
              </w:rPr>
            </w:pPr>
          </w:p>
        </w:tc>
        <w:tc>
          <w:tcPr>
            <w:tcW w:w="86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3"/>
                <w:szCs w:val="13"/>
                <w:b w:val="1"/>
                <w:bCs w:val="1"/>
                <w:color w:val="auto"/>
              </w:rPr>
              <w:t>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3"/>
                <w:szCs w:val="13"/>
                <w:b w:val="1"/>
                <w:bCs w:val="1"/>
                <w:color w:val="auto"/>
              </w:rPr>
              <w:t>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3"/>
                <w:szCs w:val="13"/>
                <w:b w:val="1"/>
                <w:bCs w:val="1"/>
                <w:color w:val="auto"/>
              </w:rPr>
              <w:t>Other</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3"/>
                <w:szCs w:val="13"/>
                <w:b w:val="1"/>
                <w:bCs w:val="1"/>
                <w:color w:val="auto"/>
                <w:w w:val="96"/>
              </w:rPr>
              <w:t>for</w:t>
            </w:r>
          </w:p>
        </w:tc>
        <w:tc>
          <w:tcPr>
            <w:tcW w:w="180" w:type="dxa"/>
            <w:vAlign w:val="bottom"/>
          </w:tcPr>
          <w:p>
            <w:pPr>
              <w:spacing w:after="0"/>
              <w:rPr>
                <w:sz w:val="12"/>
                <w:szCs w:val="12"/>
                <w:color w:val="auto"/>
              </w:rPr>
            </w:pPr>
          </w:p>
        </w:tc>
        <w:tc>
          <w:tcPr>
            <w:tcW w:w="90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86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center"/>
              <w:ind w:right="35"/>
              <w:spacing w:after="0" w:line="149" w:lineRule="exact"/>
              <w:rPr>
                <w:sz w:val="20"/>
                <w:szCs w:val="20"/>
                <w:color w:val="auto"/>
              </w:rPr>
            </w:pPr>
            <w:r>
              <w:rPr>
                <w:rFonts w:ascii="Times New Roman" w:cs="Times New Roman" w:eastAsia="Times New Roman" w:hAnsi="Times New Roman"/>
                <w:sz w:val="13"/>
                <w:szCs w:val="13"/>
                <w:b w:val="1"/>
                <w:bCs w:val="1"/>
                <w:color w:val="auto"/>
              </w:rPr>
              <w:t>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3"/>
                <w:szCs w:val="13"/>
                <w:b w:val="1"/>
                <w:bCs w:val="1"/>
                <w:color w:val="auto"/>
              </w:rPr>
              <w:t>Observable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3"/>
                <w:szCs w:val="13"/>
                <w:b w:val="1"/>
                <w:bCs w:val="1"/>
                <w:color w:val="auto"/>
              </w:rPr>
              <w:t>Unobservable</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Identical</w:t>
            </w:r>
          </w:p>
        </w:tc>
        <w:tc>
          <w:tcPr>
            <w:tcW w:w="180" w:type="dxa"/>
            <w:vAlign w:val="bottom"/>
          </w:tcPr>
          <w:p>
            <w:pPr>
              <w:spacing w:after="0"/>
              <w:rPr>
                <w:sz w:val="12"/>
                <w:szCs w:val="12"/>
                <w:color w:val="auto"/>
              </w:rPr>
            </w:pPr>
          </w:p>
        </w:tc>
        <w:tc>
          <w:tcPr>
            <w:tcW w:w="90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3"/>
                <w:szCs w:val="13"/>
                <w:b w:val="1"/>
                <w:bCs w:val="1"/>
                <w:color w:val="auto"/>
              </w:rPr>
              <w:t>Observable</w:t>
            </w: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Unobservable</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center"/>
              <w:ind w:right="75"/>
              <w:spacing w:after="0" w:line="149" w:lineRule="exact"/>
              <w:rPr>
                <w:sz w:val="20"/>
                <w:szCs w:val="20"/>
                <w:color w:val="auto"/>
              </w:rPr>
            </w:pPr>
            <w:r>
              <w:rPr>
                <w:rFonts w:ascii="Times New Roman" w:cs="Times New Roman" w:eastAsia="Times New Roman" w:hAnsi="Times New Roman"/>
                <w:sz w:val="13"/>
                <w:szCs w:val="13"/>
                <w:b w:val="1"/>
                <w:bCs w:val="1"/>
                <w:color w:val="auto"/>
              </w:rPr>
              <w:t>(Level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3"/>
                <w:szCs w:val="13"/>
                <w:b w:val="1"/>
                <w:bCs w:val="1"/>
                <w:color w:val="auto"/>
              </w:rPr>
              <w:t>Inputs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3"/>
                <w:szCs w:val="13"/>
                <w:b w:val="1"/>
                <w:bCs w:val="1"/>
                <w:color w:val="auto"/>
              </w:rPr>
              <w:t>Inputs</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3"/>
                <w:szCs w:val="13"/>
                <w:b w:val="1"/>
                <w:bCs w:val="1"/>
                <w:color w:val="auto"/>
              </w:rPr>
              <w:t>Assets</w:t>
            </w:r>
          </w:p>
        </w:tc>
        <w:tc>
          <w:tcPr>
            <w:tcW w:w="180" w:type="dxa"/>
            <w:vAlign w:val="bottom"/>
          </w:tcPr>
          <w:p>
            <w:pPr>
              <w:spacing w:after="0"/>
              <w:rPr>
                <w:sz w:val="12"/>
                <w:szCs w:val="12"/>
                <w:color w:val="auto"/>
              </w:rPr>
            </w:pPr>
          </w:p>
        </w:tc>
        <w:tc>
          <w:tcPr>
            <w:tcW w:w="90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3"/>
                <w:szCs w:val="13"/>
                <w:b w:val="1"/>
                <w:bCs w:val="1"/>
                <w:color w:val="auto"/>
              </w:rPr>
              <w:t>Inputs</w:t>
            </w:r>
          </w:p>
        </w:tc>
        <w:tc>
          <w:tcPr>
            <w:tcW w:w="140" w:type="dxa"/>
            <w:vAlign w:val="bottom"/>
          </w:tcPr>
          <w:p>
            <w:pPr>
              <w:spacing w:after="0"/>
              <w:rPr>
                <w:sz w:val="12"/>
                <w:szCs w:val="12"/>
                <w:color w:val="auto"/>
              </w:rPr>
            </w:pPr>
          </w:p>
        </w:tc>
        <w:tc>
          <w:tcPr>
            <w:tcW w:w="86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3"/>
                <w:szCs w:val="13"/>
                <w:b w:val="1"/>
                <w:bCs w:val="1"/>
                <w:color w:val="auto"/>
              </w:rPr>
              <w:t>Inputs</w:t>
            </w:r>
          </w:p>
        </w:tc>
        <w:tc>
          <w:tcPr>
            <w:tcW w:w="0" w:type="dxa"/>
            <w:vAlign w:val="bottom"/>
          </w:tcPr>
          <w:p>
            <w:pPr>
              <w:spacing w:after="0"/>
              <w:rPr>
                <w:sz w:val="1"/>
                <w:szCs w:val="1"/>
                <w:color w:val="auto"/>
              </w:rPr>
            </w:pPr>
          </w:p>
        </w:tc>
      </w:tr>
      <w:tr>
        <w:trPr>
          <w:trHeight w:val="179"/>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3"/>
                <w:szCs w:val="13"/>
                <w:b w:val="1"/>
                <w:bCs w:val="1"/>
                <w:color w:val="auto"/>
                <w:w w:val="91"/>
              </w:rPr>
              <w:t>1)</w:t>
            </w: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0" w:type="dxa"/>
            <w:vAlign w:val="bottom"/>
          </w:tcPr>
          <w:p>
            <w:pPr>
              <w:spacing w:after="0"/>
              <w:rPr>
                <w:sz w:val="1"/>
                <w:szCs w:val="1"/>
                <w:color w:val="auto"/>
              </w:rPr>
            </w:pPr>
          </w:p>
        </w:tc>
      </w:tr>
      <w:tr>
        <w:trPr>
          <w:trHeight w:val="236"/>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Short Term Securities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Common and Preferred Stock</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220" w:type="dxa"/>
            <w:vAlign w:val="bottom"/>
          </w:tcPr>
          <w:p>
            <w:pPr>
              <w:spacing w:after="0"/>
              <w:rPr>
                <w:sz w:val="20"/>
                <w:szCs w:val="20"/>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20"/>
                <w:szCs w:val="20"/>
                <w:color w:val="auto"/>
              </w:rPr>
            </w:pP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Securities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1,873</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1,873</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Bonds</w:t>
            </w:r>
          </w:p>
        </w:tc>
        <w:tc>
          <w:tcPr>
            <w:tcW w:w="220" w:type="dxa"/>
            <w:vAlign w:val="bottom"/>
          </w:tcPr>
          <w:p>
            <w:pPr>
              <w:spacing w:after="0"/>
              <w:rPr>
                <w:sz w:val="20"/>
                <w:szCs w:val="20"/>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646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646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1,369</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20"/>
                <w:szCs w:val="20"/>
                <w:color w:val="auto"/>
              </w:rPr>
            </w:pP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1,318</w:t>
            </w:r>
          </w:p>
        </w:tc>
        <w:tc>
          <w:tcPr>
            <w:tcW w:w="140" w:type="dxa"/>
            <w:vAlign w:val="bottom"/>
          </w:tcPr>
          <w:p>
            <w:pPr>
              <w:spacing w:after="0"/>
              <w:rPr>
                <w:sz w:val="20"/>
                <w:szCs w:val="20"/>
                <w:color w:val="auto"/>
              </w:rPr>
            </w:pPr>
          </w:p>
        </w:tc>
        <w:tc>
          <w:tcPr>
            <w:tcW w:w="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Repurchase Agreements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Backed Securities</w:t>
            </w:r>
          </w:p>
        </w:tc>
        <w:tc>
          <w:tcPr>
            <w:tcW w:w="220" w:type="dxa"/>
            <w:vAlign w:val="bottom"/>
          </w:tcPr>
          <w:p>
            <w:pPr>
              <w:spacing w:after="0"/>
              <w:rPr>
                <w:sz w:val="20"/>
                <w:szCs w:val="20"/>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0"/>
                <w:szCs w:val="20"/>
                <w:color w:val="auto"/>
              </w:rPr>
            </w:pP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0"/>
                <w:szCs w:val="20"/>
                <w:color w:val="auto"/>
              </w:rPr>
            </w:pPr>
          </w:p>
        </w:tc>
        <w:tc>
          <w:tcPr>
            <w:tcW w:w="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220" w:type="dxa"/>
            <w:vAlign w:val="bottom"/>
          </w:tcPr>
          <w:p>
            <w:pPr>
              <w:spacing w:after="0"/>
              <w:rPr>
                <w:sz w:val="20"/>
                <w:szCs w:val="20"/>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0"/>
                <w:szCs w:val="20"/>
                <w:color w:val="auto"/>
              </w:rPr>
            </w:pP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Alternatives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220" w:type="dxa"/>
            <w:vAlign w:val="bottom"/>
          </w:tcPr>
          <w:p>
            <w:pPr>
              <w:spacing w:after="0"/>
              <w:rPr>
                <w:sz w:val="20"/>
                <w:szCs w:val="20"/>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0"/>
                <w:szCs w:val="20"/>
                <w:color w:val="auto"/>
              </w:rPr>
            </w:pP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Insurance Contracts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Derivatives</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0"/>
        </w:trPr>
        <w:tc>
          <w:tcPr>
            <w:tcW w:w="3340" w:type="dxa"/>
            <w:vAlign w:val="bottom"/>
            <w:shd w:val="clear" w:color="auto" w:fill="CFF0FC"/>
          </w:tcPr>
          <w:p>
            <w:pPr>
              <w:ind w:left="200"/>
              <w:spacing w:after="0" w:line="201" w:lineRule="exact"/>
              <w:rPr>
                <w:sz w:val="20"/>
                <w:szCs w:val="20"/>
                <w:color w:val="auto"/>
              </w:rPr>
            </w:pPr>
            <w:r>
              <w:rPr>
                <w:rFonts w:ascii="Times New Roman" w:cs="Times New Roman" w:eastAsia="Times New Roman" w:hAnsi="Times New Roman"/>
                <w:sz w:val="18"/>
                <w:szCs w:val="18"/>
                <w:b w:val="1"/>
                <w:bCs w:val="1"/>
                <w:color w:val="auto"/>
              </w:rPr>
              <w:t>Total Investments in the Fair Value</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2,679</w:t>
            </w:r>
          </w:p>
        </w:tc>
        <w:tc>
          <w:tcPr>
            <w:tcW w:w="1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vMerge w:val="restart"/>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1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vMerge w:val="restart"/>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1,224</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51"/>
        </w:trPr>
        <w:tc>
          <w:tcPr>
            <w:tcW w:w="3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2,685</w:t>
            </w:r>
          </w:p>
        </w:tc>
        <w:tc>
          <w:tcPr>
            <w:tcW w:w="160" w:type="dxa"/>
            <w:vAlign w:val="bottom"/>
            <w:gridSpan w:val="2"/>
            <w:vMerge w:val="continue"/>
            <w:shd w:val="clear" w:color="auto" w:fill="CFF0FC"/>
          </w:tcPr>
          <w:p>
            <w:pPr>
              <w:spacing w:after="0"/>
              <w:rPr>
                <w:sz w:val="21"/>
                <w:szCs w:val="21"/>
                <w:color w:val="auto"/>
              </w:rPr>
            </w:pPr>
          </w:p>
        </w:tc>
        <w:tc>
          <w:tcPr>
            <w:tcW w:w="500" w:type="dxa"/>
            <w:vAlign w:val="bottom"/>
            <w:vMerge w:val="continue"/>
            <w:shd w:val="clear" w:color="auto" w:fill="CFF0FC"/>
          </w:tcPr>
          <w:p>
            <w:pPr>
              <w:spacing w:after="0"/>
              <w:rPr>
                <w:sz w:val="21"/>
                <w:szCs w:val="21"/>
                <w:color w:val="auto"/>
              </w:rPr>
            </w:pPr>
          </w:p>
        </w:tc>
        <w:tc>
          <w:tcPr>
            <w:tcW w:w="120" w:type="dxa"/>
            <w:vAlign w:val="bottom"/>
            <w:gridSpan w:val="2"/>
            <w:vMerge w:val="continue"/>
            <w:shd w:val="clear" w:color="auto" w:fill="CFF0FC"/>
          </w:tcPr>
          <w:p>
            <w:pPr>
              <w:spacing w:after="0"/>
              <w:rPr>
                <w:sz w:val="21"/>
                <w:szCs w:val="21"/>
                <w:color w:val="auto"/>
              </w:rPr>
            </w:pPr>
          </w:p>
        </w:tc>
        <w:tc>
          <w:tcPr>
            <w:tcW w:w="1060" w:type="dxa"/>
            <w:vAlign w:val="bottom"/>
            <w:vMerge w:val="continue"/>
            <w:shd w:val="clear" w:color="auto" w:fill="CFF0FC"/>
          </w:tcPr>
          <w:p>
            <w:pPr>
              <w:spacing w:after="0"/>
              <w:rPr>
                <w:sz w:val="21"/>
                <w:szCs w:val="21"/>
                <w:color w:val="auto"/>
              </w:rPr>
            </w:pPr>
          </w:p>
        </w:tc>
        <w:tc>
          <w:tcPr>
            <w:tcW w:w="120" w:type="dxa"/>
            <w:vAlign w:val="bottom"/>
            <w:gridSpan w:val="2"/>
            <w:vMerge w:val="continue"/>
            <w:shd w:val="clear" w:color="auto" w:fill="CFF0FC"/>
          </w:tcPr>
          <w:p>
            <w:pPr>
              <w:spacing w:after="0"/>
              <w:rPr>
                <w:sz w:val="21"/>
                <w:szCs w:val="21"/>
                <w:color w:val="auto"/>
              </w:rPr>
            </w:pPr>
          </w:p>
        </w:tc>
        <w:tc>
          <w:tcPr>
            <w:tcW w:w="1040" w:type="dxa"/>
            <w:vAlign w:val="bottom"/>
            <w:vMerge w:val="continue"/>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1,421</w:t>
            </w:r>
          </w:p>
        </w:tc>
        <w:tc>
          <w:tcPr>
            <w:tcW w:w="120" w:type="dxa"/>
            <w:vAlign w:val="bottom"/>
            <w:vMerge w:val="continue"/>
            <w:shd w:val="clear" w:color="auto" w:fill="CFF0FC"/>
          </w:tcPr>
          <w:p>
            <w:pPr>
              <w:spacing w:after="0"/>
              <w:rPr>
                <w:sz w:val="21"/>
                <w:szCs w:val="21"/>
                <w:color w:val="auto"/>
              </w:rPr>
            </w:pPr>
          </w:p>
        </w:tc>
        <w:tc>
          <w:tcPr>
            <w:tcW w:w="600" w:type="dxa"/>
            <w:vAlign w:val="bottom"/>
            <w:vMerge w:val="continue"/>
            <w:shd w:val="clear" w:color="auto" w:fill="CFF0FC"/>
          </w:tcPr>
          <w:p>
            <w:pPr>
              <w:spacing w:after="0"/>
              <w:rPr>
                <w:sz w:val="21"/>
                <w:szCs w:val="21"/>
                <w:color w:val="auto"/>
              </w:rPr>
            </w:pPr>
          </w:p>
        </w:tc>
        <w:tc>
          <w:tcPr>
            <w:tcW w:w="180" w:type="dxa"/>
            <w:vAlign w:val="bottom"/>
            <w:vMerge w:val="continue"/>
            <w:shd w:val="clear" w:color="auto" w:fill="CFF0FC"/>
          </w:tcPr>
          <w:p>
            <w:pPr>
              <w:spacing w:after="0"/>
              <w:rPr>
                <w:sz w:val="21"/>
                <w:szCs w:val="21"/>
                <w:color w:val="auto"/>
              </w:rPr>
            </w:pPr>
          </w:p>
        </w:tc>
        <w:tc>
          <w:tcPr>
            <w:tcW w:w="900" w:type="dxa"/>
            <w:vAlign w:val="bottom"/>
            <w:vMerge w:val="continue"/>
            <w:shd w:val="clear" w:color="auto" w:fill="CFF0FC"/>
          </w:tcPr>
          <w:p>
            <w:pPr>
              <w:spacing w:after="0"/>
              <w:rPr>
                <w:sz w:val="21"/>
                <w:szCs w:val="21"/>
                <w:color w:val="auto"/>
              </w:rPr>
            </w:pPr>
          </w:p>
        </w:tc>
        <w:tc>
          <w:tcPr>
            <w:tcW w:w="140" w:type="dxa"/>
            <w:vAlign w:val="bottom"/>
            <w:vMerge w:val="continue"/>
            <w:shd w:val="clear" w:color="auto" w:fill="CFF0FC"/>
          </w:tcPr>
          <w:p>
            <w:pPr>
              <w:spacing w:after="0"/>
              <w:rPr>
                <w:sz w:val="21"/>
                <w:szCs w:val="21"/>
                <w:color w:val="auto"/>
              </w:rPr>
            </w:pPr>
          </w:p>
        </w:tc>
        <w:tc>
          <w:tcPr>
            <w:tcW w:w="860" w:type="dxa"/>
            <w:vAlign w:val="bottom"/>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3340" w:type="dxa"/>
            <w:vAlign w:val="bottom"/>
            <w:tcBorders>
              <w:top w:val="single" w:sz="8" w:color="CFF0FC"/>
            </w:tcBorders>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Investments Measured at Net Asset Value,</w:t>
            </w:r>
          </w:p>
        </w:tc>
        <w:tc>
          <w:tcPr>
            <w:tcW w:w="220" w:type="dxa"/>
            <w:vAlign w:val="bottom"/>
            <w:tcBorders>
              <w:top w:val="single" w:sz="8" w:color="CFF0FC"/>
            </w:tcBorders>
          </w:tcPr>
          <w:p>
            <w:pPr>
              <w:spacing w:after="0"/>
              <w:rPr>
                <w:sz w:val="16"/>
                <w:szCs w:val="16"/>
                <w:color w:val="auto"/>
              </w:rPr>
            </w:pPr>
          </w:p>
        </w:tc>
        <w:tc>
          <w:tcPr>
            <w:tcW w:w="860" w:type="dxa"/>
            <w:vAlign w:val="bottom"/>
            <w:tcBorders>
              <w:top w:val="single" w:sz="8" w:color="CFF0FC"/>
            </w:tcBorders>
          </w:tcPr>
          <w:p>
            <w:pPr>
              <w:spacing w:after="0"/>
              <w:rPr>
                <w:sz w:val="16"/>
                <w:szCs w:val="16"/>
                <w:color w:val="auto"/>
              </w:rPr>
            </w:pPr>
          </w:p>
        </w:tc>
        <w:tc>
          <w:tcPr>
            <w:tcW w:w="2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8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Practical Expedient:</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220" w:type="dxa"/>
            <w:vAlign w:val="bottom"/>
          </w:tcPr>
          <w:p>
            <w:pPr>
              <w:spacing w:after="0"/>
              <w:rPr>
                <w:sz w:val="20"/>
                <w:szCs w:val="20"/>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Partnership Interests</w:t>
            </w:r>
          </w:p>
        </w:tc>
        <w:tc>
          <w:tcPr>
            <w:tcW w:w="220" w:type="dxa"/>
            <w:vAlign w:val="bottom"/>
          </w:tcPr>
          <w:p>
            <w:pPr>
              <w:spacing w:after="0"/>
              <w:rPr>
                <w:sz w:val="20"/>
                <w:szCs w:val="20"/>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Debt Securities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220" w:type="dxa"/>
            <w:vAlign w:val="bottom"/>
          </w:tcPr>
          <w:p>
            <w:pPr>
              <w:spacing w:after="0"/>
              <w:rPr>
                <w:sz w:val="20"/>
                <w:szCs w:val="20"/>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283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558</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Partnership Interests</w:t>
            </w:r>
          </w:p>
        </w:tc>
        <w:tc>
          <w:tcPr>
            <w:tcW w:w="220" w:type="dxa"/>
            <w:vAlign w:val="bottom"/>
          </w:tcPr>
          <w:p>
            <w:pPr>
              <w:spacing w:after="0"/>
              <w:rPr>
                <w:sz w:val="20"/>
                <w:szCs w:val="20"/>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Short Term Securities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220" w:type="dxa"/>
            <w:vAlign w:val="bottom"/>
          </w:tcPr>
          <w:p>
            <w:pPr>
              <w:spacing w:after="0"/>
              <w:rPr>
                <w:sz w:val="20"/>
                <w:szCs w:val="20"/>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Pooled Separate Accounts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Alternatives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Partnership Interests</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4,185</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2,064</w:t>
            </w: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Plan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4,174</w:t>
            </w:r>
          </w:p>
        </w:tc>
        <w:tc>
          <w:tcPr>
            <w:tcW w:w="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2,043</w:t>
            </w:r>
          </w:p>
        </w:tc>
        <w:tc>
          <w:tcPr>
            <w:tcW w:w="12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center"/>
              <w:ind w:right="137"/>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3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3224530</wp:posOffset>
            </wp:positionH>
            <wp:positionV relativeFrom="paragraph">
              <wp:posOffset>-3467100</wp:posOffset>
            </wp:positionV>
            <wp:extent cx="762000" cy="31686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62000" cy="316865"/>
                    </a:xfrm>
                    <a:prstGeom prst="rect">
                      <a:avLst/>
                    </a:prstGeom>
                    <a:noFill/>
                  </pic:spPr>
                </pic:pic>
              </a:graphicData>
            </a:graphic>
          </wp:anchor>
        </w:drawing>
        <w:drawing>
          <wp:anchor simplePos="0" relativeHeight="251657728" behindDoc="1" locked="0" layoutInCell="0" allowOverlap="1">
            <wp:simplePos x="0" y="0"/>
            <wp:positionH relativeFrom="column">
              <wp:posOffset>2804795</wp:posOffset>
            </wp:positionH>
            <wp:positionV relativeFrom="paragraph">
              <wp:posOffset>-513080</wp:posOffset>
            </wp:positionV>
            <wp:extent cx="82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2804795</wp:posOffset>
            </wp:positionH>
            <wp:positionV relativeFrom="paragraph">
              <wp:posOffset>-495935</wp:posOffset>
            </wp:positionV>
            <wp:extent cx="82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our pension plan assets at December 31, 2021 by asset category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716"/>
              <w:spacing w:after="0"/>
              <w:rPr>
                <w:sz w:val="20"/>
                <w:szCs w:val="20"/>
                <w:color w:val="auto"/>
              </w:rPr>
            </w:pPr>
            <w:r>
              <w:rPr>
                <w:rFonts w:ascii="Times New Roman" w:cs="Times New Roman" w:eastAsia="Times New Roman" w:hAnsi="Times New Roman"/>
                <w:sz w:val="13"/>
                <w:szCs w:val="13"/>
                <w:b w:val="1"/>
                <w:bCs w:val="1"/>
                <w:color w:val="auto"/>
              </w:rPr>
              <w:t>Non-U.S</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center"/>
              <w:ind w:right="35"/>
              <w:spacing w:after="0" w:line="139" w:lineRule="exact"/>
              <w:rPr>
                <w:sz w:val="20"/>
                <w:szCs w:val="20"/>
                <w:color w:val="auto"/>
              </w:rPr>
            </w:pPr>
            <w:r>
              <w:rPr>
                <w:rFonts w:ascii="Times New Roman" w:cs="Times New Roman" w:eastAsia="Times New Roman" w:hAnsi="Times New Roman"/>
                <w:sz w:val="13"/>
                <w:szCs w:val="13"/>
                <w:b w:val="1"/>
                <w:bCs w:val="1"/>
                <w:color w:val="auto"/>
              </w:rPr>
              <w:t>Quoted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center"/>
              <w:ind w:right="35"/>
              <w:spacing w:after="0" w:line="149" w:lineRule="exact"/>
              <w:rPr>
                <w:sz w:val="20"/>
                <w:szCs w:val="20"/>
                <w:color w:val="auto"/>
              </w:rPr>
            </w:pPr>
            <w:r>
              <w:rPr>
                <w:rFonts w:ascii="Times New Roman" w:cs="Times New Roman" w:eastAsia="Times New Roman" w:hAnsi="Times New Roman"/>
                <w:sz w:val="13"/>
                <w:szCs w:val="13"/>
                <w:b w:val="1"/>
                <w:bCs w:val="1"/>
                <w:color w:val="auto"/>
              </w:rPr>
              <w:t>Prices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center"/>
              <w:ind w:right="215"/>
              <w:spacing w:after="0" w:line="149" w:lineRule="exact"/>
              <w:rPr>
                <w:sz w:val="20"/>
                <w:szCs w:val="20"/>
                <w:color w:val="auto"/>
              </w:rPr>
            </w:pPr>
            <w:r>
              <w:rPr>
                <w:rFonts w:ascii="Times New Roman" w:cs="Times New Roman" w:eastAsia="Times New Roman" w:hAnsi="Times New Roman"/>
                <w:sz w:val="13"/>
                <w:szCs w:val="13"/>
                <w:b w:val="1"/>
                <w:bCs w:val="1"/>
                <w:color w:val="auto"/>
              </w:rPr>
              <w:t>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center"/>
              <w:ind w:right="35"/>
              <w:spacing w:after="0" w:line="149" w:lineRule="exact"/>
              <w:rPr>
                <w:sz w:val="20"/>
                <w:szCs w:val="20"/>
                <w:color w:val="auto"/>
              </w:rPr>
            </w:pPr>
            <w:r>
              <w:rPr>
                <w:rFonts w:ascii="Times New Roman" w:cs="Times New Roman" w:eastAsia="Times New Roman" w:hAnsi="Times New Roman"/>
                <w:sz w:val="13"/>
                <w:szCs w:val="13"/>
                <w:b w:val="1"/>
                <w:bCs w:val="1"/>
                <w:color w:val="auto"/>
              </w:rPr>
              <w:t>Active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3"/>
                <w:szCs w:val="13"/>
                <w:b w:val="1"/>
                <w:bCs w:val="1"/>
                <w:color w:val="auto"/>
              </w:rPr>
              <w:t>Quoted</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right"/>
              <w:ind w:right="55"/>
              <w:spacing w:after="0" w:line="149" w:lineRule="exact"/>
              <w:rPr>
                <w:sz w:val="20"/>
                <w:szCs w:val="20"/>
                <w:color w:val="auto"/>
              </w:rPr>
            </w:pPr>
            <w:r>
              <w:rPr>
                <w:rFonts w:ascii="Times New Roman" w:cs="Times New Roman" w:eastAsia="Times New Roman" w:hAnsi="Times New Roman"/>
                <w:sz w:val="13"/>
                <w:szCs w:val="13"/>
                <w:b w:val="1"/>
                <w:bCs w:val="1"/>
                <w:color w:val="auto"/>
              </w:rPr>
              <w:t>Markets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Prices in</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3"/>
                <w:szCs w:val="13"/>
                <w:b w:val="1"/>
                <w:bCs w:val="1"/>
                <w:color w:val="auto"/>
                <w:w w:val="96"/>
              </w:rPr>
              <w:t>for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3"/>
                <w:szCs w:val="13"/>
                <w:b w:val="1"/>
                <w:bCs w:val="1"/>
                <w:color w:val="auto"/>
              </w:rPr>
              <w:t>Active</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right"/>
              <w:ind w:right="55"/>
              <w:spacing w:after="0" w:line="149" w:lineRule="exact"/>
              <w:rPr>
                <w:sz w:val="20"/>
                <w:szCs w:val="20"/>
                <w:color w:val="auto"/>
              </w:rPr>
            </w:pPr>
            <w:r>
              <w:rPr>
                <w:rFonts w:ascii="Times New Roman" w:cs="Times New Roman" w:eastAsia="Times New Roman" w:hAnsi="Times New Roman"/>
                <w:sz w:val="13"/>
                <w:szCs w:val="13"/>
                <w:b w:val="1"/>
                <w:bCs w:val="1"/>
                <w:color w:val="auto"/>
              </w:rPr>
              <w:t>Identica</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Markets</w:t>
            </w:r>
          </w:p>
        </w:tc>
        <w:tc>
          <w:tcPr>
            <w:tcW w:w="180" w:type="dxa"/>
            <w:vAlign w:val="bottom"/>
          </w:tcPr>
          <w:p>
            <w:pPr>
              <w:spacing w:after="0"/>
              <w:rPr>
                <w:sz w:val="12"/>
                <w:szCs w:val="12"/>
                <w:color w:val="auto"/>
              </w:rPr>
            </w:pPr>
          </w:p>
        </w:tc>
        <w:tc>
          <w:tcPr>
            <w:tcW w:w="90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20" w:type="dxa"/>
            <w:vAlign w:val="bottom"/>
          </w:tcPr>
          <w:p>
            <w:pPr>
              <w:spacing w:after="0"/>
              <w:rPr>
                <w:sz w:val="12"/>
                <w:szCs w:val="12"/>
                <w:color w:val="auto"/>
              </w:rPr>
            </w:pPr>
          </w:p>
        </w:tc>
        <w:tc>
          <w:tcPr>
            <w:tcW w:w="74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3"/>
                <w:szCs w:val="13"/>
                <w:b w:val="1"/>
                <w:bCs w:val="1"/>
                <w:color w:val="auto"/>
              </w:rPr>
              <w:t>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3"/>
                <w:szCs w:val="13"/>
                <w:b w:val="1"/>
                <w:bCs w:val="1"/>
                <w:color w:val="auto"/>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3"/>
                <w:szCs w:val="13"/>
                <w:b w:val="1"/>
                <w:bCs w:val="1"/>
                <w:color w:val="auto"/>
              </w:rPr>
              <w:t>Other</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3"/>
                <w:szCs w:val="13"/>
                <w:b w:val="1"/>
                <w:bCs w:val="1"/>
                <w:color w:val="auto"/>
              </w:rPr>
              <w:t>for</w:t>
            </w:r>
          </w:p>
        </w:tc>
        <w:tc>
          <w:tcPr>
            <w:tcW w:w="180" w:type="dxa"/>
            <w:vAlign w:val="bottom"/>
          </w:tcPr>
          <w:p>
            <w:pPr>
              <w:spacing w:after="0"/>
              <w:rPr>
                <w:sz w:val="12"/>
                <w:szCs w:val="12"/>
                <w:color w:val="auto"/>
              </w:rPr>
            </w:pPr>
          </w:p>
        </w:tc>
        <w:tc>
          <w:tcPr>
            <w:tcW w:w="90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3"/>
                <w:szCs w:val="13"/>
                <w:b w:val="1"/>
                <w:bCs w:val="1"/>
                <w:color w:val="auto"/>
              </w:rPr>
              <w:t>Other</w:t>
            </w:r>
          </w:p>
        </w:tc>
        <w:tc>
          <w:tcPr>
            <w:tcW w:w="860" w:type="dxa"/>
            <w:vAlign w:val="bottom"/>
            <w:gridSpan w:val="2"/>
          </w:tcPr>
          <w:p>
            <w:pPr>
              <w:jc w:val="center"/>
              <w:ind w:right="15"/>
              <w:spacing w:after="0" w:line="149" w:lineRule="exact"/>
              <w:rPr>
                <w:sz w:val="20"/>
                <w:szCs w:val="20"/>
                <w:color w:val="auto"/>
              </w:rPr>
            </w:pPr>
            <w:r>
              <w:rPr>
                <w:rFonts w:ascii="Times New Roman" w:cs="Times New Roman" w:eastAsia="Times New Roman" w:hAnsi="Times New Roman"/>
                <w:sz w:val="13"/>
                <w:szCs w:val="13"/>
                <w:b w:val="1"/>
                <w:bCs w:val="1"/>
                <w:color w:val="auto"/>
              </w:rPr>
              <w:t>Unobservab</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center"/>
              <w:ind w:right="35"/>
              <w:spacing w:after="0" w:line="149" w:lineRule="exact"/>
              <w:rPr>
                <w:sz w:val="20"/>
                <w:szCs w:val="20"/>
                <w:color w:val="auto"/>
              </w:rPr>
            </w:pPr>
            <w:r>
              <w:rPr>
                <w:rFonts w:ascii="Times New Roman" w:cs="Times New Roman" w:eastAsia="Times New Roman" w:hAnsi="Times New Roman"/>
                <w:sz w:val="13"/>
                <w:szCs w:val="13"/>
                <w:b w:val="1"/>
                <w:bCs w:val="1"/>
                <w:color w:val="auto"/>
              </w:rPr>
              <w:t>Assets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3"/>
                <w:szCs w:val="13"/>
                <w:b w:val="1"/>
                <w:bCs w:val="1"/>
                <w:color w:val="auto"/>
              </w:rPr>
              <w:t>Observable</w:t>
            </w:r>
          </w:p>
        </w:tc>
        <w:tc>
          <w:tcPr>
            <w:tcW w:w="20" w:type="dxa"/>
            <w:vAlign w:val="bottom"/>
          </w:tcPr>
          <w:p>
            <w:pPr>
              <w:spacing w:after="0"/>
              <w:rPr>
                <w:sz w:val="12"/>
                <w:szCs w:val="12"/>
                <w:color w:val="auto"/>
              </w:rPr>
            </w:pPr>
          </w:p>
        </w:tc>
        <w:tc>
          <w:tcPr>
            <w:tcW w:w="1060" w:type="dxa"/>
            <w:vAlign w:val="bottom"/>
            <w:gridSpan w:val="2"/>
          </w:tcPr>
          <w:p>
            <w:pPr>
              <w:jc w:val="center"/>
              <w:ind w:right="15"/>
              <w:spacing w:after="0" w:line="149" w:lineRule="exact"/>
              <w:rPr>
                <w:sz w:val="20"/>
                <w:szCs w:val="20"/>
                <w:color w:val="auto"/>
              </w:rPr>
            </w:pPr>
            <w:r>
              <w:rPr>
                <w:rFonts w:ascii="Times New Roman" w:cs="Times New Roman" w:eastAsia="Times New Roman" w:hAnsi="Times New Roman"/>
                <w:sz w:val="13"/>
                <w:szCs w:val="13"/>
                <w:b w:val="1"/>
                <w:bCs w:val="1"/>
                <w:color w:val="auto"/>
              </w:rPr>
              <w:t>Unobservable</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Identical</w:t>
            </w:r>
          </w:p>
        </w:tc>
        <w:tc>
          <w:tcPr>
            <w:tcW w:w="180" w:type="dxa"/>
            <w:vAlign w:val="bottom"/>
          </w:tcPr>
          <w:p>
            <w:pPr>
              <w:spacing w:after="0"/>
              <w:rPr>
                <w:sz w:val="12"/>
                <w:szCs w:val="12"/>
                <w:color w:val="auto"/>
              </w:rPr>
            </w:pPr>
          </w:p>
        </w:tc>
        <w:tc>
          <w:tcPr>
            <w:tcW w:w="90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3"/>
                <w:szCs w:val="13"/>
                <w:b w:val="1"/>
                <w:bCs w:val="1"/>
                <w:color w:val="auto"/>
              </w:rPr>
              <w:t>Observable</w:t>
            </w:r>
          </w:p>
        </w:tc>
        <w:tc>
          <w:tcPr>
            <w:tcW w:w="120" w:type="dxa"/>
            <w:vAlign w:val="bottom"/>
          </w:tcPr>
          <w:p>
            <w:pPr>
              <w:spacing w:after="0"/>
              <w:rPr>
                <w:sz w:val="12"/>
                <w:szCs w:val="12"/>
                <w:color w:val="auto"/>
              </w:rPr>
            </w:pPr>
          </w:p>
        </w:tc>
        <w:tc>
          <w:tcPr>
            <w:tcW w:w="74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3"/>
                <w:szCs w:val="13"/>
                <w:b w:val="1"/>
                <w:bCs w:val="1"/>
                <w:color w:val="auto"/>
              </w:rPr>
              <w:t>le</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center"/>
              <w:ind w:right="75"/>
              <w:spacing w:after="0" w:line="149" w:lineRule="exact"/>
              <w:rPr>
                <w:sz w:val="20"/>
                <w:szCs w:val="20"/>
                <w:color w:val="auto"/>
              </w:rPr>
            </w:pPr>
            <w:r>
              <w:rPr>
                <w:rFonts w:ascii="Times New Roman" w:cs="Times New Roman" w:eastAsia="Times New Roman" w:hAnsi="Times New Roman"/>
                <w:sz w:val="13"/>
                <w:szCs w:val="13"/>
                <w:b w:val="1"/>
                <w:bCs w:val="1"/>
                <w:color w:val="auto"/>
              </w:rPr>
              <w:t>(Level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3"/>
                <w:szCs w:val="13"/>
                <w:b w:val="1"/>
                <w:bCs w:val="1"/>
                <w:color w:val="auto"/>
                <w:w w:val="99"/>
              </w:rPr>
              <w:t>Inputs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3"/>
                <w:szCs w:val="13"/>
                <w:b w:val="1"/>
                <w:bCs w:val="1"/>
                <w:color w:val="auto"/>
                <w:w w:val="99"/>
              </w:rPr>
              <w:t>Inputs</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3"/>
                <w:szCs w:val="13"/>
                <w:b w:val="1"/>
                <w:bCs w:val="1"/>
                <w:color w:val="auto"/>
              </w:rPr>
              <w:t>Assets</w:t>
            </w:r>
          </w:p>
        </w:tc>
        <w:tc>
          <w:tcPr>
            <w:tcW w:w="180" w:type="dxa"/>
            <w:vAlign w:val="bottom"/>
          </w:tcPr>
          <w:p>
            <w:pPr>
              <w:spacing w:after="0"/>
              <w:rPr>
                <w:sz w:val="12"/>
                <w:szCs w:val="12"/>
                <w:color w:val="auto"/>
              </w:rPr>
            </w:pPr>
          </w:p>
        </w:tc>
        <w:tc>
          <w:tcPr>
            <w:tcW w:w="90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3"/>
                <w:szCs w:val="13"/>
                <w:b w:val="1"/>
                <w:bCs w:val="1"/>
                <w:color w:val="auto"/>
                <w:w w:val="99"/>
              </w:rPr>
              <w:t>Inputs</w:t>
            </w:r>
          </w:p>
        </w:tc>
        <w:tc>
          <w:tcPr>
            <w:tcW w:w="120" w:type="dxa"/>
            <w:vAlign w:val="bottom"/>
          </w:tcPr>
          <w:p>
            <w:pPr>
              <w:spacing w:after="0"/>
              <w:rPr>
                <w:sz w:val="12"/>
                <w:szCs w:val="12"/>
                <w:color w:val="auto"/>
              </w:rPr>
            </w:pPr>
          </w:p>
        </w:tc>
        <w:tc>
          <w:tcPr>
            <w:tcW w:w="74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3"/>
                <w:szCs w:val="13"/>
                <w:b w:val="1"/>
                <w:bCs w:val="1"/>
                <w:color w:val="auto"/>
                <w:w w:val="99"/>
              </w:rPr>
              <w:t>Inputs</w:t>
            </w:r>
          </w:p>
        </w:tc>
        <w:tc>
          <w:tcPr>
            <w:tcW w:w="0" w:type="dxa"/>
            <w:vAlign w:val="bottom"/>
          </w:tcPr>
          <w:p>
            <w:pPr>
              <w:spacing w:after="0"/>
              <w:rPr>
                <w:sz w:val="1"/>
                <w:szCs w:val="1"/>
                <w:color w:val="auto"/>
              </w:rPr>
            </w:pPr>
          </w:p>
        </w:tc>
      </w:tr>
      <w:tr>
        <w:trPr>
          <w:trHeight w:val="179"/>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3"/>
                <w:szCs w:val="13"/>
                <w:b w:val="1"/>
                <w:bCs w:val="1"/>
                <w:color w:val="auto"/>
              </w:rPr>
              <w:t>1)</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0" w:type="dxa"/>
            <w:vAlign w:val="bottom"/>
          </w:tcPr>
          <w:p>
            <w:pPr>
              <w:spacing w:after="0"/>
              <w:rPr>
                <w:sz w:val="1"/>
                <w:szCs w:val="1"/>
                <w:color w:val="auto"/>
              </w:rPr>
            </w:pPr>
          </w:p>
        </w:tc>
      </w:tr>
      <w:tr>
        <w:trPr>
          <w:trHeight w:val="236"/>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Short Term Securities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Common and Preferred Stock</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220" w:type="dxa"/>
            <w:vAlign w:val="bottom"/>
          </w:tcPr>
          <w:p>
            <w:pPr>
              <w:spacing w:after="0"/>
              <w:rPr>
                <w:sz w:val="20"/>
                <w:szCs w:val="20"/>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Securities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2,673</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2,673</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Bonds</w:t>
            </w:r>
          </w:p>
        </w:tc>
        <w:tc>
          <w:tcPr>
            <w:tcW w:w="220" w:type="dxa"/>
            <w:vAlign w:val="bottom"/>
          </w:tcPr>
          <w:p>
            <w:pPr>
              <w:spacing w:after="0"/>
              <w:rPr>
                <w:sz w:val="20"/>
                <w:szCs w:val="20"/>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958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958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2,391</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2,320</w:t>
            </w:r>
          </w:p>
        </w:tc>
        <w:tc>
          <w:tcPr>
            <w:tcW w:w="120" w:type="dxa"/>
            <w:vAlign w:val="bottom"/>
          </w:tcPr>
          <w:p>
            <w:pPr>
              <w:spacing w:after="0"/>
              <w:rPr>
                <w:sz w:val="20"/>
                <w:szCs w:val="20"/>
                <w:color w:val="auto"/>
              </w:rPr>
            </w:pPr>
          </w:p>
        </w:tc>
        <w:tc>
          <w:tcPr>
            <w:tcW w:w="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Repurchase Agreements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(570 )</w:t>
            </w: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(570 )</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Backed Securities</w:t>
            </w:r>
          </w:p>
        </w:tc>
        <w:tc>
          <w:tcPr>
            <w:tcW w:w="220" w:type="dxa"/>
            <w:vAlign w:val="bottom"/>
          </w:tcPr>
          <w:p>
            <w:pPr>
              <w:spacing w:after="0"/>
              <w:rPr>
                <w:sz w:val="20"/>
                <w:szCs w:val="20"/>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220" w:type="dxa"/>
            <w:vAlign w:val="bottom"/>
          </w:tcPr>
          <w:p>
            <w:pPr>
              <w:spacing w:after="0"/>
              <w:rPr>
                <w:sz w:val="20"/>
                <w:szCs w:val="20"/>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Alternatives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Insurance Contracts</w:t>
            </w:r>
          </w:p>
        </w:tc>
        <w:tc>
          <w:tcPr>
            <w:tcW w:w="220" w:type="dxa"/>
            <w:vAlign w:val="bottom"/>
          </w:tcPr>
          <w:p>
            <w:pPr>
              <w:spacing w:after="0"/>
              <w:rPr>
                <w:sz w:val="20"/>
                <w:szCs w:val="20"/>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7"/>
        </w:trPr>
        <w:tc>
          <w:tcPr>
            <w:tcW w:w="36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Derivatives</w:t>
            </w: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0"/>
        </w:trPr>
        <w:tc>
          <w:tcPr>
            <w:tcW w:w="366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b w:val="1"/>
                <w:bCs w:val="1"/>
                <w:color w:val="auto"/>
              </w:rPr>
              <w:t>Total Investments in the Fair Value</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vMerge w:val="restart"/>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71</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3,807</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2,095</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25</w:t>
            </w:r>
          </w:p>
        </w:tc>
        <w:tc>
          <w:tcPr>
            <w:tcW w:w="0" w:type="dxa"/>
            <w:vAlign w:val="bottom"/>
          </w:tcPr>
          <w:p>
            <w:pPr>
              <w:spacing w:after="0"/>
              <w:rPr>
                <w:sz w:val="1"/>
                <w:szCs w:val="1"/>
                <w:color w:val="auto"/>
              </w:rPr>
            </w:pPr>
          </w:p>
        </w:tc>
      </w:tr>
      <w:tr>
        <w:trPr>
          <w:trHeight w:val="211"/>
        </w:trPr>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220" w:type="dxa"/>
            <w:vAlign w:val="bottom"/>
          </w:tcPr>
          <w:p>
            <w:pPr>
              <w:spacing w:after="0"/>
              <w:rPr>
                <w:sz w:val="18"/>
                <w:szCs w:val="18"/>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3,879</w:t>
            </w:r>
          </w:p>
        </w:tc>
        <w:tc>
          <w:tcPr>
            <w:tcW w:w="160" w:type="dxa"/>
            <w:vAlign w:val="bottom"/>
            <w:gridSpan w:val="2"/>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2,339</w:t>
            </w:r>
          </w:p>
        </w:tc>
        <w:tc>
          <w:tcPr>
            <w:tcW w:w="1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660" w:type="dxa"/>
            <w:vAlign w:val="bottom"/>
            <w:shd w:val="clear" w:color="auto" w:fill="CFF0FC"/>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Investments Measured at Net Asset Value, as</w:t>
            </w: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Practical Expedient:</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220" w:type="dxa"/>
            <w:vAlign w:val="bottom"/>
          </w:tcPr>
          <w:p>
            <w:pPr>
              <w:spacing w:after="0"/>
              <w:rPr>
                <w:sz w:val="20"/>
                <w:szCs w:val="20"/>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Partnership Interests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Securities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388</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220" w:type="dxa"/>
            <w:vAlign w:val="bottom"/>
          </w:tcPr>
          <w:p>
            <w:pPr>
              <w:spacing w:after="0"/>
              <w:rPr>
                <w:sz w:val="20"/>
                <w:szCs w:val="20"/>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877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Partnership Interests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Short Term Securities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Pooled Separate Accounts</w:t>
            </w:r>
          </w:p>
        </w:tc>
        <w:tc>
          <w:tcPr>
            <w:tcW w:w="220" w:type="dxa"/>
            <w:vAlign w:val="bottom"/>
          </w:tcPr>
          <w:p>
            <w:pPr>
              <w:spacing w:after="0"/>
              <w:rPr>
                <w:sz w:val="20"/>
                <w:szCs w:val="20"/>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Alternatives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5,771</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3,337</w:t>
            </w: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Plan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5,720</w:t>
            </w:r>
          </w:p>
        </w:tc>
        <w:tc>
          <w:tcPr>
            <w:tcW w:w="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3,272</w:t>
            </w:r>
          </w:p>
        </w:tc>
        <w:tc>
          <w:tcPr>
            <w:tcW w:w="12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3010535</wp:posOffset>
            </wp:positionH>
            <wp:positionV relativeFrom="paragraph">
              <wp:posOffset>-3098800</wp:posOffset>
            </wp:positionV>
            <wp:extent cx="8255" cy="29972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255" cy="299720"/>
                    </a:xfrm>
                    <a:prstGeom prst="rect">
                      <a:avLst/>
                    </a:prstGeom>
                    <a:noFill/>
                  </pic:spPr>
                </pic:pic>
              </a:graphicData>
            </a:graphic>
          </wp:anchor>
        </w:drawing>
        <w:drawing>
          <wp:anchor simplePos="0" relativeHeight="251657728" behindDoc="1" locked="0" layoutInCell="0" allowOverlap="1">
            <wp:simplePos x="0" y="0"/>
            <wp:positionH relativeFrom="column">
              <wp:posOffset>3430270</wp:posOffset>
            </wp:positionH>
            <wp:positionV relativeFrom="paragraph">
              <wp:posOffset>-3098800</wp:posOffset>
            </wp:positionV>
            <wp:extent cx="8255" cy="29972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255" cy="299720"/>
                    </a:xfrm>
                    <a:prstGeom prst="rect">
                      <a:avLst/>
                    </a:prstGeom>
                    <a:noFill/>
                  </pic:spPr>
                </pic:pic>
              </a:graphicData>
            </a:graphic>
          </wp:anchor>
        </w:drawing>
        <w:drawing>
          <wp:anchor simplePos="0" relativeHeight="251657728" behindDoc="1" locked="0" layoutInCell="0" allowOverlap="1">
            <wp:simplePos x="0" y="0"/>
            <wp:positionH relativeFrom="column">
              <wp:posOffset>4106545</wp:posOffset>
            </wp:positionH>
            <wp:positionV relativeFrom="paragraph">
              <wp:posOffset>-3098800</wp:posOffset>
            </wp:positionV>
            <wp:extent cx="8255" cy="29972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255" cy="299720"/>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-24765</wp:posOffset>
            </wp:positionV>
            <wp:extent cx="825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-7620</wp:posOffset>
            </wp:positionV>
            <wp:extent cx="825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2022 and 2021, the Plans did not directly hold any of our common stock.</w:t>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classification of fair value measurements within the hierarchy is based upon the lowest level of input that is significant to the measurement. Investments that are measured at Net Asset Value ("NAV") as a practical expedient to estimate fair value are not classified in the fair value hierarchy. Under the practical expedient approach, the NAV is based on the fair value of the underlying investments held by each fund less its liabilities. This practical expedient would not be used when it is determined to be probable that the fund will sell the investment for an amount different than the reported NAV. The fair value amounts presented in this table are intended to permit reconciliation of the fair value hierarchy to total plan assets. Valuation methodologies used for assets and liabilities measured at fair value are as follows:</w:t>
      </w:r>
    </w:p>
    <w:p>
      <w:pPr>
        <w:spacing w:after="0" w:line="76" w:lineRule="exact"/>
        <w:rPr>
          <w:sz w:val="20"/>
          <w:szCs w:val="20"/>
          <w:color w:val="auto"/>
        </w:rPr>
      </w:pPr>
    </w:p>
    <w:p>
      <w:pPr>
        <w:jc w:val="both"/>
        <w:ind w:left="760" w:hanging="378"/>
        <w:spacing w:after="0" w:line="267"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and Short Term Securities: </w:t>
      </w:r>
      <w:r>
        <w:rPr>
          <w:rFonts w:ascii="Times New Roman" w:cs="Times New Roman" w:eastAsia="Times New Roman" w:hAnsi="Times New Roman"/>
          <w:sz w:val="18"/>
          <w:szCs w:val="18"/>
          <w:color w:val="auto"/>
        </w:rPr>
        <w:t>Cash and cash equivalents consist of U.S. and foreign currencies. Foreign currencies are reported in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dollars based on currency exchange rates readily available in active markets. Short term securities held in commingled funds or pooled separate accounts are valued at the NAV of units held at year end, as determined by the investment manager.</w:t>
      </w:r>
    </w:p>
    <w:p>
      <w:pPr>
        <w:spacing w:after="0" w:line="64" w:lineRule="exact"/>
        <w:rPr>
          <w:rFonts w:ascii="Times New Roman" w:cs="Times New Roman" w:eastAsia="Times New Roman" w:hAnsi="Times New Roman"/>
          <w:sz w:val="18"/>
          <w:szCs w:val="18"/>
          <w:color w:val="auto"/>
        </w:rPr>
      </w:pPr>
    </w:p>
    <w:p>
      <w:pPr>
        <w:jc w:val="both"/>
        <w:ind w:left="760" w:hanging="378"/>
        <w:spacing w:after="0" w:line="255"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 Securities: </w:t>
      </w:r>
      <w:r>
        <w:rPr>
          <w:rFonts w:ascii="Times New Roman" w:cs="Times New Roman" w:eastAsia="Times New Roman" w:hAnsi="Times New Roman"/>
          <w:sz w:val="18"/>
          <w:szCs w:val="18"/>
          <w:color w:val="auto"/>
        </w:rPr>
        <w:t>Common and preferred stock, which are held in non-U.S. companies, are valued at the closing price reported on the 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on which the individual securities are traded. Commingled funds are primarily valued at the NAV of units held at year end, as determined by a pricing vendor or the fund family. Mutual funds are valued at the NAV of shares held at year end, as determined by the closing price reported on the active market on which the individual securities are traded, or a pricing vendor or the fund family if an active market is not available. Partnership interests in private equity securities are priced based on valuations using the partnership’s latest available financial statements and the plan's percent ownership, adjusted for any cash transactions which occurred between the date of those financial statements and our year end.</w:t>
      </w:r>
    </w:p>
    <w:p>
      <w:pPr>
        <w:spacing w:after="0" w:line="78" w:lineRule="exact"/>
        <w:rPr>
          <w:rFonts w:ascii="Times New Roman" w:cs="Times New Roman" w:eastAsia="Times New Roman" w:hAnsi="Times New Roman"/>
          <w:sz w:val="18"/>
          <w:szCs w:val="18"/>
          <w:color w:val="auto"/>
        </w:rPr>
      </w:pPr>
    </w:p>
    <w:p>
      <w:pPr>
        <w:jc w:val="both"/>
        <w:ind w:left="760" w:hanging="378"/>
        <w:spacing w:after="0" w:line="254"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Debt Securities: </w:t>
      </w:r>
      <w:r>
        <w:rPr>
          <w:rFonts w:ascii="Times New Roman" w:cs="Times New Roman" w:eastAsia="Times New Roman" w:hAnsi="Times New Roman"/>
          <w:sz w:val="18"/>
          <w:szCs w:val="18"/>
          <w:color w:val="auto"/>
        </w:rPr>
        <w:t>Corporate and government bonds, including asset backed securities, are valued at the closing price reported on the 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on which the individual securities are traded, or based on institutional bid evaluations using proprietary models if an active market is not available. Repurchase agreements are valued at the contract price plus accrued interest. These secured borrowings are collateralized by government bonds held by the non-U.S. plans and have maturities less than one year. Commingled funds are primarily valued at the NAV of units held at year end, as determined by a pricing vendor or the fund family. Mutual funds are valued at the NAV of shares held at year end, as determined by the closing price reported on the active market on which the individual securities are traded, or a pricing vendor or the fund family if an active market is not available. Partnership interests in private credit securities are priced based on valuations using the partnership’s latest available financial statements and the plan's percent ownership, adjusted for any cash transactions which occurred between the date of those financial statements and our year end.</w:t>
      </w:r>
    </w:p>
    <w:p>
      <w:pPr>
        <w:spacing w:after="0" w:line="78" w:lineRule="exact"/>
        <w:rPr>
          <w:rFonts w:ascii="Times New Roman" w:cs="Times New Roman" w:eastAsia="Times New Roman" w:hAnsi="Times New Roman"/>
          <w:sz w:val="18"/>
          <w:szCs w:val="18"/>
          <w:color w:val="auto"/>
        </w:rPr>
      </w:pPr>
    </w:p>
    <w:p>
      <w:pPr>
        <w:jc w:val="both"/>
        <w:ind w:left="760" w:hanging="378"/>
        <w:spacing w:after="0" w:line="274" w:lineRule="auto"/>
        <w:tabs>
          <w:tab w:leader="none" w:pos="7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Alternatives: </w:t>
      </w:r>
      <w:r>
        <w:rPr>
          <w:rFonts w:ascii="Times New Roman" w:cs="Times New Roman" w:eastAsia="Times New Roman" w:hAnsi="Times New Roman"/>
          <w:sz w:val="17"/>
          <w:szCs w:val="17"/>
          <w:color w:val="auto"/>
        </w:rPr>
        <w:t>Commingled funds, which primarily consist of real estate funds, are valued based on the NAV as determined by the fund manager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using the most recent financial information available. Partnership interests are invested in real estate and priced based on valuations using the partnership's latest available financial statements and the plan's percent ownership, adjusted for any cash transactions which occurred between the date of those financial statements and our year end. Other investments primarily include derivative financial instruments, which are valued using independent pricing sources which utilize industry standard derivative valuation models. Directed insurance contracts are valued as reported by the issuer, based on discounted cash flows using weighted average discount rates of 3.0% and 2.1% at December 31, 2022 and 2021, respectively.</w:t>
      </w:r>
    </w:p>
    <w:p>
      <w:pPr>
        <w:spacing w:after="0" w:line="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changes in fair value of the non-U.S. pension plan insurance contracts classified as Level 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0" w:type="dxa"/>
            <w:vAlign w:val="bottom"/>
          </w:tcPr>
          <w:p>
            <w:pPr>
              <w:spacing w:after="0"/>
              <w:rPr>
                <w:sz w:val="16"/>
                <w:szCs w:val="16"/>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beginning of year</w:t>
            </w:r>
          </w:p>
        </w:tc>
        <w:tc>
          <w:tcPr>
            <w:tcW w:w="236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25</w:t>
            </w: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relating to instruments still held at the reporting date</w:t>
            </w:r>
          </w:p>
        </w:tc>
        <w:tc>
          <w:tcPr>
            <w:tcW w:w="2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0" w:type="dxa"/>
            <w:vAlign w:val="bottom"/>
          </w:tcPr>
          <w:p>
            <w:pPr>
              <w:spacing w:after="0"/>
              <w:rPr>
                <w:sz w:val="21"/>
                <w:szCs w:val="21"/>
                <w:color w:val="auto"/>
              </w:rPr>
            </w:pPr>
          </w:p>
        </w:tc>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3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27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20</w:t>
            </w:r>
          </w:p>
        </w:tc>
        <w:tc>
          <w:tcPr>
            <w:tcW w:w="5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360" w:type="dxa"/>
            <w:vAlign w:val="bottom"/>
            <w:vMerge w:val="restart"/>
          </w:tcPr>
          <w:p>
            <w:pPr>
              <w:jc w:val="right"/>
              <w:ind w:right="1810"/>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9A9A9A"/>
            </w:tcBorders>
          </w:tcPr>
          <w:p>
            <w:pPr>
              <w:spacing w:after="0"/>
              <w:rPr>
                <w:sz w:val="8"/>
                <w:szCs w:val="8"/>
                <w:color w:val="auto"/>
              </w:rPr>
            </w:pPr>
          </w:p>
        </w:tc>
        <w:tc>
          <w:tcPr>
            <w:tcW w:w="5220" w:type="dxa"/>
            <w:vAlign w:val="bottom"/>
            <w:tcBorders>
              <w:bottom w:val="single" w:sz="8" w:color="9A9A9A"/>
            </w:tcBorders>
          </w:tcPr>
          <w:p>
            <w:pPr>
              <w:spacing w:after="0"/>
              <w:rPr>
                <w:sz w:val="8"/>
                <w:szCs w:val="8"/>
                <w:color w:val="auto"/>
              </w:rPr>
            </w:pPr>
          </w:p>
        </w:tc>
        <w:tc>
          <w:tcPr>
            <w:tcW w:w="23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5921375</wp:posOffset>
            </wp:positionH>
            <wp:positionV relativeFrom="paragraph">
              <wp:posOffset>-675640</wp:posOffset>
            </wp:positionV>
            <wp:extent cx="120015" cy="18859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Savings Plans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employees in the U.S. and employees of certain non-U.S. locations are eligible to participate in a defined contribution savings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recognized for contributions to these plans were $127 million, $116 million and $100 million for 2022, 2021 and 2020, respectively.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Stock Compensation Plans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stock compensation plans (collectively, the “Plans”) permit the grant of stock options, stock appreciation rights (“SARs”), performance share units, restricted stock, restricted stock units and other stock-based awards to employees and directors. Our current stock compensation plan, the 2022 Performance Plan, was adopted on April 11, 2022 and expires on February 28, 2032. A total of 21 million shares of our common stock may be issued in respect of grants made under the 2022 Performance Plan. Any shares of common stock that are subject to awards of stock options or SARs will be counted as one share for each share granted for purposes of the aggregate share limit and any shares of common stock that are subject to any other awards will be counted as 2 shares for each share granted for purposes of the aggregate share limit. In addition, shares of common stock that are subject to awards issued under the 2022 Performance Plan or certain prior Plans that expire according to their terms or are forfeited, terminated, canceled or surrendered or are settled, or can be paid, only in cash, or are surrendered in payment of taxes associated with such awards (other than stock options or SARs) will be available for issuance pursuant to a new award under the 2022 Performance Plan. Shares issued under our Plans are usually issued from shares of our common stock held in treasury.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Grants of stock options and SARs (collectively referred to as “options”) under the Plans generally have a graded vesting period of four years whereby one-fourth of the awards vest on each of the first four anniversaries of the grant date, an exercise price equal to the fair market value of one share of our common stock on the date of grant (i.e., the closing market price on that date) and a contractual term of ten years. The exercise of tandem SARs cancels an equivalent number of stock options and, conversely, the exercise of stock options cancels an equivalent number of tandem SARs. Option grants are cancelled on, or 90 days following, termination of employment unless termination is due to retirement, death or disability under certain circumstances, in which case, all outstanding options vest fully and remain outstanding for a term set forth in the related grant agreement.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options during 2022:</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1060" w:type="dxa"/>
            <w:vAlign w:val="bottom"/>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106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40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2"/>
                <w:szCs w:val="12"/>
                <w:color w:val="auto"/>
              </w:rPr>
            </w:pPr>
          </w:p>
        </w:tc>
        <w:tc>
          <w:tcPr>
            <w:tcW w:w="940" w:type="dxa"/>
            <w:vAlign w:val="bottom"/>
          </w:tcPr>
          <w:p>
            <w:pPr>
              <w:jc w:val="center"/>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2"/>
                <w:szCs w:val="12"/>
                <w:color w:val="auto"/>
              </w:rPr>
            </w:pPr>
          </w:p>
        </w:tc>
        <w:tc>
          <w:tcPr>
            <w:tcW w:w="106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87"/>
        </w:trPr>
        <w:tc>
          <w:tcPr>
            <w:tcW w:w="6420" w:type="dxa"/>
            <w:vAlign w:val="bottom"/>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January 1</w:t>
            </w:r>
          </w:p>
        </w:tc>
        <w:tc>
          <w:tcPr>
            <w:tcW w:w="14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6,438,801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17.03</w:t>
            </w:r>
          </w:p>
        </w:tc>
        <w:tc>
          <w:tcPr>
            <w:tcW w:w="10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granted</w:t>
            </w:r>
          </w:p>
        </w:tc>
        <w:tc>
          <w:tcPr>
            <w:tcW w:w="14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Options exercised</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(77,925 )</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12.59</w:t>
            </w:r>
          </w:p>
        </w:tc>
        <w:tc>
          <w:tcPr>
            <w:tcW w:w="10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8"/>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expired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(106,826 )</w:t>
            </w:r>
          </w:p>
        </w:tc>
        <w:tc>
          <w:tcPr>
            <w:tcW w:w="180" w:type="dxa"/>
            <w:vAlign w:val="bottom"/>
          </w:tcPr>
          <w:p>
            <w:pPr>
              <w:spacing w:after="0"/>
              <w:rPr>
                <w:sz w:val="20"/>
                <w:szCs w:val="20"/>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12.24</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Options cancelled</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(326,652 )</w:t>
            </w:r>
          </w:p>
        </w:tc>
        <w:tc>
          <w:tcPr>
            <w:tcW w:w="1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16.50</w:t>
            </w:r>
          </w:p>
        </w:tc>
        <w:tc>
          <w:tcPr>
            <w:tcW w:w="10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w:t>
            </w:r>
          </w:p>
        </w:tc>
        <w:tc>
          <w:tcPr>
            <w:tcW w:w="14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5,927,398</w:t>
            </w:r>
          </w:p>
        </w:tc>
        <w:tc>
          <w:tcPr>
            <w:tcW w:w="180" w:type="dxa"/>
            <w:vAlign w:val="bottom"/>
          </w:tcPr>
          <w:p>
            <w:pPr>
              <w:spacing w:after="0"/>
              <w:rPr>
                <w:sz w:val="20"/>
                <w:szCs w:val="20"/>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17.20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8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w:t>
            </w:r>
          </w:p>
        </w:tc>
        <w:tc>
          <w:tcPr>
            <w:tcW w:w="14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5,867,477</w:t>
            </w:r>
          </w:p>
        </w:tc>
        <w:tc>
          <w:tcPr>
            <w:tcW w:w="18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17.27</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December 31</w:t>
            </w:r>
          </w:p>
        </w:tc>
        <w:tc>
          <w:tcPr>
            <w:tcW w:w="14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3,370,420</w:t>
            </w:r>
          </w:p>
        </w:tc>
        <w:tc>
          <w:tcPr>
            <w:tcW w:w="18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22.57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6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Available for grant at December 31</w:t>
            </w:r>
          </w:p>
        </w:tc>
        <w:tc>
          <w:tcPr>
            <w:tcW w:w="14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21,697,291</w:t>
            </w:r>
          </w:p>
        </w:tc>
        <w:tc>
          <w:tcPr>
            <w:tcW w:w="18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4962525</wp:posOffset>
            </wp:positionH>
            <wp:positionV relativeFrom="paragraph">
              <wp:posOffset>-727075</wp:posOffset>
            </wp:positionV>
            <wp:extent cx="8255" cy="18859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255" cy="18859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-384810</wp:posOffset>
            </wp:positionV>
            <wp:extent cx="8255" cy="20574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255" cy="205740"/>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-24765</wp:posOffset>
            </wp:positionV>
            <wp:extent cx="825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-7620</wp:posOffset>
            </wp:positionV>
            <wp:extent cx="825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aggregate intrinsic value of options exercised in 2021 and 2020 was $11 million and $0 million, respectively.</w:t>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Significant option groups outstanding at December 31, 2022 and related weighted average exercise price and remaining contractual term information follows:</w:t>
      </w:r>
    </w:p>
    <w:tbl>
      <w:tblPr>
        <w:tblLayout w:type="fixed"/>
        <w:tblInd w:w="0" w:type="dxa"/>
        <w:tblCellMar>
          <w:top w:w="0" w:type="dxa"/>
          <w:left w:w="0" w:type="dxa"/>
          <w:bottom w:w="0" w:type="dxa"/>
          <w:right w:w="0" w:type="dxa"/>
        </w:tblCellMar>
      </w:tblPr>
      <w:tr>
        <w:trPr>
          <w:trHeight w:val="138"/>
        </w:trPr>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vMerge w:val="restart"/>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2"/>
                <w:szCs w:val="12"/>
                <w:color w:val="auto"/>
              </w:rPr>
            </w:pPr>
          </w:p>
        </w:tc>
        <w:tc>
          <w:tcPr>
            <w:tcW w:w="2260" w:type="dxa"/>
            <w:vAlign w:val="bottom"/>
            <w:vMerge w:val="restart"/>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20" w:type="dxa"/>
            <w:vAlign w:val="bottom"/>
            <w:vMerge w:val="restart"/>
          </w:tcPr>
          <w:p>
            <w:pPr>
              <w:jc w:val="right"/>
              <w:ind w:right="857"/>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12"/>
                <w:szCs w:val="12"/>
                <w:color w:val="auto"/>
              </w:rPr>
            </w:pPr>
          </w:p>
        </w:tc>
        <w:tc>
          <w:tcPr>
            <w:tcW w:w="2260" w:type="dxa"/>
            <w:vAlign w:val="bottom"/>
          </w:tcPr>
          <w:p>
            <w:pPr>
              <w:jc w:val="center"/>
              <w:ind w:right="24"/>
              <w:spacing w:after="0" w:line="13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00" w:type="dxa"/>
            <w:vAlign w:val="bottom"/>
          </w:tcPr>
          <w:p>
            <w:pPr>
              <w:spacing w:after="0"/>
              <w:rPr>
                <w:sz w:val="12"/>
                <w:szCs w:val="12"/>
                <w:color w:val="auto"/>
              </w:rPr>
            </w:pPr>
          </w:p>
        </w:tc>
        <w:tc>
          <w:tcPr>
            <w:tcW w:w="23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87"/>
        </w:trPr>
        <w:tc>
          <w:tcPr>
            <w:tcW w:w="13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6"/>
                <w:szCs w:val="16"/>
                <w:color w:val="auto"/>
              </w:rPr>
            </w:pPr>
          </w:p>
        </w:tc>
        <w:tc>
          <w:tcPr>
            <w:tcW w:w="226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95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80" w:type="dxa"/>
            <w:vAlign w:val="bottom"/>
          </w:tcPr>
          <w:p>
            <w:pPr>
              <w:spacing w:after="0"/>
              <w:rPr>
                <w:sz w:val="16"/>
                <w:szCs w:val="16"/>
                <w:color w:val="auto"/>
              </w:rPr>
            </w:pPr>
          </w:p>
        </w:tc>
        <w:tc>
          <w:tcPr>
            <w:tcW w:w="226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0" w:type="dxa"/>
            <w:vAlign w:val="bottom"/>
          </w:tcPr>
          <w:p>
            <w:pPr>
              <w:spacing w:after="0"/>
              <w:rPr>
                <w:sz w:val="1"/>
                <w:szCs w:val="1"/>
                <w:color w:val="auto"/>
              </w:rPr>
            </w:pPr>
          </w:p>
        </w:tc>
      </w:tr>
      <w:tr>
        <w:trPr>
          <w:trHeight w:val="236"/>
        </w:trPr>
        <w:tc>
          <w:tcPr>
            <w:tcW w:w="1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2/25/2020</w:t>
            </w:r>
          </w:p>
        </w:tc>
        <w:tc>
          <w:tcPr>
            <w:tcW w:w="200" w:type="dxa"/>
            <w:vAlign w:val="bottom"/>
            <w:shd w:val="clear" w:color="auto" w:fill="CFF0FC"/>
          </w:tcPr>
          <w:p>
            <w:pPr>
              <w:spacing w:after="0"/>
              <w:rPr>
                <w:sz w:val="20"/>
                <w:szCs w:val="20"/>
                <w:color w:val="auto"/>
              </w:rPr>
            </w:pPr>
          </w:p>
        </w:tc>
        <w:tc>
          <w:tcPr>
            <w:tcW w:w="23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3,578,172</w:t>
            </w:r>
          </w:p>
        </w:tc>
        <w:tc>
          <w:tcPr>
            <w:tcW w:w="180" w:type="dxa"/>
            <w:vAlign w:val="bottom"/>
            <w:shd w:val="clear" w:color="auto" w:fill="CFF0FC"/>
          </w:tcPr>
          <w:p>
            <w:pPr>
              <w:spacing w:after="0"/>
              <w:rPr>
                <w:sz w:val="20"/>
                <w:szCs w:val="20"/>
                <w:color w:val="auto"/>
              </w:rPr>
            </w:pPr>
          </w:p>
        </w:tc>
        <w:tc>
          <w:tcPr>
            <w:tcW w:w="2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1,021,194</w:t>
            </w:r>
          </w:p>
        </w:tc>
        <w:tc>
          <w:tcPr>
            <w:tcW w:w="24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10.12</w:t>
            </w:r>
          </w:p>
        </w:tc>
        <w:tc>
          <w:tcPr>
            <w:tcW w:w="180" w:type="dxa"/>
            <w:vAlign w:val="bottom"/>
            <w:shd w:val="clear" w:color="auto" w:fill="CFF0FC"/>
          </w:tcPr>
          <w:p>
            <w:pPr>
              <w:spacing w:after="0"/>
              <w:rPr>
                <w:sz w:val="20"/>
                <w:szCs w:val="20"/>
                <w:color w:val="auto"/>
              </w:rPr>
            </w:pPr>
          </w:p>
        </w:tc>
        <w:tc>
          <w:tcPr>
            <w:tcW w:w="22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38"/>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2/27/2017</w:t>
            </w:r>
          </w:p>
        </w:tc>
        <w:tc>
          <w:tcPr>
            <w:tcW w:w="25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530,581</w:t>
            </w:r>
          </w:p>
        </w:tc>
        <w:tc>
          <w:tcPr>
            <w:tcW w:w="24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530,581</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35.26</w:t>
            </w:r>
          </w:p>
        </w:tc>
        <w:tc>
          <w:tcPr>
            <w:tcW w:w="244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47"/>
        </w:trPr>
        <w:tc>
          <w:tcPr>
            <w:tcW w:w="1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2/22/2016</w:t>
            </w:r>
          </w:p>
        </w:tc>
        <w:tc>
          <w:tcPr>
            <w:tcW w:w="25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510,700</w:t>
            </w:r>
          </w:p>
        </w:tc>
        <w:tc>
          <w:tcPr>
            <w:tcW w:w="24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510,700</w:t>
            </w: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29.90</w:t>
            </w:r>
          </w:p>
        </w:tc>
        <w:tc>
          <w:tcPr>
            <w:tcW w:w="244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38"/>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2/23/2015</w:t>
            </w:r>
          </w:p>
        </w:tc>
        <w:tc>
          <w:tcPr>
            <w:tcW w:w="25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455,688</w:t>
            </w:r>
          </w:p>
        </w:tc>
        <w:tc>
          <w:tcPr>
            <w:tcW w:w="24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455,688</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27.16</w:t>
            </w:r>
          </w:p>
        </w:tc>
        <w:tc>
          <w:tcPr>
            <w:tcW w:w="244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47"/>
        </w:trPr>
        <w:tc>
          <w:tcPr>
            <w:tcW w:w="1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2/24/2014</w:t>
            </w:r>
          </w:p>
        </w:tc>
        <w:tc>
          <w:tcPr>
            <w:tcW w:w="25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348,867</w:t>
            </w:r>
          </w:p>
        </w:tc>
        <w:tc>
          <w:tcPr>
            <w:tcW w:w="24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348,867</w:t>
            </w: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26.44</w:t>
            </w:r>
          </w:p>
        </w:tc>
        <w:tc>
          <w:tcPr>
            <w:tcW w:w="244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8"/>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2/28/2013</w:t>
            </w:r>
          </w:p>
        </w:tc>
        <w:tc>
          <w:tcPr>
            <w:tcW w:w="25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217,400</w:t>
            </w:r>
          </w:p>
        </w:tc>
        <w:tc>
          <w:tcPr>
            <w:tcW w:w="24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217,400</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12.98</w:t>
            </w:r>
          </w:p>
        </w:tc>
        <w:tc>
          <w:tcPr>
            <w:tcW w:w="244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47"/>
        </w:trPr>
        <w:tc>
          <w:tcPr>
            <w:tcW w:w="1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00" w:type="dxa"/>
            <w:vAlign w:val="bottom"/>
            <w:tcBorders>
              <w:bottom w:val="single" w:sz="8" w:color="CFF0FC"/>
            </w:tcBorders>
            <w:shd w:val="clear" w:color="auto" w:fill="CFF0FC"/>
          </w:tcPr>
          <w:p>
            <w:pPr>
              <w:spacing w:after="0"/>
              <w:rPr>
                <w:sz w:val="21"/>
                <w:szCs w:val="21"/>
                <w:color w:val="auto"/>
              </w:rPr>
            </w:pPr>
          </w:p>
        </w:tc>
        <w:tc>
          <w:tcPr>
            <w:tcW w:w="23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285,990</w:t>
            </w:r>
          </w:p>
        </w:tc>
        <w:tc>
          <w:tcPr>
            <w:tcW w:w="180" w:type="dxa"/>
            <w:vAlign w:val="bottom"/>
            <w:tcBorders>
              <w:bottom w:val="single" w:sz="8" w:color="CFF0FC"/>
            </w:tcBorders>
            <w:shd w:val="clear" w:color="auto" w:fill="CFF0FC"/>
          </w:tcPr>
          <w:p>
            <w:pPr>
              <w:spacing w:after="0"/>
              <w:rPr>
                <w:sz w:val="21"/>
                <w:szCs w:val="21"/>
                <w:color w:val="auto"/>
              </w:rPr>
            </w:pPr>
          </w:p>
        </w:tc>
        <w:tc>
          <w:tcPr>
            <w:tcW w:w="2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285,990</w:t>
            </w:r>
          </w:p>
        </w:tc>
        <w:tc>
          <w:tcPr>
            <w:tcW w:w="24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182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2"/>
                <w:szCs w:val="12"/>
                <w:color w:val="auto"/>
              </w:rPr>
              <w:t>(1)</w:t>
            </w:r>
          </w:p>
        </w:tc>
        <w:tc>
          <w:tcPr>
            <w:tcW w:w="2440" w:type="dxa"/>
            <w:vAlign w:val="bottom"/>
            <w:tcBorders>
              <w:bottom w:val="single" w:sz="8" w:color="CFF0FC"/>
            </w:tcBorders>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25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5,927,398</w:t>
            </w:r>
          </w:p>
        </w:tc>
        <w:tc>
          <w:tcPr>
            <w:tcW w:w="24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3,370,420</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2436495</wp:posOffset>
            </wp:positionH>
            <wp:positionV relativeFrom="paragraph">
              <wp:posOffset>-187960</wp:posOffset>
            </wp:positionV>
            <wp:extent cx="120015" cy="18859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-187960</wp:posOffset>
            </wp:positionV>
            <wp:extent cx="154305" cy="18859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54305" cy="188595"/>
                    </a:xfrm>
                    <a:prstGeom prst="rect">
                      <a:avLst/>
                    </a:prstGeom>
                    <a:noFill/>
                  </pic:spPr>
                </pic:pic>
              </a:graphicData>
            </a:graphic>
          </wp:anchor>
        </w:drawing>
      </w:r>
    </w:p>
    <w:p>
      <w:pPr>
        <w:spacing w:after="0" w:line="83" w:lineRule="exact"/>
        <w:rPr>
          <w:sz w:val="20"/>
          <w:szCs w:val="20"/>
          <w:color w:val="auto"/>
        </w:rPr>
      </w:pPr>
    </w:p>
    <w:p>
      <w:pPr>
        <w:ind w:left="760" w:right="60" w:hanging="752"/>
        <w:spacing w:after="0" w:line="281"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in the “All other” category had exercise prices ranging from $15.10 to $32.72. The weighted average exercise price for options outstanding and exercisable in that category was $25.69 for both, while the remaining weighted average contractual term was 1.9 years for both.</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grant date fair values of stock options and the assumptions used in estimating those fair values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1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6"/>
                <w:szCs w:val="16"/>
                <w:color w:val="auto"/>
              </w:rPr>
            </w:pPr>
          </w:p>
        </w:tc>
      </w:tr>
      <w:tr>
        <w:trPr>
          <w:trHeight w:val="236"/>
        </w:trPr>
        <w:tc>
          <w:tcPr>
            <w:tcW w:w="9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10.12</w:t>
            </w:r>
          </w:p>
        </w:tc>
        <w:tc>
          <w:tcPr>
            <w:tcW w:w="60" w:type="dxa"/>
            <w:vAlign w:val="bottom"/>
          </w:tcPr>
          <w:p>
            <w:pPr>
              <w:spacing w:after="0"/>
              <w:rPr>
                <w:sz w:val="20"/>
                <w:szCs w:val="20"/>
                <w:color w:val="auto"/>
              </w:rPr>
            </w:pPr>
          </w:p>
        </w:tc>
      </w:tr>
      <w:tr>
        <w:trPr>
          <w:trHeight w:val="243"/>
        </w:trPr>
        <w:tc>
          <w:tcPr>
            <w:tcW w:w="91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Black-Scholes model assumptions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9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Expected term (years)</w:t>
            </w:r>
          </w:p>
        </w:tc>
        <w:tc>
          <w:tcPr>
            <w:tcW w:w="48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7.50</w:t>
            </w:r>
          </w:p>
        </w:tc>
        <w:tc>
          <w:tcPr>
            <w:tcW w:w="60" w:type="dxa"/>
            <w:vAlign w:val="bottom"/>
          </w:tcPr>
          <w:p>
            <w:pPr>
              <w:spacing w:after="0"/>
              <w:rPr>
                <w:sz w:val="21"/>
                <w:szCs w:val="21"/>
                <w:color w:val="auto"/>
              </w:rPr>
            </w:pPr>
          </w:p>
        </w:tc>
      </w:tr>
      <w:tr>
        <w:trPr>
          <w:trHeight w:val="234"/>
        </w:trPr>
        <w:tc>
          <w:tcPr>
            <w:tcW w:w="9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rate</w:t>
            </w:r>
          </w:p>
        </w:tc>
        <w:tc>
          <w:tcPr>
            <w:tcW w:w="48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1.29 %</w:t>
            </w:r>
          </w:p>
        </w:tc>
      </w:tr>
      <w:tr>
        <w:trPr>
          <w:trHeight w:val="238"/>
        </w:trPr>
        <w:tc>
          <w:tcPr>
            <w:tcW w:w="9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Volatility</w:t>
            </w:r>
          </w:p>
        </w:tc>
        <w:tc>
          <w:tcPr>
            <w:tcW w:w="48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41.28 %</w:t>
            </w:r>
          </w:p>
        </w:tc>
      </w:tr>
      <w:tr>
        <w:trPr>
          <w:trHeight w:val="243"/>
        </w:trPr>
        <w:tc>
          <w:tcPr>
            <w:tcW w:w="9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 yield</w:t>
            </w:r>
          </w:p>
        </w:tc>
        <w:tc>
          <w:tcPr>
            <w:tcW w:w="480" w:type="dxa"/>
            <w:vAlign w:val="bottom"/>
          </w:tcPr>
          <w:p>
            <w:pPr>
              <w:spacing w:after="0"/>
              <w:rPr>
                <w:sz w:val="21"/>
                <w:szCs w:val="21"/>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6" w:lineRule="exact"/>
        <w:rPr>
          <w:sz w:val="20"/>
          <w:szCs w:val="20"/>
          <w:color w:val="auto"/>
        </w:rPr>
      </w:pPr>
    </w:p>
    <w:p>
      <w:pPr>
        <w:ind w:left="760" w:right="60" w:hanging="752"/>
        <w:spacing w:after="0" w:line="281"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review the assumptions used in our Black-Scholes model in conjunction with estimating the grant date fair value of grants of options by our Board of Directors. There were no stock options granted during 2022 or 2021.</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Units</w:t>
      </w:r>
    </w:p>
    <w:p>
      <w:pPr>
        <w:spacing w:after="0" w:line="121"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Performance share units granted under the Plans are earned over a three-year period beginning January 1 of the year of grant. Total units earned for grants made in 2022 and 2021 may vary between 0% and 200% and grants made during 2020 may vary between 0% and 133% of the units granted based on the attainment of performance targets during the related three-year period and continued service. The performance targets are established by the Board of Directors. All of the units earned will be settled through the issuance of an equivalent number of shares of our common stock and are equity classified.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performance share units during 2022:</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7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ind w:right="3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740" w:type="dxa"/>
            <w:vAlign w:val="bottom"/>
          </w:tcPr>
          <w:p>
            <w:pPr>
              <w:spacing w:after="0"/>
              <w:rPr>
                <w:sz w:val="12"/>
                <w:szCs w:val="12"/>
                <w:color w:val="auto"/>
              </w:rPr>
            </w:pPr>
          </w:p>
        </w:tc>
        <w:tc>
          <w:tcPr>
            <w:tcW w:w="1620" w:type="dxa"/>
            <w:vAlign w:val="bottom"/>
            <w:vMerge w:val="restart"/>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ind w:right="31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7"/>
        </w:trPr>
        <w:tc>
          <w:tcPr>
            <w:tcW w:w="7740" w:type="dxa"/>
            <w:vAlign w:val="bottom"/>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9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January 1</w:t>
            </w:r>
          </w:p>
        </w:tc>
        <w:tc>
          <w:tcPr>
            <w:tcW w:w="16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1,248,076</w:t>
            </w: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17.46</w:t>
            </w:r>
          </w:p>
        </w:tc>
        <w:tc>
          <w:tcPr>
            <w:tcW w:w="0" w:type="dxa"/>
            <w:vAlign w:val="bottom"/>
          </w:tcPr>
          <w:p>
            <w:pPr>
              <w:spacing w:after="0"/>
              <w:rPr>
                <w:sz w:val="1"/>
                <w:szCs w:val="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 granted</w:t>
            </w:r>
          </w:p>
        </w:tc>
        <w:tc>
          <w:tcPr>
            <w:tcW w:w="1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387,963</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15.60</w:t>
            </w: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Units vested</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(672,590 )</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 forfeited</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(299,759 )</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17.65</w:t>
            </w:r>
          </w:p>
        </w:tc>
        <w:tc>
          <w:tcPr>
            <w:tcW w:w="0" w:type="dxa"/>
            <w:vAlign w:val="bottom"/>
          </w:tcPr>
          <w:p>
            <w:pPr>
              <w:spacing w:after="0"/>
              <w:rPr>
                <w:sz w:val="1"/>
                <w:szCs w:val="1"/>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w:t>
            </w:r>
          </w:p>
        </w:tc>
        <w:tc>
          <w:tcPr>
            <w:tcW w:w="16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663,690</w:t>
            </w:r>
          </w:p>
        </w:tc>
        <w:tc>
          <w:tcPr>
            <w:tcW w:w="1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19.43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5947410</wp:posOffset>
            </wp:positionH>
            <wp:positionV relativeFrom="paragraph">
              <wp:posOffset>-24765</wp:posOffset>
            </wp:positionV>
            <wp:extent cx="11112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-7620</wp:posOffset>
            </wp:positionV>
            <wp:extent cx="11112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83"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We measure the fair value of grants of performance share units based primarily on the closing market price of a share of our common stock on the date of the grant, modified as appropriate to take into account the features of such grants.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Restricted stock units granted under the Plans typically vest over a three-year period beginning on the date of grant. Restricted stock units will be settled through the issuance of an equivalent number of shares of our common stock and are equity classified.</w:t>
      </w:r>
    </w:p>
    <w:p>
      <w:pPr>
        <w:spacing w:after="0" w:line="1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8" w:right="2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restricted stock units during 2022:</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jc w:val="center"/>
              <w:ind w:right="2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Pr>
          <w:p>
            <w:pPr>
              <w:jc w:val="center"/>
              <w:ind w:right="2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40" w:type="dxa"/>
            <w:vAlign w:val="bottom"/>
          </w:tcPr>
          <w:p>
            <w:pPr>
              <w:spacing w:after="0"/>
              <w:rPr>
                <w:sz w:val="12"/>
                <w:szCs w:val="12"/>
                <w:color w:val="auto"/>
              </w:rPr>
            </w:pPr>
          </w:p>
        </w:tc>
        <w:tc>
          <w:tcPr>
            <w:tcW w:w="1680" w:type="dxa"/>
            <w:vAlign w:val="bottom"/>
            <w:vMerge w:val="restart"/>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Pr>
          <w:p>
            <w:pPr>
              <w:jc w:val="center"/>
              <w:ind w:right="297"/>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7"/>
        </w:trPr>
        <w:tc>
          <w:tcPr>
            <w:tcW w:w="7640" w:type="dxa"/>
            <w:vAlign w:val="bottom"/>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January 1</w:t>
            </w:r>
          </w:p>
        </w:tc>
        <w:tc>
          <w:tcPr>
            <w:tcW w:w="1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2,446,979</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15.20</w:t>
            </w:r>
          </w:p>
        </w:tc>
        <w:tc>
          <w:tcPr>
            <w:tcW w:w="0" w:type="dxa"/>
            <w:vAlign w:val="bottom"/>
          </w:tcPr>
          <w:p>
            <w:pPr>
              <w:spacing w:after="0"/>
              <w:rPr>
                <w:sz w:val="1"/>
                <w:szCs w:val="1"/>
                <w:color w:val="auto"/>
              </w:rPr>
            </w:pPr>
          </w:p>
        </w:tc>
      </w:tr>
      <w:tr>
        <w:trPr>
          <w:trHeight w:val="238"/>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 granted</w:t>
            </w:r>
          </w:p>
        </w:tc>
        <w:tc>
          <w:tcPr>
            <w:tcW w:w="1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894,037</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Units vested</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(1,845,892 )</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 forfeited</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(120,516 )</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76"/>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w:t>
            </w:r>
          </w:p>
        </w:tc>
        <w:tc>
          <w:tcPr>
            <w:tcW w:w="16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1,374,608</w:t>
            </w:r>
          </w:p>
        </w:tc>
        <w:tc>
          <w:tcPr>
            <w:tcW w:w="2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12.95</w:t>
            </w:r>
          </w:p>
        </w:tc>
        <w:tc>
          <w:tcPr>
            <w:tcW w:w="0" w:type="dxa"/>
            <w:vAlign w:val="bottom"/>
          </w:tcPr>
          <w:p>
            <w:pPr>
              <w:spacing w:after="0"/>
              <w:rPr>
                <w:sz w:val="1"/>
                <w:szCs w:val="1"/>
                <w:color w:val="auto"/>
              </w:rPr>
            </w:pP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 vested but not released</w:t>
            </w:r>
          </w:p>
        </w:tc>
        <w:tc>
          <w:tcPr>
            <w:tcW w:w="16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1,084,817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17.57</w:t>
            </w:r>
          </w:p>
        </w:tc>
        <w:tc>
          <w:tcPr>
            <w:tcW w:w="0" w:type="dxa"/>
            <w:vAlign w:val="bottom"/>
          </w:tcPr>
          <w:p>
            <w:pPr>
              <w:spacing w:after="0"/>
              <w:rPr>
                <w:sz w:val="1"/>
                <w:szCs w:val="1"/>
                <w:color w:val="auto"/>
              </w:rPr>
            </w:pPr>
          </w:p>
        </w:tc>
      </w:tr>
      <w:tr>
        <w:trPr>
          <w:trHeight w:val="276"/>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w:t>
            </w:r>
          </w:p>
        </w:tc>
        <w:tc>
          <w:tcPr>
            <w:tcW w:w="16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2,459,425</w:t>
            </w:r>
          </w:p>
        </w:tc>
        <w:tc>
          <w:tcPr>
            <w:tcW w:w="2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14.99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-367665</wp:posOffset>
            </wp:positionV>
            <wp:extent cx="137160" cy="18859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37160" cy="18859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-24765</wp:posOffset>
            </wp:positionV>
            <wp:extent cx="13716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13716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measure the fair value of grants of restricted stock units based on the closing market price of a share of our common stock on the date of the grant.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cash payments made to settle SARs and cash received from the exercise of stock options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recognized</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76"/>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After-tax stock-based compensation expense</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w:t>
            </w:r>
          </w:p>
        </w:tc>
        <w:tc>
          <w:tcPr>
            <w:tcW w:w="1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28</w:t>
            </w: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21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 to settle SARs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received from stock option exercises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26</w:t>
            </w:r>
          </w:p>
        </w:tc>
        <w:tc>
          <w:tcPr>
            <w:tcW w:w="4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5116830</wp:posOffset>
            </wp:positionH>
            <wp:positionV relativeFrom="paragraph">
              <wp:posOffset>-333375</wp:posOffset>
            </wp:positionV>
            <wp:extent cx="1104265" cy="17970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104265" cy="179705"/>
                    </a:xfrm>
                    <a:prstGeom prst="rect">
                      <a:avLst/>
                    </a:prstGeom>
                    <a:noFill/>
                  </pic:spPr>
                </pic:pic>
              </a:graphicData>
            </a:graphic>
          </wp:anchor>
        </w:drawing>
      </w:r>
    </w:p>
    <w:p>
      <w:pPr>
        <w:spacing w:after="0" w:line="8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As of December 31, 2022, unearned compensation cost related to the unvested portion of all stock-based awards was $17 million and is expected to be recognized over the remaining vesting period of the respective grants, through the fourth quarter of 2025.</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Commitments and Contingent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recorded liabilities totaling $80 million at both December 31, 2022 and 2021, for anticipated costs related to various environmental matters, primarily the remediation of numerous waste disposal sites and certain properties sold by us. Of these amounts, $20 million and $21 million were included in Other Current Liabilities at December 31, 2022 and 2021, respectively. The costs include legal and consulting fees, site studies, the design and implementation of remediation plans, post-remediation monitoring and related activities, and will be paid over several years. The amount of our ultimate liability in respect of these matters may be affected by several uncertainties, primarily the ultimate cost of required remediation and the extent to which other responsible parties contribute. We have limited potential insurance coverage for future environmental claims.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many of the remediation activities related to environmental matters vary substantially in duration and cost from site to site and the associated costs for each vary depending on the mix of unique site characteristics, in some cases we cannot reasonably estimate a range of possible losses. Although it is not possible to estimate with certainty the outcome of all of our environmental matters, management believes that potential losses in excess of current reserves for environmental matters, individually and in the aggregate, will not have a material adverse effect on our financial position, cash flows or results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Workers’ Compensation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recorded liabilities, on a discounted basis, totaling $187 million and $194 million for anticipated costs related to workers’ compensation at December 31, 2022 and 2021, respectively. Of these amounts, $37 million and $38 million were included in Current Liabilities as part of Compensation and Benefits at December 31, 2022 and 2021, respectively. The costs include an estimate of expected settlements on pending claims, defense costs and a provision for claims incurred but not reported. These estimates are based on our assessment of potential liability using an analysis of available information with respect to pending claims, historical experience, and current cost trends. The amount of our ultimate liability in respect of these matters may differ from these estimates. We periodically, and at least annually, update our loss development factors based on actuarial analyses. At December 31, 2022 and 2021, the liability was discounted using a risk-free rate of return. At December 31, 2022, we estimate that it is reasonably possible that the liability could exceed our recorded amounts by approximately $25 million.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Product Liability and Other Litigation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recorded liabilities for both asserted and unasserted claims totaling $412 million and $390 million, including related legal fees expected to be incurred, for potential product liability and other tort claims, including asbestos claims, at December 31, 2022 and 2021, respectively. Of these amounts, $39 million and $41 million were included in Other Current Liabilities at December 31, 2022 and 2021, respectively. The amounts recorded were estimated based on an assessment of potential liability using an analysis of available information with respect to pending claims, historical experience and, where available, recent and current trends. Based upon that assessment, at December 31, 2022, we do not believe that estimated reasonably possible losses associated with general and product liability claims in excess of the amounts recorded will have a material adverse effect on our financial position, cash flows or results of operations. However, the amount of our ultimate liability in respect of these matters may differ from these estimates.</w:t>
      </w:r>
    </w:p>
    <w:p>
      <w:pPr>
        <w:spacing w:after="0" w:line="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have recorded an indemnification asset within Accounts Receivable of $1 million and within Other Assets of $20 million for Sumitomo Rubber Industries, Ltd.'s ("SRI") obligation to indemnify us for certain product liability claims related to products manufactured by a formerly consolidated joint venture entity, subject to certain caps and restrictions.</w:t>
      </w:r>
    </w:p>
    <w:p>
      <w:pPr>
        <w:spacing w:after="0" w:line="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Asbestos. </w:t>
      </w:r>
      <w:r>
        <w:rPr>
          <w:rFonts w:ascii="Times New Roman" w:cs="Times New Roman" w:eastAsia="Times New Roman" w:hAnsi="Times New Roman"/>
          <w:sz w:val="18"/>
          <w:szCs w:val="18"/>
          <w:color w:val="auto"/>
        </w:rPr>
        <w:t>We are a defendant in numerous lawsuits alleging various asbestos-related personal injuries purported to result from alleged exposure to asbestos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certain products manufactured by us or present in certain of our facilities. Typically, these lawsuits have been brought against multiple defendants in state and federal courts. To date, we have disposed of approximately 157,600 claims by defending, obtaining a dismissal thereof, or entering into a settlement. The sum of our accrued asbestos-related liability and gross payments to date, including legal costs, by us and our insurers totaled $570 million and $560 million through December 31, 2022 and 2021, respectively.</w:t>
      </w:r>
    </w:p>
    <w:p>
      <w:pPr>
        <w:spacing w:after="0" w:line="7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A summary of recent approximate asbestos claims activity follows. Because claims are often filed and disposed of by dismissal or settlement in large numbers, the amount and timing of settlements and the number of open claims during a particular period can fluctuate significantly.</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Pending claims, beginning of year</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38,200</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38,700</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39,600</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claims filed during the year</w:t>
            </w:r>
          </w:p>
        </w:tc>
        <w:tc>
          <w:tcPr>
            <w:tcW w:w="32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1,100</w:t>
            </w:r>
          </w:p>
        </w:tc>
      </w:tr>
      <w:tr>
        <w:trPr>
          <w:trHeight w:val="247"/>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Claims settled/dismissed</w:t>
            </w: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(1,900 )</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(1,500 )</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(2,000 )</w:t>
            </w: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Pending claims, end of year</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37,200</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38,200</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38,700</w:t>
            </w:r>
          </w:p>
        </w:tc>
      </w:tr>
      <w:tr>
        <w:trPr>
          <w:trHeight w:val="20"/>
        </w:trPr>
        <w:tc>
          <w:tcPr>
            <w:tcW w:w="6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63"/>
        </w:trPr>
        <w:tc>
          <w:tcPr>
            <w:tcW w:w="6620" w:type="dxa"/>
            <w:vAlign w:val="bottom"/>
            <w:tcBorders>
              <w:bottom w:val="single" w:sz="8" w:color="CFF0FC"/>
            </w:tcBorders>
            <w:shd w:val="clear" w:color="auto" w:fill="CFF0FC"/>
          </w:tcPr>
          <w:p>
            <w:pPr>
              <w:ind w:left="20"/>
              <w:spacing w:after="0" w:line="224" w:lineRule="exact"/>
              <w:rPr>
                <w:sz w:val="20"/>
                <w:szCs w:val="20"/>
                <w:color w:val="auto"/>
              </w:rPr>
            </w:pPr>
            <w:r>
              <w:rPr>
                <w:rFonts w:ascii="Times New Roman" w:cs="Times New Roman" w:eastAsia="Times New Roman" w:hAnsi="Times New Roman"/>
                <w:sz w:val="18"/>
                <w:szCs w:val="18"/>
                <w:color w:val="auto"/>
              </w:rPr>
              <w:t>Payments</w:t>
            </w:r>
            <w:r>
              <w:rPr>
                <w:rFonts w:ascii="Times New Roman" w:cs="Times New Roman" w:eastAsia="Times New Roman" w:hAnsi="Times New Roman"/>
                <w:sz w:val="24"/>
                <w:szCs w:val="24"/>
                <w:color w:val="auto"/>
                <w:vertAlign w:val="superscript"/>
              </w:rPr>
              <w:t>(1)</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-367665</wp:posOffset>
            </wp:positionV>
            <wp:extent cx="93980" cy="18859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-367665</wp:posOffset>
            </wp:positionV>
            <wp:extent cx="93980" cy="18859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-24765</wp:posOffset>
            </wp:positionV>
            <wp:extent cx="9398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-7620</wp:posOffset>
            </wp:positionV>
            <wp:extent cx="939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-24765</wp:posOffset>
            </wp:positionV>
            <wp:extent cx="9398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-7620</wp:posOffset>
            </wp:positionV>
            <wp:extent cx="939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83" w:lineRule="exact"/>
        <w:rPr>
          <w:sz w:val="20"/>
          <w:szCs w:val="20"/>
          <w:color w:val="auto"/>
        </w:rPr>
      </w:pPr>
    </w:p>
    <w:p>
      <w:pPr>
        <w:ind w:left="760" w:hanging="752"/>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payments made during the period by us and our insurers on asbestos litigation defense and claim resolution.</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periodically, and at least annually, review our existing reserves for pending claims, including a reasonable estimate of the liability associated with unasserted asbestos claims, and estimate our receivables from probable insurance recoveries. We recorded gross liabilities for both asserted and unasserted claims, inclusive of defense costs, totaling $125 million and $131 million at December 31, 2022 and 2021, respectively. In determining the estimate of our asbestos liability, we evaluated claims over the next ten-year period. Due to the difficulties in making these estimates, analysis based on new data and/or a change in circumstances arising in the future may result in an increase in the recorded obligation, and that increase could be significant.</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certain primary and excess insurance coverage under coverage-in-place agreements, and also have additional excess liability insurance with respect to asbestos liabilities. After consultation with our outside legal counsel and giving consideration to agreements with certain of our insurance carriers, the financial viability and legal obligations of our insurance carriers and other relevant factors, we determine an amount we expect is probable of recovery from such carriers. We record a receivable with respect to such policies when we determine that recovery is probable and we can reasonably estimate the amount of a particular recovery.</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an insurance receivable related to asbestos claims of $70 million and $77 million at December 31, 2022 and 2021, respectively. We expect that approximately 55% of asbestos claim related losses would be recoverable through insurance during the ten-year period covered by the estimated liability. Of these amounts, $11 million and $12 million were included in Current Assets as part of Accounts Receivable at December 31, 2022 and December 31, 2021, respectively. The recorded receivable consists of an amount we expect to collect under coverage-in-place agreements with certain primary and excess insurance carriers as well as an amount we believe is probable of recovery from certain of our other excess insurance carriers.</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believe that, at December 31, 2022, we had approximately $530 million in excess level policy limits applicable to indemnity and defense costs for asbestos products claims under coverage-in-place agreements. We also had additional unsettled excess level policy limits potentially applicable to such costs. In addition, we had coverage under certain primary policies for indemnity and defense costs for asbestos products claims under remaining aggregate limits pursuant to a coverage-in-place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as well as coverage for indemnity and defense costs for asbestos premises claims pursuant to coverage-in-place agreements.</w:t>
      </w:r>
    </w:p>
    <w:p>
      <w:pPr>
        <w:spacing w:after="0" w:line="11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believe that our reserve for asbestos claims, and the receivable for recoveries from insurance carriers recorded in respect of these claims, reflects reasonable and probable estimates of these amounts. The estimate of the liabilities and assets related to pending and expected future asbestos claims and insurance recoveries is subject to numerous uncertainties, including, but not limited to, changes in:</w:t>
      </w:r>
    </w:p>
    <w:p>
      <w:pPr>
        <w:spacing w:after="0" w:line="69" w:lineRule="exact"/>
        <w:rPr>
          <w:sz w:val="20"/>
          <w:szCs w:val="20"/>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litigation environment,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 governing the compensation of asbestos claimants,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recoverability of receivables due to potential insolvency of insurance carriers,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defending and resolving claims,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payments made to claimants from other sources, including other defendants and 524(g) trusts.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with respect to both asserted and unasserted claims, it is reasonably possible that we may incur a material amount of cost in excess of the current reserve; however, such amounts cannot be reasonably estimated. Coverage under insurance policies is subject to varying characteristics of asbestos claims including, but not limited to, the type of claim (premise vs. product exposure), alleged date of first exposure to our products or premises and disease alleged. Recoveries may also be limited by insurer insolvencies or financial difficulties. Depending upon the nature of these characteristics or events, as well as the resolution of certain legal issues, some portion of the insurance may not be accessible by us.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currently a party to various claims, indirect tax assessments and legal proceedings in addition to those noted above. If management believes that a loss arising from these matters is probable and can reasonably be estimated, we record the amount of the loss, or the minimum estimated liability when the loss is estimated using a range and no point within the range is more probable than another. As additional information becomes available, any potential liability related to these matters is assessed and the estimates are revised, if necessary. Based on currently available information, management believes that the ultimate outcome of these matters, individually and in the aggregate, will not have a material adverse effect on our financial position or overall trends in results of operations.</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recorded liabilities and estimates of reasonably possible losses for the contingent liabilities described above are based on our assessment of potential liability using the information available to us at the time and, where applicable, any past experience and recent and current trends with respect to similar matters. Our contingent liabilities are subject to inherent uncertainties, and unfavorable judicial or administrative decisions could occur which we did not anticipate. Such an unfavorable decision could include monetary damages, fines or other penalties or an injunction prohibiting us from taking certain actions or selling certain products. If such an unfavorable decision were to occur, it could result in a material adverse impact on our financial position and results of operations in the period in which the decision occurs or in future periods.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Matters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calculation of our tax liabilities involves dealing with uncertainties in the application of complex tax regulations. We recognize liabilities for anticipated tax audit issues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also recognize income tax benefits to the extent that it is more likely than not that our positions will be sustained when challenged by the taxing authorities. We derecognize income tax benefits when based on new information we determine that it is no longer more likely than not that our position will be sustained. To the extent we prevail in matters for which liabilities have been established, or determine we need to derecognize tax benefits recorded in prior periods, our results of operations and effective tax rate in a given period could be materially affected. An unfavorable tax settlement would require use of our cash, and lead to recognition of expense to the extent the settlement amount exceeds recorded liabilities and, in the case of an income tax settlement, result in an increase in our effective tax rate in the period of resolution. A favorable tax settlement would be recognized as a reduction of expense to the extent the settlement amount is lower than recorded liabilities and, in the case of an income tax settlement, would result in a reduction in our effective tax rate in the period of resolution.</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While the Company applies consistent transfer pricing policies and practices globally, supports transfer prices through economic studies, seeks advance pricing agreements and joint audits to the extent possible and believes its transfer prices to be appropriate, such transfer prices, and related interpretations of tax laws, are occasionally challenged by various taxing authorities globally. We have received various tax assessments challenging our interpretations of applicable tax laws in various jurisdictions. Although we believe we have complied with applicable tax laws, have strong positions and defenses and have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historically been successful in defending such claims, our results of operations could be materially adversely affected in the case we are unsuccessful in the defense of existing or future claims.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Binding Commitments and Guarantees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2022, we had binding commitments for raw materials, capital expenditures, utilities and various other types of contracts totaling approximately $2.7 billion, of which approximately $1.4 billion relate to commitments on contracts that extend beyond 2023. In addition, we have other contractual commitments, the amounts of which cannot be estimated, pursuant to certain long term agreements under which we will purchase varying amounts of certain raw materials and finished goods at agreed upon base prices that may be subject to periodic adjustments for changes in raw material costs and market price adjustments, or in quantities that may be subject to periodic adjustments for changes in our or our suppliers' production levels.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have off-balance sheet financial guarantees and other commitments totaling $32 million and $34 million at December 31, 2022 and 2021, respectively. We issue guarantees to financial institutions or other entities on behalf of certain of our affiliates, lessors or customers. We generally do not receive a separate premium as consideration for, and do not require collateral in connection with, the issuance of these guarantees.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2015, as a result of the dissolution of the global alliance with SRI, we issued a guarantee of $46 million to an insurance company related to SRI's obligation to pay certain outstanding workers' compensation claims of a formerly consolidated joint venture entity. As of December 31, 2022, this guarantee amount has been reduced to $18 million. We have concluded the probability of our performance to be remote and, therefore, have not recorded a liability for this guarantee. While there is no fixed duration of this guarantee, we expect the amount of this guarantee to continue to decrease over time as the formerly consolidated joint venture entity pays its outstanding claims.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If our performance under these guarantees is triggered by non-payment or another specified event, we would be obligated to make payment to the financial institution or the other entity, and would typically have recourse to the affiliate, lessor, customer, or SRI. We are unable to estimate the extent to which our affiliates’, lessors’, customers’, or SRI's assets would be adequate to recover any payments made by us under the related guarantees.</w:t>
      </w:r>
    </w:p>
    <w:p>
      <w:pPr>
        <w:spacing w:after="0" w:line="6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We have an agreement to provide a revolving loan commitment to TireHub, LLC of up to $100 million. At December 31, 2022, $17 million was drawn on this commitment. At December 31, 2021, no funds were drawn on this commitment.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2022, we were a party to various agreements under which we had assumed obligations to indemnify the counterparties from certain potential claims and losses. These agreements typically involve standard commercial activities undertaken by us in the normal course of business; the sale of assets by us; the formation or dissolution of joint venture businesses to which we had contributed assets in exchange for ownership interests; and other financial transactions. Indemnifications provided by us pursuant to these agreements relate to various matters including, among other things, environmental, tax and shareholder matters; intellectual property rights; government regulations; employment-related matters; and dealer, supplier and other commercial matters.</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Certain indemnifications expire from time to time, and certain other indemnifications are not subject to an expiration date. In addition, our potential liability under certain indemnifications is subject to maximum caps, while other indemnifications are not subject to caps. Although we have been subject to indemnification claims in the past, we cannot reasonably estimate the number, type and size of indemnification claims that may arise in the future. Due to these and other uncertainties associated with the indemnifications, our maximum exposure to loss under these agreements cannot be estimated.</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have determined that there are no indemnifications or guarantees other than liabilities for which amounts are already recorded or reserved in our consolidated financial statements under which it is probable that we have incurred a liability.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recorded $28 million and $37 million for potential claims under warranties offered by us at December 31, 2022 and December 31, 2021, respectively, the majority of which are recorded in Other Current Liabilities.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warranty reserve during 2022 and 2021: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37</w:t>
            </w:r>
          </w:p>
        </w:tc>
        <w:tc>
          <w:tcPr>
            <w:tcW w:w="16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38"/>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Cooper Tire acquisition</w:t>
            </w:r>
          </w:p>
        </w:tc>
        <w:tc>
          <w:tcPr>
            <w:tcW w:w="38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r>
      <w:tr>
        <w:trPr>
          <w:trHeight w:val="247"/>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Payments made during the period</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38"/>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 recorded during the period</w:t>
            </w:r>
          </w:p>
        </w:tc>
        <w:tc>
          <w:tcPr>
            <w:tcW w:w="38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7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Translation adjustment</w:t>
            </w:r>
          </w:p>
        </w:tc>
        <w:tc>
          <w:tcPr>
            <w:tcW w:w="3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28</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37</w:t>
            </w: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-187960</wp:posOffset>
            </wp:positionV>
            <wp:extent cx="111125" cy="18859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11125" cy="18859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Capital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During 2020, we paid cash dividends of $37 million on our common stock. This excludes dividends earned on stock based compensation plans of $1 million. On April 16, 2020, we announced that we suspended the quarterly dividend on our common stock.</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may repurchase shares delivered to us by employees as payment for the exercise price of stock options and the withholding taxes due upon the exercise of stock options or the vesting or payment of stock awards. During 2022, 2021 and 2020, we did not repurchase any shares from employees.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Accumulated Other Comprehensive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AOCL by component for the years ended December 31, 2022, 2021 and 2020, after tax and minority interest:</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Net Actuarial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Losses and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1140" w:type="dxa"/>
            <w:vAlign w:val="bottom"/>
            <w:gridSpan w:val="2"/>
          </w:tcPr>
          <w:p>
            <w:pPr>
              <w:jc w:val="center"/>
              <w:ind w:right="72"/>
              <w:spacing w:after="0" w:line="149" w:lineRule="exact"/>
              <w:rPr>
                <w:sz w:val="20"/>
                <w:szCs w:val="20"/>
                <w:color w:val="auto"/>
              </w:rPr>
            </w:pPr>
            <w:r>
              <w:rPr>
                <w:rFonts w:ascii="Times New Roman" w:cs="Times New Roman" w:eastAsia="Times New Roman" w:hAnsi="Times New Roman"/>
                <w:sz w:val="14"/>
                <w:szCs w:val="14"/>
                <w:b w:val="1"/>
                <w:bCs w:val="1"/>
                <w:color w:val="auto"/>
              </w:rPr>
              <w:t>Gains (Losses)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Prior Service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Income (Loss)</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20" w:type="dxa"/>
            <w:vAlign w:val="bottom"/>
          </w:tcPr>
          <w:p>
            <w:pPr>
              <w:spacing w:after="0"/>
              <w:rPr>
                <w:sz w:val="16"/>
                <w:szCs w:val="16"/>
                <w:color w:val="auto"/>
              </w:rPr>
            </w:pPr>
          </w:p>
        </w:tc>
        <w:tc>
          <w:tcPr>
            <w:tcW w:w="1140" w:type="dxa"/>
            <w:vAlign w:val="bottom"/>
            <w:tcBorders>
              <w:bottom w:val="single" w:sz="8" w:color="auto"/>
            </w:tcBorders>
            <w:gridSpan w:val="2"/>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from Securities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00" w:type="dxa"/>
            <w:vAlign w:val="bottom"/>
          </w:tcPr>
          <w:p>
            <w:pPr>
              <w:spacing w:after="0"/>
              <w:rPr>
                <w:sz w:val="16"/>
                <w:szCs w:val="16"/>
                <w:color w:val="auto"/>
              </w:rPr>
            </w:pPr>
          </w:p>
        </w:tc>
        <w:tc>
          <w:tcPr>
            <w:tcW w:w="1120" w:type="dxa"/>
            <w:vAlign w:val="bottom"/>
            <w:tcBorders>
              <w:bottom w:val="single" w:sz="8" w:color="auto"/>
            </w:tcBorders>
            <w:gridSpan w:val="2"/>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6"/>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(1,156 )</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(2,983 )</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(4,136 )</w:t>
            </w:r>
          </w:p>
        </w:tc>
        <w:tc>
          <w:tcPr>
            <w:tcW w:w="0" w:type="dxa"/>
            <w:vAlign w:val="bottom"/>
          </w:tcPr>
          <w:p>
            <w:pPr>
              <w:spacing w:after="0"/>
              <w:rPr>
                <w:sz w:val="1"/>
                <w:szCs w:val="1"/>
                <w:color w:val="auto"/>
              </w:rPr>
            </w:pPr>
          </w:p>
        </w:tc>
      </w:tr>
      <w:tr>
        <w:trPr>
          <w:trHeight w:val="243"/>
        </w:trPr>
        <w:tc>
          <w:tcPr>
            <w:tcW w:w="5060" w:type="dxa"/>
            <w:vAlign w:val="bottom"/>
          </w:tcPr>
          <w:p>
            <w:pPr>
              <w:ind w:left="120"/>
              <w:spacing w:after="0" w:line="243" w:lineRule="exact"/>
              <w:rPr>
                <w:sz w:val="20"/>
                <w:szCs w:val="20"/>
                <w:color w:val="auto"/>
              </w:rPr>
            </w:pPr>
            <w:r>
              <w:rPr>
                <w:rFonts w:ascii="Times New Roman" w:cs="Times New Roman" w:eastAsia="Times New Roman" w:hAnsi="Times New Roman"/>
                <w:sz w:val="18"/>
                <w:szCs w:val="18"/>
                <w:color w:val="auto"/>
              </w:rPr>
              <w:t>Other comprehensive income (loss) before reclassifications</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0" w:type="dxa"/>
            <w:vAlign w:val="bottom"/>
          </w:tcPr>
          <w:p>
            <w:pPr>
              <w:spacing w:after="0"/>
              <w:rPr>
                <w:sz w:val="1"/>
                <w:szCs w:val="1"/>
                <w:color w:val="auto"/>
              </w:rPr>
            </w:pPr>
          </w:p>
        </w:tc>
      </w:tr>
      <w:tr>
        <w:trPr>
          <w:trHeight w:val="243"/>
        </w:trPr>
        <w:tc>
          <w:tcPr>
            <w:tcW w:w="50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4"/>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(1,284 )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(2,856 )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(4,135 )</w:t>
            </w:r>
          </w:p>
        </w:tc>
        <w:tc>
          <w:tcPr>
            <w:tcW w:w="0" w:type="dxa"/>
            <w:vAlign w:val="bottom"/>
          </w:tcPr>
          <w:p>
            <w:pPr>
              <w:spacing w:after="0"/>
              <w:rPr>
                <w:sz w:val="1"/>
                <w:szCs w:val="1"/>
                <w:color w:val="auto"/>
              </w:rPr>
            </w:pPr>
          </w:p>
        </w:tc>
      </w:tr>
      <w:tr>
        <w:trPr>
          <w:trHeight w:val="245"/>
        </w:trPr>
        <w:tc>
          <w:tcPr>
            <w:tcW w:w="5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6"/>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(1,402 )</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(2,565 )</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(3,963 )</w:t>
            </w:r>
          </w:p>
        </w:tc>
        <w:tc>
          <w:tcPr>
            <w:tcW w:w="0" w:type="dxa"/>
            <w:vAlign w:val="bottom"/>
          </w:tcPr>
          <w:p>
            <w:pPr>
              <w:spacing w:after="0"/>
              <w:rPr>
                <w:sz w:val="1"/>
                <w:szCs w:val="1"/>
                <w:color w:val="auto"/>
              </w:rPr>
            </w:pPr>
          </w:p>
        </w:tc>
      </w:tr>
      <w:tr>
        <w:trPr>
          <w:trHeight w:val="238"/>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47"/>
        </w:trPr>
        <w:tc>
          <w:tcPr>
            <w:tcW w:w="50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(1,663 )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(2,215 )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(3,875 )</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3961130</wp:posOffset>
            </wp:positionH>
            <wp:positionV relativeFrom="paragraph">
              <wp:posOffset>-1129665</wp:posOffset>
            </wp:positionV>
            <wp:extent cx="76835" cy="16256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-1129665</wp:posOffset>
            </wp:positionV>
            <wp:extent cx="68580" cy="16256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-1129665</wp:posOffset>
            </wp:positionV>
            <wp:extent cx="68580" cy="16256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-1129665</wp:posOffset>
            </wp:positionV>
            <wp:extent cx="68580" cy="16256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-187960</wp:posOffset>
            </wp:positionV>
            <wp:extent cx="76835" cy="18859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-187960</wp:posOffset>
            </wp:positionV>
            <wp:extent cx="68580" cy="18859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-187960</wp:posOffset>
            </wp:positionV>
            <wp:extent cx="68580" cy="18859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-187960</wp:posOffset>
            </wp:positionV>
            <wp:extent cx="68580" cy="18859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83" w:lineRule="exact"/>
        <w:rPr>
          <w:sz w:val="20"/>
          <w:szCs w:val="20"/>
          <w:color w:val="auto"/>
        </w:rPr>
      </w:pPr>
    </w:p>
    <w:p>
      <w:pPr>
        <w:ind w:right="1760" w:firstLine="8"/>
        <w:spacing w:after="0" w:line="387" w:lineRule="auto"/>
        <w:tabs>
          <w:tab w:leader="none" w:pos="74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adjustments to AOCL of $27 million in 2020 to adjust the prior year obligation of our frozen U.K. pension plan. The following table presents reclassifications out of AOCL for the years ended December 31, 2022, 2021 and 2020:</w:t>
      </w:r>
    </w:p>
    <w:tbl>
      <w:tblPr>
        <w:tblLayout w:type="fixed"/>
        <w:tblInd w:w="0" w:type="dxa"/>
        <w:tblCellMar>
          <w:top w:w="0" w:type="dxa"/>
          <w:left w:w="0" w:type="dxa"/>
          <w:bottom w:w="0" w:type="dxa"/>
          <w:right w:w="0" w:type="dxa"/>
        </w:tblCellMar>
      </w:tblPr>
      <w:tr>
        <w:trPr>
          <w:trHeight w:val="149"/>
        </w:trPr>
        <w:tc>
          <w:tcPr>
            <w:tcW w:w="5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(Income) Expense</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80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4"/>
                <w:szCs w:val="14"/>
                <w:color w:val="auto"/>
              </w:rPr>
            </w:pPr>
          </w:p>
        </w:tc>
        <w:tc>
          <w:tcPr>
            <w:tcW w:w="29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131"/>
        </w:trPr>
        <w:tc>
          <w:tcPr>
            <w:tcW w:w="5480" w:type="dxa"/>
            <w:vAlign w:val="bottom"/>
            <w:gridSpan w:val="2"/>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Component of AOCL</w:t>
            </w:r>
          </w:p>
        </w:tc>
        <w:tc>
          <w:tcPr>
            <w:tcW w:w="160" w:type="dxa"/>
            <w:vAlign w:val="bottom"/>
          </w:tcPr>
          <w:p>
            <w:pPr>
              <w:spacing w:after="0"/>
              <w:rPr>
                <w:sz w:val="11"/>
                <w:szCs w:val="11"/>
                <w:color w:val="auto"/>
              </w:rPr>
            </w:pPr>
          </w:p>
        </w:tc>
        <w:tc>
          <w:tcPr>
            <w:tcW w:w="2040" w:type="dxa"/>
            <w:vAlign w:val="bottom"/>
            <w:gridSpan w:val="6"/>
          </w:tcPr>
          <w:p>
            <w:pPr>
              <w:jc w:val="center"/>
              <w:ind w:left="133"/>
              <w:spacing w:after="0" w:line="131" w:lineRule="exact"/>
              <w:rPr>
                <w:sz w:val="20"/>
                <w:szCs w:val="20"/>
                <w:color w:val="auto"/>
              </w:rPr>
            </w:pPr>
            <w:r>
              <w:rPr>
                <w:rFonts w:ascii="Times New Roman" w:cs="Times New Roman" w:eastAsia="Times New Roman" w:hAnsi="Times New Roman"/>
                <w:sz w:val="14"/>
                <w:szCs w:val="14"/>
                <w:b w:val="1"/>
                <w:bCs w:val="1"/>
                <w:color w:val="auto"/>
              </w:rPr>
              <w:t>Amount Reclassified from</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4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AOCL</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Statements of Operations</w:t>
            </w:r>
          </w:p>
        </w:tc>
        <w:tc>
          <w:tcPr>
            <w:tcW w:w="0" w:type="dxa"/>
            <w:vAlign w:val="bottom"/>
          </w:tcPr>
          <w:p>
            <w:pPr>
              <w:spacing w:after="0"/>
              <w:rPr>
                <w:sz w:val="1"/>
                <w:szCs w:val="1"/>
                <w:color w:val="auto"/>
              </w:rPr>
            </w:pPr>
          </w:p>
        </w:tc>
      </w:tr>
      <w:tr>
        <w:trPr>
          <w:trHeight w:val="236"/>
        </w:trPr>
        <w:tc>
          <w:tcPr>
            <w:tcW w:w="53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and unrecognized gains and losses</w:t>
            </w: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139</w:t>
            </w:r>
          </w:p>
        </w:tc>
        <w:tc>
          <w:tcPr>
            <w:tcW w:w="440" w:type="dxa"/>
            <w:vAlign w:val="bottom"/>
            <w:tcBorders>
              <w:top w:val="single" w:sz="8" w:color="auto"/>
            </w:tcBorders>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FF0FC"/>
          </w:tcPr>
          <w:p>
            <w:pPr>
              <w:spacing w:after="0"/>
              <w:rPr>
                <w:sz w:val="20"/>
                <w:szCs w:val="20"/>
                <w:color w:val="auto"/>
              </w:rPr>
            </w:pPr>
          </w:p>
        </w:tc>
        <w:tc>
          <w:tcPr>
            <w:tcW w:w="29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0" w:type="dxa"/>
            <w:vAlign w:val="bottom"/>
          </w:tcPr>
          <w:p>
            <w:pPr>
              <w:spacing w:after="0"/>
              <w:rPr>
                <w:sz w:val="1"/>
                <w:szCs w:val="1"/>
                <w:color w:val="auto"/>
              </w:rPr>
            </w:pPr>
          </w:p>
        </w:tc>
      </w:tr>
      <w:tr>
        <w:trPr>
          <w:trHeight w:val="211"/>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Immediate recognition of prior service cost and unrecognized gains and</w:t>
            </w:r>
          </w:p>
        </w:tc>
        <w:tc>
          <w:tcPr>
            <w:tcW w:w="160" w:type="dxa"/>
            <w:vAlign w:val="bottom"/>
          </w:tcPr>
          <w:p>
            <w:pPr>
              <w:spacing w:after="0"/>
              <w:rPr>
                <w:sz w:val="18"/>
                <w:szCs w:val="18"/>
                <w:color w:val="auto"/>
              </w:rPr>
            </w:pPr>
          </w:p>
        </w:tc>
        <w:tc>
          <w:tcPr>
            <w:tcW w:w="68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w:t>
            </w:r>
          </w:p>
        </w:tc>
        <w:tc>
          <w:tcPr>
            <w:tcW w:w="0" w:type="dxa"/>
            <w:vAlign w:val="bottom"/>
          </w:tcPr>
          <w:p>
            <w:pPr>
              <w:spacing w:after="0"/>
              <w:rPr>
                <w:sz w:val="1"/>
                <w:szCs w:val="1"/>
                <w:color w:val="auto"/>
              </w:rPr>
            </w:pPr>
          </w:p>
        </w:tc>
      </w:tr>
      <w:tr>
        <w:trPr>
          <w:trHeight w:val="234"/>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losses due to curtailments, settlements and divestitures</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Rationalizations</w:t>
            </w:r>
          </w:p>
        </w:tc>
        <w:tc>
          <w:tcPr>
            <w:tcW w:w="0" w:type="dxa"/>
            <w:vAlign w:val="bottom"/>
          </w:tcPr>
          <w:p>
            <w:pPr>
              <w:spacing w:after="0"/>
              <w:rPr>
                <w:sz w:val="1"/>
                <w:szCs w:val="1"/>
                <w:color w:val="auto"/>
              </w:rPr>
            </w:pPr>
          </w:p>
        </w:tc>
      </w:tr>
      <w:tr>
        <w:trPr>
          <w:trHeight w:val="236"/>
        </w:trPr>
        <w:tc>
          <w:tcPr>
            <w:tcW w:w="54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Unrecognized Net Actuarial Losses and Prior Service Costs, before tax</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FF0FC"/>
          </w:tcPr>
          <w:p>
            <w:pPr>
              <w:spacing w:after="0"/>
              <w:rPr>
                <w:sz w:val="20"/>
                <w:szCs w:val="20"/>
                <w:color w:val="auto"/>
              </w:rPr>
            </w:pPr>
          </w:p>
        </w:tc>
        <w:tc>
          <w:tcPr>
            <w:tcW w:w="29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Tax effect</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(42 )  United States and Foreign Taxes</w:t>
            </w:r>
          </w:p>
        </w:tc>
        <w:tc>
          <w:tcPr>
            <w:tcW w:w="0" w:type="dxa"/>
            <w:vAlign w:val="bottom"/>
          </w:tcPr>
          <w:p>
            <w:pPr>
              <w:spacing w:after="0"/>
              <w:rPr>
                <w:sz w:val="1"/>
                <w:szCs w:val="1"/>
                <w:color w:val="auto"/>
              </w:rPr>
            </w:pPr>
          </w:p>
        </w:tc>
      </w:tr>
      <w:tr>
        <w:trPr>
          <w:trHeight w:val="236"/>
        </w:trPr>
        <w:tc>
          <w:tcPr>
            <w:tcW w:w="54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of tax</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FF0FC"/>
          </w:tcPr>
          <w:p>
            <w:pPr>
              <w:spacing w:after="0"/>
              <w:rPr>
                <w:sz w:val="20"/>
                <w:szCs w:val="20"/>
                <w:color w:val="auto"/>
              </w:rPr>
            </w:pP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Goodyear Net Income (Loss)</w:t>
            </w:r>
          </w:p>
        </w:tc>
        <w:tc>
          <w:tcPr>
            <w:tcW w:w="0" w:type="dxa"/>
            <w:vAlign w:val="bottom"/>
          </w:tcPr>
          <w:p>
            <w:pPr>
              <w:spacing w:after="0"/>
              <w:rPr>
                <w:sz w:val="1"/>
                <w:szCs w:val="1"/>
                <w:color w:val="auto"/>
              </w:rPr>
            </w:pPr>
          </w:p>
        </w:tc>
      </w:tr>
      <w:tr>
        <w:trPr>
          <w:trHeight w:val="238"/>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Derivative (Gains) Losses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44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3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(13 )  Cost of Goods Sold</w:t>
            </w:r>
          </w:p>
        </w:tc>
        <w:tc>
          <w:tcPr>
            <w:tcW w:w="0" w:type="dxa"/>
            <w:vAlign w:val="bottom"/>
          </w:tcPr>
          <w:p>
            <w:pPr>
              <w:spacing w:after="0"/>
              <w:rPr>
                <w:sz w:val="1"/>
                <w:szCs w:val="1"/>
                <w:color w:val="auto"/>
              </w:rPr>
            </w:pPr>
          </w:p>
        </w:tc>
      </w:tr>
      <w:tr>
        <w:trPr>
          <w:trHeight w:val="247"/>
        </w:trPr>
        <w:tc>
          <w:tcPr>
            <w:tcW w:w="548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Tax effect</w:t>
            </w:r>
          </w:p>
        </w:tc>
        <w:tc>
          <w:tcPr>
            <w:tcW w:w="16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 and Foreign Taxes</w:t>
            </w:r>
          </w:p>
        </w:tc>
        <w:tc>
          <w:tcPr>
            <w:tcW w:w="0" w:type="dxa"/>
            <w:vAlign w:val="bottom"/>
          </w:tcPr>
          <w:p>
            <w:pPr>
              <w:spacing w:after="0"/>
              <w:rPr>
                <w:sz w:val="1"/>
                <w:szCs w:val="1"/>
                <w:color w:val="auto"/>
              </w:rPr>
            </w:pPr>
          </w:p>
        </w:tc>
      </w:tr>
      <w:tr>
        <w:trPr>
          <w:trHeight w:val="236"/>
        </w:trPr>
        <w:tc>
          <w:tcPr>
            <w:tcW w:w="5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of tax</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44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3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(13 )  Goodyear Net Income (Loss)</w:t>
            </w:r>
          </w:p>
        </w:tc>
        <w:tc>
          <w:tcPr>
            <w:tcW w:w="0" w:type="dxa"/>
            <w:vAlign w:val="bottom"/>
          </w:tcPr>
          <w:p>
            <w:pPr>
              <w:spacing w:after="0"/>
              <w:rPr>
                <w:sz w:val="1"/>
                <w:szCs w:val="1"/>
                <w:color w:val="auto"/>
              </w:rPr>
            </w:pPr>
          </w:p>
        </w:tc>
      </w:tr>
      <w:tr>
        <w:trPr>
          <w:trHeight w:val="276"/>
        </w:trPr>
        <w:tc>
          <w:tcPr>
            <w:tcW w:w="54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reclassifications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186</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136</w:t>
            </w:r>
          </w:p>
        </w:tc>
        <w:tc>
          <w:tcPr>
            <w:tcW w:w="1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118</w:t>
            </w:r>
          </w:p>
        </w:tc>
        <w:tc>
          <w:tcPr>
            <w:tcW w:w="120" w:type="dxa"/>
            <w:vAlign w:val="bottom"/>
            <w:tcBorders>
              <w:bottom w:val="single" w:sz="8" w:color="CFF0FC"/>
            </w:tcBorders>
            <w:shd w:val="clear" w:color="auto" w:fill="CFF0FC"/>
          </w:tcPr>
          <w:p>
            <w:pPr>
              <w:spacing w:after="0"/>
              <w:rPr>
                <w:sz w:val="24"/>
                <w:szCs w:val="24"/>
                <w:color w:val="auto"/>
              </w:rPr>
            </w:pPr>
          </w:p>
        </w:tc>
        <w:tc>
          <w:tcPr>
            <w:tcW w:w="2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Goodyear Net Income (Loss)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-350520</wp:posOffset>
            </wp:positionV>
            <wp:extent cx="76835" cy="17145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-350520</wp:posOffset>
            </wp:positionV>
            <wp:extent cx="68580" cy="17145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-350520</wp:posOffset>
            </wp:positionV>
            <wp:extent cx="68580" cy="17145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-24765</wp:posOffset>
            </wp:positionV>
            <wp:extent cx="7683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-7620</wp:posOffset>
            </wp:positionV>
            <wp:extent cx="7683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-24765</wp:posOffset>
            </wp:positionV>
            <wp:extent cx="685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-7620</wp:posOffset>
            </wp:positionV>
            <wp:extent cx="685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-24765</wp:posOffset>
            </wp:positionV>
            <wp:extent cx="6858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-7620</wp:posOffset>
            </wp:positionV>
            <wp:extent cx="685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details of comprehensive income (loss) attributable to minority shareholders: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4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6"/>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Minority Shareholders</w:t>
            </w:r>
          </w:p>
        </w:tc>
        <w:tc>
          <w:tcPr>
            <w:tcW w:w="2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8"/>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Decrease/Increase in net actuarial losses</w:t>
            </w:r>
          </w:p>
        </w:tc>
        <w:tc>
          <w:tcPr>
            <w:tcW w:w="2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8"/>
        </w:trPr>
        <w:tc>
          <w:tcPr>
            <w:tcW w:w="5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(17 )</w:t>
            </w:r>
          </w:p>
        </w:tc>
        <w:tc>
          <w:tcPr>
            <w:tcW w:w="1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(20 )</w:t>
            </w:r>
          </w:p>
        </w:tc>
        <w:tc>
          <w:tcPr>
            <w:tcW w:w="12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0" w:type="dxa"/>
            <w:vAlign w:val="bottom"/>
          </w:tcPr>
          <w:p>
            <w:pPr>
              <w:spacing w:after="0"/>
              <w:rPr>
                <w:sz w:val="1"/>
                <w:szCs w:val="1"/>
                <w:color w:val="auto"/>
              </w:rPr>
            </w:pPr>
          </w:p>
        </w:tc>
      </w:tr>
      <w:tr>
        <w:trPr>
          <w:trHeight w:val="234"/>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Minority Shareholders</w:t>
            </w:r>
          </w:p>
        </w:tc>
        <w:tc>
          <w:tcPr>
            <w:tcW w:w="2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240" w:type="dxa"/>
            <w:vAlign w:val="bottom"/>
            <w:vMerge w:val="restart"/>
          </w:tcPr>
          <w:p>
            <w:pPr>
              <w:jc w:val="right"/>
              <w:ind w:right="1810"/>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542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2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that, consistent with Rule 13a-15(e) under the Securities Exchange Act of 1934, we define to mean controls and other procedures that are designed to ensure that information required to be disclosed by us in the reports that we file or submit under the Securities Exchange Act of 1934 is recorded, processed, summarized and reported within the time periods specified in the SEC’s rules and forms, and to ensure that such information is accumulated and communicated to our management, including our principal executive and financial officers, as appropriate, to allow timely decisions regarding required disclosure.</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financial officers, has evaluated the effectiveness of our disclosure controls and procedures. Based on such evaluation, our principal executive and financial officers have concluded that such disclosure controls and procedures were effective as of December 31, 2022 (the end of the period covered by this Annual Report on Form 10-K).</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Assessment of Internal Control Over Financial Reporting</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Management’s report on our internal control over financial reporting is presented on page 55 of this Annual Report on Form 10-K. The report of PricewaterhouseCoopers LLP relating to the consolidated financial statements, financial statement schedule, and the effectiveness of internal control over financial reporting is presented on page 56 of this Annual Report on Form 10-K.</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June 7, 2021, we completed the acquisition of Cooper Tire, which operated under its own set of systems and internal controls. During the fourth quarter of 2022, Cooper Tire North America was migrated to Americas' ERP System. There were no other changes in our internal control over financial reporting during the quarter ended December 31, 2022 that have materially affected, or are reasonably likely to materially affect, our internal control over financial reporting.</w:t>
      </w:r>
    </w:p>
    <w:p>
      <w:pPr>
        <w:spacing w:after="0" w:line="17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information required by this item about Goodyear’s executive officers is included in Part I, “Item 1. Business” of this Annual Report on Form 10-K under the caption “Information About Our Executive Officers.” All other information required by this item is incorporated herein by reference from the registrant’s definitive Proxy Statement for the Annual Meeting of Shareholders to be held April 10, 2023 to be filed with the SEC pursuant to Regulation 14A (the "Proxy Statement").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Business Conduct and Code of Ethics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Goodyear has adopted a code of business conduct and ethics for directors, officers and employees, known as the Business Conduct Manual. Goodyear also has adopted a conflict of interest policy applicable to directors and executive officers. Both of these documents are available on Goodyear’s website at: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https://corporate.goodyear.com/us/en/investors/governance/documents-charters.html.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may request a free copy of these documents from:</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Goodyear Tire &amp; Rubber Company</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200 Innovation Way</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Akron, Ohio 44316-0001</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(330) 796-3751</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Goodyear’s Code of Ethics for the Chief Executive Officer and Senior Financial Officers (the “Code of Ethics”) is also posted on Goodyear’s website.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Amendments to and waivers of the Code of Ethics will be disclosed on the website.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on our website is not incorporated by reference in or considered to be a part of this Annual Report on Form 10-K.</w:t>
      </w:r>
    </w:p>
    <w:p>
      <w:pPr>
        <w:spacing w:after="0" w:line="2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Proxy Statement.</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See Part II, Item 5 for information regarding our equity compensation plans. The other information required by this item is incorporated herein by reference from the Proxy Statement.</w:t>
      </w:r>
    </w:p>
    <w:p>
      <w:pPr>
        <w:spacing w:after="0" w:line="15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Proxy Statement.</w:t>
      </w:r>
    </w:p>
    <w:p>
      <w:pPr>
        <w:spacing w:after="0" w:line="2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Proxy Statement.</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6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DOCUMENTS FILED AS PART OF THIS REPORT:</w:t>
      </w:r>
    </w:p>
    <w:p>
      <w:pPr>
        <w:spacing w:after="0" w:line="117" w:lineRule="exact"/>
        <w:rPr>
          <w:sz w:val="20"/>
          <w:szCs w:val="20"/>
          <w:color w:val="auto"/>
        </w:rPr>
      </w:pPr>
    </w:p>
    <w:p>
      <w:pPr>
        <w:ind w:left="380" w:hanging="372"/>
        <w:spacing w:after="0"/>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See Index to Consolidated Financial Statements on page 54 of this Annual Report.</w:t>
      </w:r>
    </w:p>
    <w:p>
      <w:pPr>
        <w:spacing w:after="0" w:line="116" w:lineRule="exact"/>
        <w:rPr>
          <w:rFonts w:ascii="Times New Roman" w:cs="Times New Roman" w:eastAsia="Times New Roman" w:hAnsi="Times New Roman"/>
          <w:sz w:val="18"/>
          <w:szCs w:val="18"/>
          <w:color w:val="auto"/>
        </w:rPr>
      </w:pPr>
    </w:p>
    <w:p>
      <w:pPr>
        <w:ind w:left="380" w:hanging="372"/>
        <w:spacing w:after="0" w:line="286"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Statement Schedules</w:t>
      </w:r>
      <w:r>
        <w:rPr>
          <w:rFonts w:ascii="Times New Roman" w:cs="Times New Roman" w:eastAsia="Times New Roman" w:hAnsi="Times New Roman"/>
          <w:sz w:val="18"/>
          <w:szCs w:val="18"/>
          <w:color w:val="auto"/>
        </w:rPr>
        <w:t>: See Index to Financial Statement Schedules attached to this Annual Report at page FS-1. The Financial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at page FS-2 is incorporated into and made a part of this Annual Report.</w:t>
      </w:r>
    </w:p>
    <w:p>
      <w:pPr>
        <w:spacing w:after="0" w:line="46" w:lineRule="exact"/>
        <w:rPr>
          <w:rFonts w:ascii="Times New Roman" w:cs="Times New Roman" w:eastAsia="Times New Roman" w:hAnsi="Times New Roman"/>
          <w:sz w:val="18"/>
          <w:szCs w:val="18"/>
          <w:color w:val="auto"/>
        </w:rPr>
      </w:pPr>
    </w:p>
    <w:p>
      <w:pPr>
        <w:ind w:left="380" w:hanging="372"/>
        <w:spacing w:after="0" w:line="286"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Exhibits required to be filed by Item 601 of Regulation S-K</w:t>
      </w:r>
      <w:r>
        <w:rPr>
          <w:rFonts w:ascii="Times New Roman" w:cs="Times New Roman" w:eastAsia="Times New Roman" w:hAnsi="Times New Roman"/>
          <w:sz w:val="18"/>
          <w:szCs w:val="18"/>
          <w:color w:val="auto"/>
        </w:rPr>
        <w:t>: See the Index of Exhibits at pages X-1 through X-6, inclusive, which is attached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incorporated into and made a part of this Annual Report.</w:t>
      </w:r>
    </w:p>
    <w:p>
      <w:pPr>
        <w:spacing w:after="0" w:line="15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ITEMS 8 AND 15(a)(2) OF 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COMPANY'S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1922780</wp:posOffset>
            </wp:positionH>
            <wp:positionV relativeFrom="paragraph">
              <wp:posOffset>91440</wp:posOffset>
            </wp:positionV>
            <wp:extent cx="329628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25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 No.</w:t>
            </w:r>
          </w:p>
        </w:tc>
        <w:tc>
          <w:tcPr>
            <w:tcW w:w="18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Page Number</w:t>
            </w:r>
          </w:p>
        </w:tc>
        <w:tc>
          <w:tcPr>
            <w:tcW w:w="0" w:type="dxa"/>
            <w:vAlign w:val="bottom"/>
          </w:tcPr>
          <w:p>
            <w:pPr>
              <w:spacing w:after="0"/>
              <w:rPr>
                <w:sz w:val="1"/>
                <w:szCs w:val="1"/>
                <w:color w:val="auto"/>
              </w:rPr>
            </w:pPr>
          </w:p>
        </w:tc>
      </w:tr>
      <w:tr>
        <w:trPr>
          <w:trHeight w:val="25"/>
        </w:trPr>
        <w:tc>
          <w:tcPr>
            <w:tcW w:w="7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Valuation and Qualifying Accounts</w:t>
            </w:r>
          </w:p>
        </w:tc>
        <w:tc>
          <w:tcPr>
            <w:tcW w:w="166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720" w:type="dxa"/>
            <w:vAlign w:val="bottom"/>
            <w:gridSpan w:val="2"/>
            <w:vMerge w:val="continue"/>
          </w:tcPr>
          <w:p>
            <w:pPr>
              <w:spacing w:after="0"/>
              <w:rPr>
                <w:sz w:val="14"/>
                <w:szCs w:val="14"/>
                <w:color w:val="auto"/>
              </w:rPr>
            </w:pPr>
          </w:p>
        </w:tc>
        <w:tc>
          <w:tcPr>
            <w:tcW w:w="16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II</w:t>
            </w:r>
          </w:p>
        </w:tc>
        <w:tc>
          <w:tcPr>
            <w:tcW w:w="180" w:type="dxa"/>
            <w:vAlign w:val="bottom"/>
            <w:vMerge w:val="continue"/>
          </w:tcPr>
          <w:p>
            <w:pPr>
              <w:spacing w:after="0"/>
              <w:rPr>
                <w:sz w:val="14"/>
                <w:szCs w:val="14"/>
                <w:color w:val="auto"/>
              </w:rPr>
            </w:pPr>
          </w:p>
        </w:tc>
        <w:tc>
          <w:tcPr>
            <w:tcW w:w="16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6"/>
              </w:rPr>
              <w:t>FS-2</w:t>
            </w:r>
          </w:p>
        </w:tc>
        <w:tc>
          <w:tcPr>
            <w:tcW w:w="0" w:type="dxa"/>
            <w:vAlign w:val="bottom"/>
          </w:tcPr>
          <w:p>
            <w:pPr>
              <w:spacing w:after="0"/>
              <w:rPr>
                <w:sz w:val="1"/>
                <w:szCs w:val="1"/>
                <w:color w:val="auto"/>
              </w:rPr>
            </w:pPr>
          </w:p>
        </w:tc>
      </w:tr>
      <w:tr>
        <w:trPr>
          <w:trHeight w:val="20"/>
        </w:trPr>
        <w:tc>
          <w:tcPr>
            <w:tcW w:w="2540" w:type="dxa"/>
            <w:vAlign w:val="bottom"/>
            <w:shd w:val="clear" w:color="auto" w:fill="0000FF"/>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schedules are omitted because they are not applicable or the required information is shown in the financial statements or notes thereto.</w:t>
      </w:r>
    </w:p>
    <w:p>
      <w:pPr>
        <w:spacing w:after="0" w:line="11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Financial statements relating to 50 percent or less owned companies, the investments in which are accounted for by the equity method, have been omitted as permitted because these companies would not constitute a significant subsidiary.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jc w:val="center"/>
              <w:ind w:right="97"/>
              <w:spacing w:after="0" w:line="131" w:lineRule="exact"/>
              <w:rPr>
                <w:sz w:val="20"/>
                <w:szCs w:val="20"/>
                <w:color w:val="auto"/>
              </w:rPr>
            </w:pPr>
            <w:r>
              <w:rPr>
                <w:rFonts w:ascii="Times New Roman" w:cs="Times New Roman" w:eastAsia="Times New Roman" w:hAnsi="Times New Roman"/>
                <w:sz w:val="14"/>
                <w:szCs w:val="14"/>
                <w:b w:val="1"/>
                <w:bCs w:val="1"/>
                <w:color w:val="auto"/>
              </w:rPr>
              <w:t>Balance</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120" w:type="dxa"/>
            <w:vAlign w:val="bottom"/>
          </w:tcPr>
          <w:p>
            <w:pPr>
              <w:spacing w:after="0"/>
              <w:rPr>
                <w:sz w:val="11"/>
                <w:szCs w:val="11"/>
                <w:color w:val="auto"/>
              </w:rPr>
            </w:pPr>
          </w:p>
        </w:tc>
        <w:tc>
          <w:tcPr>
            <w:tcW w:w="84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140" w:type="dxa"/>
            <w:vAlign w:val="bottom"/>
            <w:gridSpan w:val="2"/>
          </w:tcPr>
          <w:p>
            <w:pPr>
              <w:jc w:val="center"/>
              <w:ind w:right="15"/>
              <w:spacing w:after="0" w:line="131"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20" w:type="dxa"/>
            <w:vAlign w:val="bottom"/>
          </w:tcPr>
          <w:p>
            <w:pPr>
              <w:spacing w:after="0"/>
              <w:rPr>
                <w:sz w:val="11"/>
                <w:szCs w:val="11"/>
                <w:color w:val="auto"/>
              </w:rPr>
            </w:pPr>
          </w:p>
        </w:tc>
        <w:tc>
          <w:tcPr>
            <w:tcW w:w="800" w:type="dxa"/>
            <w:vAlign w:val="bottom"/>
          </w:tcPr>
          <w:p>
            <w:pPr>
              <w:jc w:val="center"/>
              <w:ind w:right="157"/>
              <w:spacing w:after="0" w:line="131"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w w:val="85"/>
              </w:rPr>
              <w:t>at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40" w:type="dxa"/>
            <w:vAlign w:val="bottom"/>
            <w:gridSpan w:val="2"/>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2"/>
                <w:szCs w:val="12"/>
                <w:color w:val="auto"/>
              </w:rPr>
            </w:pPr>
          </w:p>
        </w:tc>
        <w:tc>
          <w:tcPr>
            <w:tcW w:w="800" w:type="dxa"/>
            <w:vAlign w:val="bottom"/>
          </w:tcPr>
          <w:p>
            <w:pPr>
              <w:jc w:val="center"/>
              <w:ind w:right="217"/>
              <w:spacing w:after="0" w:line="149" w:lineRule="exact"/>
              <w:rPr>
                <w:sz w:val="20"/>
                <w:szCs w:val="20"/>
                <w:color w:val="auto"/>
              </w:rPr>
            </w:pPr>
            <w:r>
              <w:rPr>
                <w:rFonts w:ascii="Times New Roman" w:cs="Times New Roman" w:eastAsia="Times New Roman" w:hAnsi="Times New Roman"/>
                <w:sz w:val="14"/>
                <w:szCs w:val="14"/>
                <w:b w:val="1"/>
                <w:bCs w:val="1"/>
                <w:color w:val="auto"/>
              </w:rPr>
              <w:t>at end</w:t>
            </w:r>
          </w:p>
        </w:tc>
        <w:tc>
          <w:tcPr>
            <w:tcW w:w="0" w:type="dxa"/>
            <w:vAlign w:val="bottom"/>
          </w:tcPr>
          <w:p>
            <w:pPr>
              <w:spacing w:after="0"/>
              <w:rPr>
                <w:sz w:val="1"/>
                <w:szCs w:val="1"/>
                <w:color w:val="auto"/>
              </w:rPr>
            </w:pPr>
          </w:p>
        </w:tc>
      </w:tr>
      <w:tr>
        <w:trPr>
          <w:trHeight w:val="148"/>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40" w:type="dxa"/>
            <w:vAlign w:val="bottom"/>
          </w:tcPr>
          <w:p>
            <w:pPr>
              <w:spacing w:after="0"/>
              <w:rPr>
                <w:sz w:val="12"/>
                <w:szCs w:val="12"/>
                <w:color w:val="auto"/>
              </w:rPr>
            </w:pPr>
          </w:p>
        </w:tc>
        <w:tc>
          <w:tcPr>
            <w:tcW w:w="80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20" w:type="dxa"/>
            <w:vAlign w:val="bottom"/>
          </w:tcPr>
          <w:p>
            <w:pPr>
              <w:spacing w:after="0"/>
              <w:rPr>
                <w:sz w:val="12"/>
                <w:szCs w:val="12"/>
                <w:color w:val="auto"/>
              </w:rPr>
            </w:pPr>
          </w:p>
        </w:tc>
        <w:tc>
          <w:tcPr>
            <w:tcW w:w="84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w w:val="99"/>
              </w:rPr>
              <w:t>(credited)</w:t>
            </w:r>
          </w:p>
        </w:tc>
        <w:tc>
          <w:tcPr>
            <w:tcW w:w="340" w:type="dxa"/>
            <w:vAlign w:val="bottom"/>
          </w:tcPr>
          <w:p>
            <w:pPr>
              <w:spacing w:after="0"/>
              <w:rPr>
                <w:sz w:val="12"/>
                <w:szCs w:val="12"/>
                <w:color w:val="auto"/>
              </w:rPr>
            </w:pPr>
          </w:p>
        </w:tc>
        <w:tc>
          <w:tcPr>
            <w:tcW w:w="840" w:type="dxa"/>
            <w:vAlign w:val="bottom"/>
          </w:tcPr>
          <w:p>
            <w:pPr>
              <w:jc w:val="center"/>
              <w:ind w:right="253"/>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240" w:type="dxa"/>
            <w:vAlign w:val="bottom"/>
          </w:tcPr>
          <w:p>
            <w:pPr>
              <w:spacing w:after="0"/>
              <w:rPr>
                <w:sz w:val="12"/>
                <w:szCs w:val="12"/>
                <w:color w:val="auto"/>
              </w:rPr>
            </w:pPr>
          </w:p>
        </w:tc>
        <w:tc>
          <w:tcPr>
            <w:tcW w:w="900" w:type="dxa"/>
            <w:vAlign w:val="bottom"/>
          </w:tcPr>
          <w:p>
            <w:pPr>
              <w:jc w:val="center"/>
              <w:ind w:right="275"/>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220" w:type="dxa"/>
            <w:vAlign w:val="bottom"/>
          </w:tcPr>
          <w:p>
            <w:pPr>
              <w:spacing w:after="0"/>
              <w:rPr>
                <w:sz w:val="12"/>
                <w:szCs w:val="12"/>
                <w:color w:val="auto"/>
              </w:rPr>
            </w:pPr>
          </w:p>
        </w:tc>
        <w:tc>
          <w:tcPr>
            <w:tcW w:w="80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87"/>
        </w:trPr>
        <w:tc>
          <w:tcPr>
            <w:tcW w:w="382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of period</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 income</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to AOCL</w:t>
            </w: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reserves (b)</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69"/>
        </w:trPr>
        <w:tc>
          <w:tcPr>
            <w:tcW w:w="38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43"/>
        </w:trPr>
        <w:tc>
          <w:tcPr>
            <w:tcW w:w="38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 — deferred tax assets</w:t>
            </w:r>
          </w:p>
        </w:tc>
        <w:tc>
          <w:tcPr>
            <w:tcW w:w="8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34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3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40"/>
        </w:trPr>
        <w:tc>
          <w:tcPr>
            <w:tcW w:w="38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8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43"/>
        </w:trPr>
        <w:tc>
          <w:tcPr>
            <w:tcW w:w="38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 — deferred tax assets</w:t>
            </w:r>
          </w:p>
        </w:tc>
        <w:tc>
          <w:tcPr>
            <w:tcW w:w="8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34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(418 )</w:t>
            </w:r>
          </w:p>
        </w:tc>
        <w:tc>
          <w:tcPr>
            <w:tcW w:w="1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3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40"/>
        </w:trPr>
        <w:tc>
          <w:tcPr>
            <w:tcW w:w="38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8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 $</w:t>
            </w:r>
          </w:p>
        </w:tc>
        <w:tc>
          <w:tcPr>
            <w:tcW w:w="1040" w:type="dxa"/>
            <w:vAlign w:val="bottom"/>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43"/>
        </w:trPr>
        <w:tc>
          <w:tcPr>
            <w:tcW w:w="38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 — deferred tax assets</w:t>
            </w:r>
          </w:p>
        </w:tc>
        <w:tc>
          <w:tcPr>
            <w:tcW w:w="8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34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1,469</w:t>
            </w: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left="760" w:hanging="752"/>
        <w:spacing w:after="0" w:line="265" w:lineRule="auto"/>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 2020, we adopted, using the modified retrospective adoption approach, an accounting standards update with new guidance relating to credit losses on financial instruments. Our adoption of this standards update resulted in a cumulative effect adjustment to decrease Retained Earnings by $12 million, with Accounts Receivables decreasing by $15 million and Deferred Income Taxes increasing by $3 million.</w:t>
      </w:r>
    </w:p>
    <w:p>
      <w:pPr>
        <w:spacing w:after="0" w:line="69"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charged off.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w:t>
      </w:r>
    </w:p>
    <w:p>
      <w:pPr>
        <w:spacing w:after="0" w:line="22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3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OF EXHIBITS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9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w:t>
            </w:r>
          </w:p>
        </w:tc>
        <w:tc>
          <w:tcPr>
            <w:tcW w:w="12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48"/>
        </w:trPr>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Table</w:t>
            </w:r>
          </w:p>
        </w:tc>
        <w:tc>
          <w:tcPr>
            <w:tcW w:w="120" w:type="dxa"/>
            <w:vAlign w:val="bottom"/>
          </w:tcPr>
          <w:p>
            <w:pPr>
              <w:spacing w:after="0"/>
              <w:rPr>
                <w:sz w:val="12"/>
                <w:szCs w:val="12"/>
                <w:color w:val="auto"/>
              </w:rPr>
            </w:pPr>
          </w:p>
        </w:tc>
        <w:tc>
          <w:tcPr>
            <w:tcW w:w="9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Item No.</w:t>
            </w:r>
          </w:p>
        </w:tc>
        <w:tc>
          <w:tcPr>
            <w:tcW w:w="120" w:type="dxa"/>
            <w:vAlign w:val="bottom"/>
          </w:tcPr>
          <w:p>
            <w:pPr>
              <w:spacing w:after="0"/>
              <w:rPr>
                <w:sz w:val="16"/>
                <w:szCs w:val="16"/>
                <w:color w:val="auto"/>
              </w:rPr>
            </w:pPr>
          </w:p>
        </w:tc>
        <w:tc>
          <w:tcPr>
            <w:tcW w:w="9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060" w:hanging="639"/>
        <w:spacing w:after="0"/>
        <w:tabs>
          <w:tab w:leader="none" w:pos="10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Plan of Acquisition, Reorganization, Arrangement, Liquidation or Succession</w:t>
      </w:r>
    </w:p>
    <w:p>
      <w:pPr>
        <w:spacing w:after="0" w:line="188" w:lineRule="exact"/>
        <w:rPr>
          <w:sz w:val="20"/>
          <w:szCs w:val="20"/>
          <w:color w:val="auto"/>
        </w:rPr>
      </w:pPr>
    </w:p>
    <w:p>
      <w:pPr>
        <w:jc w:val="both"/>
        <w:ind w:left="1060" w:right="1020" w:hanging="693"/>
        <w:spacing w:after="0" w:line="265" w:lineRule="auto"/>
        <w:tabs>
          <w:tab w:leader="none" w:pos="1060" w:val="left"/>
        </w:tabs>
        <w:numPr>
          <w:ilvl w:val="0"/>
          <w:numId w:val="54"/>
        </w:numPr>
        <w:rPr>
          <w:rFonts w:ascii="Times New Roman" w:cs="Times New Roman" w:eastAsia="Times New Roman" w:hAnsi="Times New Roman"/>
          <w:sz w:val="18"/>
          <w:szCs w:val="18"/>
          <w:color w:val="0000FF"/>
        </w:rPr>
      </w:pPr>
      <w:hyperlink r:id="rId615">
        <w:r>
          <w:rPr>
            <w:rFonts w:ascii="Times New Roman" w:cs="Times New Roman" w:eastAsia="Times New Roman" w:hAnsi="Times New Roman"/>
            <w:sz w:val="18"/>
            <w:szCs w:val="18"/>
            <w:u w:val="single" w:color="auto"/>
            <w:color w:val="0000FF"/>
          </w:rPr>
          <w:t>Agreement and Plan of Merger, dated as of February 22, 2021, by and among the Company, Vulcan Merger Sub Inc. and</w:t>
        </w:r>
      </w:hyperlink>
      <w:r>
        <w:rPr>
          <w:rFonts w:ascii="Times New Roman" w:cs="Times New Roman" w:eastAsia="Times New Roman" w:hAnsi="Times New Roman"/>
          <w:sz w:val="18"/>
          <w:szCs w:val="18"/>
          <w:u w:val="single" w:color="auto"/>
          <w:color w:val="0000FF"/>
        </w:rPr>
        <w:t xml:space="preserve"> </w:t>
      </w:r>
      <w:hyperlink r:id="rId615">
        <w:r>
          <w:rPr>
            <w:rFonts w:ascii="Times New Roman" w:cs="Times New Roman" w:eastAsia="Times New Roman" w:hAnsi="Times New Roman"/>
            <w:sz w:val="18"/>
            <w:szCs w:val="18"/>
            <w:u w:val="single" w:color="auto"/>
            <w:color w:val="0000FF"/>
          </w:rPr>
          <w:t>Cooper Tire &amp; Rubber Company (incorporated by reference, filed as Exhibit 2.1 to the Company’s Current Report on Form 8-</w:t>
        </w:r>
      </w:hyperlink>
      <w:hyperlink r:id="rId615">
        <w:r>
          <w:rPr>
            <w:rFonts w:ascii="Times New Roman" w:cs="Times New Roman" w:eastAsia="Times New Roman" w:hAnsi="Times New Roman"/>
            <w:sz w:val="18"/>
            <w:szCs w:val="18"/>
            <w:u w:val="single" w:color="auto"/>
            <w:color w:val="0000FF"/>
          </w:rPr>
          <w:t>K, filed February 25, 2021, File No. 1-1927).</w:t>
        </w:r>
        <w:r>
          <w:rPr>
            <w:rFonts w:ascii="Times New Roman" w:cs="Times New Roman" w:eastAsia="Times New Roman" w:hAnsi="Times New Roman"/>
            <w:sz w:val="18"/>
            <w:szCs w:val="18"/>
            <w:color w:val="000000"/>
          </w:rPr>
          <w: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673100</wp:posOffset>
            </wp:positionH>
            <wp:positionV relativeFrom="paragraph">
              <wp:posOffset>-311785</wp:posOffset>
            </wp:positionV>
            <wp:extent cx="581342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6">
                      <a:extLst>
                        <a:ext uri="{28A0092B-C50C-407E-A947-70E740481C1C}"/>
                      </a:extLst>
                    </a:blip>
                    <a:srcRect/>
                    <a:stretch>
                      <a:fillRect/>
                    </a:stretch>
                  </pic:blipFill>
                  <pic:spPr bwMode="auto">
                    <a:xfrm>
                      <a:off x="0" y="0"/>
                      <a:ext cx="581342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-174625</wp:posOffset>
            </wp:positionV>
            <wp:extent cx="581215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7">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-38100</wp:posOffset>
            </wp:positionV>
            <wp:extent cx="20662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8">
                      <a:extLst>
                        <a:ext uri="{28A0092B-C50C-407E-A947-70E740481C1C}"/>
                      </a:extLst>
                    </a:blip>
                    <a:srcRect/>
                    <a:stretch>
                      <a:fillRect/>
                    </a:stretch>
                  </pic:blipFill>
                  <pic:spPr bwMode="auto">
                    <a:xfrm>
                      <a:off x="0" y="0"/>
                      <a:ext cx="2066290" cy="8255"/>
                    </a:xfrm>
                    <a:prstGeom prst="rect">
                      <a:avLst/>
                    </a:prstGeom>
                    <a:noFill/>
                  </pic:spPr>
                </pic:pic>
              </a:graphicData>
            </a:graphic>
          </wp:anchor>
        </w:drawing>
      </w:r>
    </w:p>
    <w:p>
      <w:pPr>
        <w:spacing w:after="0" w:line="113" w:lineRule="exact"/>
        <w:rPr>
          <w:rFonts w:ascii="Times New Roman" w:cs="Times New Roman" w:eastAsia="Times New Roman" w:hAnsi="Times New Roman"/>
          <w:sz w:val="18"/>
          <w:szCs w:val="18"/>
          <w:u w:val="single" w:color="auto"/>
          <w:color w:val="0000FF"/>
        </w:rPr>
      </w:pPr>
    </w:p>
    <w:p>
      <w:pPr>
        <w:ind w:left="1060" w:hanging="639"/>
        <w:spacing w:after="0"/>
        <w:tabs>
          <w:tab w:leader="none" w:pos="10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Articles of Incorporation and By-Laws</w:t>
      </w:r>
    </w:p>
    <w:p>
      <w:pPr>
        <w:spacing w:after="0" w:line="200" w:lineRule="exact"/>
        <w:rPr>
          <w:rFonts w:ascii="Times New Roman" w:cs="Times New Roman" w:eastAsia="Times New Roman" w:hAnsi="Times New Roman"/>
          <w:sz w:val="18"/>
          <w:szCs w:val="18"/>
          <w:u w:val="single" w:color="auto"/>
          <w:color w:val="0000FF"/>
        </w:rPr>
      </w:pPr>
    </w:p>
    <w:p>
      <w:pPr>
        <w:spacing w:after="0" w:line="204" w:lineRule="exact"/>
        <w:rPr>
          <w:rFonts w:ascii="Times New Roman" w:cs="Times New Roman" w:eastAsia="Times New Roman" w:hAnsi="Times New Roman"/>
          <w:sz w:val="18"/>
          <w:szCs w:val="18"/>
          <w:u w:val="single" w:color="auto"/>
          <w:color w:val="0000FF"/>
        </w:rPr>
      </w:pPr>
    </w:p>
    <w:p>
      <w:pPr>
        <w:jc w:val="both"/>
        <w:ind w:left="1060" w:right="1020" w:hanging="693"/>
        <w:spacing w:after="0" w:line="254" w:lineRule="auto"/>
        <w:tabs>
          <w:tab w:leader="none" w:pos="1060" w:val="left"/>
        </w:tabs>
        <w:numPr>
          <w:ilvl w:val="0"/>
          <w:numId w:val="56"/>
        </w:numPr>
        <w:rPr>
          <w:rFonts w:ascii="Times New Roman" w:cs="Times New Roman" w:eastAsia="Times New Roman" w:hAnsi="Times New Roman"/>
          <w:sz w:val="18"/>
          <w:szCs w:val="18"/>
          <w:u w:val="single" w:color="auto"/>
          <w:color w:val="0000FF"/>
        </w:rPr>
      </w:pPr>
      <w:hyperlink r:id="rId619">
        <w:r>
          <w:rPr>
            <w:rFonts w:ascii="Times New Roman" w:cs="Times New Roman" w:eastAsia="Times New Roman" w:hAnsi="Times New Roman"/>
            <w:sz w:val="18"/>
            <w:szCs w:val="18"/>
            <w:u w:val="single" w:color="auto"/>
            <w:color w:val="0000FF"/>
          </w:rPr>
          <w:t>Certificate of Amended Articles of Incorporation of The Goodyear Tire &amp; Rubber Company, dated December 20, 1954,</w:t>
        </w:r>
      </w:hyperlink>
      <w:r>
        <w:rPr>
          <w:rFonts w:ascii="Times New Roman" w:cs="Times New Roman" w:eastAsia="Times New Roman" w:hAnsi="Times New Roman"/>
          <w:sz w:val="18"/>
          <w:szCs w:val="18"/>
          <w:u w:val="single" w:color="auto"/>
          <w:color w:val="0000FF"/>
        </w:rPr>
        <w:t xml:space="preserve"> </w:t>
      </w:r>
      <w:hyperlink r:id="rId619">
        <w:r>
          <w:rPr>
            <w:rFonts w:ascii="Times New Roman" w:cs="Times New Roman" w:eastAsia="Times New Roman" w:hAnsi="Times New Roman"/>
            <w:sz w:val="18"/>
            <w:szCs w:val="18"/>
            <w:u w:val="single" w:color="auto"/>
            <w:color w:val="0000FF"/>
          </w:rPr>
          <w:t>Certificate of Amendment to Amended Articles of Incorporation of the Company, dated April 6, 1993, Certificate of</w:t>
        </w:r>
      </w:hyperlink>
      <w:r>
        <w:rPr>
          <w:rFonts w:ascii="Times New Roman" w:cs="Times New Roman" w:eastAsia="Times New Roman" w:hAnsi="Times New Roman"/>
          <w:sz w:val="18"/>
          <w:szCs w:val="18"/>
          <w:u w:val="single" w:color="auto"/>
          <w:color w:val="0000FF"/>
        </w:rPr>
        <w:t xml:space="preserve"> </w:t>
      </w:r>
      <w:hyperlink r:id="rId619">
        <w:r>
          <w:rPr>
            <w:rFonts w:ascii="Times New Roman" w:cs="Times New Roman" w:eastAsia="Times New Roman" w:hAnsi="Times New Roman"/>
            <w:sz w:val="18"/>
            <w:szCs w:val="18"/>
            <w:u w:val="single" w:color="auto"/>
            <w:color w:val="0000FF"/>
          </w:rPr>
          <w:t>Amendment to Amended Articles of Incorporation of the Company, dated June 4, 1996, Certificate of Amendment to</w:t>
        </w:r>
      </w:hyperlink>
      <w:r>
        <w:rPr>
          <w:rFonts w:ascii="Times New Roman" w:cs="Times New Roman" w:eastAsia="Times New Roman" w:hAnsi="Times New Roman"/>
          <w:sz w:val="18"/>
          <w:szCs w:val="18"/>
          <w:u w:val="single" w:color="auto"/>
          <w:color w:val="0000FF"/>
        </w:rPr>
        <w:t xml:space="preserve"> </w:t>
      </w:r>
      <w:hyperlink r:id="rId619">
        <w:r>
          <w:rPr>
            <w:rFonts w:ascii="Times New Roman" w:cs="Times New Roman" w:eastAsia="Times New Roman" w:hAnsi="Times New Roman"/>
            <w:sz w:val="18"/>
            <w:szCs w:val="18"/>
            <w:u w:val="single" w:color="auto"/>
            <w:color w:val="0000FF"/>
          </w:rPr>
          <w:t>Amended Articles of Incorporation of the Company, dated April 18, 2006, Certificate of Amendment to Amended Articles of</w:t>
        </w:r>
      </w:hyperlink>
      <w:r>
        <w:rPr>
          <w:rFonts w:ascii="Times New Roman" w:cs="Times New Roman" w:eastAsia="Times New Roman" w:hAnsi="Times New Roman"/>
          <w:sz w:val="18"/>
          <w:szCs w:val="18"/>
          <w:u w:val="single" w:color="auto"/>
          <w:color w:val="0000FF"/>
        </w:rPr>
        <w:t xml:space="preserve"> </w:t>
      </w:r>
      <w:hyperlink r:id="rId619">
        <w:r>
          <w:rPr>
            <w:rFonts w:ascii="Times New Roman" w:cs="Times New Roman" w:eastAsia="Times New Roman" w:hAnsi="Times New Roman"/>
            <w:sz w:val="18"/>
            <w:szCs w:val="18"/>
            <w:u w:val="single" w:color="auto"/>
            <w:color w:val="0000FF"/>
          </w:rPr>
          <w:t>Incorporation of the Company, dated April 22, 2009, Certificate of Amendment to Amended Articles of Incorporation of the</w:t>
        </w:r>
      </w:hyperlink>
      <w:r>
        <w:rPr>
          <w:rFonts w:ascii="Times New Roman" w:cs="Times New Roman" w:eastAsia="Times New Roman" w:hAnsi="Times New Roman"/>
          <w:sz w:val="18"/>
          <w:szCs w:val="18"/>
          <w:u w:val="single" w:color="auto"/>
          <w:color w:val="0000FF"/>
        </w:rPr>
        <w:t xml:space="preserve"> </w:t>
      </w:r>
      <w:hyperlink r:id="rId619">
        <w:r>
          <w:rPr>
            <w:rFonts w:ascii="Times New Roman" w:cs="Times New Roman" w:eastAsia="Times New Roman" w:hAnsi="Times New Roman"/>
            <w:sz w:val="18"/>
            <w:szCs w:val="18"/>
            <w:u w:val="single" w:color="auto"/>
            <w:color w:val="0000FF"/>
          </w:rPr>
          <w:t>Company, dated March 30, 2011, and Certificate of Amendment to Amended Articles of Incorporation of the Company, dated</w:t>
        </w:r>
      </w:hyperlink>
      <w:r>
        <w:rPr>
          <w:rFonts w:ascii="Times New Roman" w:cs="Times New Roman" w:eastAsia="Times New Roman" w:hAnsi="Times New Roman"/>
          <w:sz w:val="18"/>
          <w:szCs w:val="18"/>
          <w:u w:val="single" w:color="auto"/>
          <w:color w:val="0000FF"/>
        </w:rPr>
        <w:t xml:space="preserve"> </w:t>
      </w:r>
      <w:hyperlink r:id="rId619">
        <w:r>
          <w:rPr>
            <w:rFonts w:ascii="Times New Roman" w:cs="Times New Roman" w:eastAsia="Times New Roman" w:hAnsi="Times New Roman"/>
            <w:sz w:val="18"/>
            <w:szCs w:val="18"/>
            <w:u w:val="single" w:color="auto"/>
            <w:color w:val="0000FF"/>
          </w:rPr>
          <w:t>April 16, 2015, together comprising the Company's Articles of Incorporation, as amended (incorporated by reference, filed as</w:t>
        </w:r>
      </w:hyperlink>
      <w:r>
        <w:rPr>
          <w:rFonts w:ascii="Times New Roman" w:cs="Times New Roman" w:eastAsia="Times New Roman" w:hAnsi="Times New Roman"/>
          <w:sz w:val="18"/>
          <w:szCs w:val="18"/>
          <w:u w:val="single" w:color="auto"/>
          <w:color w:val="0000FF"/>
        </w:rPr>
        <w:t xml:space="preserve"> </w:t>
      </w:r>
      <w:hyperlink r:id="rId619">
        <w:r>
          <w:rPr>
            <w:rFonts w:ascii="Times New Roman" w:cs="Times New Roman" w:eastAsia="Times New Roman" w:hAnsi="Times New Roman"/>
            <w:sz w:val="18"/>
            <w:szCs w:val="18"/>
            <w:u w:val="single" w:color="auto"/>
            <w:color w:val="0000FF"/>
          </w:rPr>
          <w:t>Exhibit 3.1 to the Company’s Quarterly Report on Form 10-Q for the quarter ended June 30, 2015, File No. 1-1927).</w:t>
        </w:r>
      </w:hyperlink>
    </w:p>
    <w:p>
      <w:pPr>
        <w:spacing w:after="0" w:line="148" w:lineRule="exact"/>
        <w:rPr>
          <w:rFonts w:ascii="Times New Roman" w:cs="Times New Roman" w:eastAsia="Times New Roman" w:hAnsi="Times New Roman"/>
          <w:sz w:val="18"/>
          <w:szCs w:val="18"/>
          <w:u w:val="single" w:color="auto"/>
          <w:color w:val="0000FF"/>
        </w:rPr>
      </w:pPr>
    </w:p>
    <w:p>
      <w:pPr>
        <w:jc w:val="both"/>
        <w:ind w:left="1060" w:right="1020" w:hanging="698"/>
        <w:spacing w:after="0" w:line="265" w:lineRule="auto"/>
        <w:tabs>
          <w:tab w:leader="none" w:pos="1060" w:val="left"/>
        </w:tabs>
        <w:numPr>
          <w:ilvl w:val="0"/>
          <w:numId w:val="56"/>
        </w:numPr>
        <w:rPr>
          <w:rFonts w:ascii="Times New Roman" w:cs="Times New Roman" w:eastAsia="Times New Roman" w:hAnsi="Times New Roman"/>
          <w:sz w:val="18"/>
          <w:szCs w:val="18"/>
          <w:u w:val="single" w:color="auto"/>
          <w:color w:val="0000FF"/>
        </w:rPr>
      </w:pPr>
      <w:hyperlink r:id="rId620">
        <w:r>
          <w:rPr>
            <w:rFonts w:ascii="Times New Roman" w:cs="Times New Roman" w:eastAsia="Times New Roman" w:hAnsi="Times New Roman"/>
            <w:sz w:val="18"/>
            <w:szCs w:val="18"/>
            <w:u w:val="single" w:color="auto"/>
            <w:color w:val="0000FF"/>
          </w:rPr>
          <w:t>Code of Regulations of The Goodyear Tire &amp; Rubber Company, adopted November 22, 1955, and as most recently amended</w:t>
        </w:r>
      </w:hyperlink>
      <w:r>
        <w:rPr>
          <w:rFonts w:ascii="Times New Roman" w:cs="Times New Roman" w:eastAsia="Times New Roman" w:hAnsi="Times New Roman"/>
          <w:sz w:val="18"/>
          <w:szCs w:val="18"/>
          <w:u w:val="single" w:color="auto"/>
          <w:color w:val="0000FF"/>
        </w:rPr>
        <w:t xml:space="preserve"> </w:t>
      </w:r>
      <w:hyperlink r:id="rId620">
        <w:r>
          <w:rPr>
            <w:rFonts w:ascii="Times New Roman" w:cs="Times New Roman" w:eastAsia="Times New Roman" w:hAnsi="Times New Roman"/>
            <w:sz w:val="18"/>
            <w:szCs w:val="18"/>
            <w:u w:val="single" w:color="auto"/>
            <w:color w:val="0000FF"/>
          </w:rPr>
          <w:t>on October 4, 2022 (incorporated by reference, filed as Exhibit 3.1 to the Company’s Current Report on Form 8-K, filed</w:t>
        </w:r>
      </w:hyperlink>
      <w:r>
        <w:rPr>
          <w:rFonts w:ascii="Times New Roman" w:cs="Times New Roman" w:eastAsia="Times New Roman" w:hAnsi="Times New Roman"/>
          <w:sz w:val="18"/>
          <w:szCs w:val="18"/>
          <w:u w:val="single" w:color="auto"/>
          <w:color w:val="0000FF"/>
        </w:rPr>
        <w:t xml:space="preserve"> </w:t>
      </w:r>
      <w:hyperlink r:id="rId620">
        <w:r>
          <w:rPr>
            <w:rFonts w:ascii="Times New Roman" w:cs="Times New Roman" w:eastAsia="Times New Roman" w:hAnsi="Times New Roman"/>
            <w:sz w:val="18"/>
            <w:szCs w:val="18"/>
            <w:u w:val="single" w:color="auto"/>
            <w:color w:val="0000FF"/>
          </w:rPr>
          <w:t>October 11, 2022, File No. 1-1927).</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673100</wp:posOffset>
            </wp:positionH>
            <wp:positionV relativeFrom="paragraph">
              <wp:posOffset>-1518920</wp:posOffset>
            </wp:positionV>
            <wp:extent cx="581025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1">
                      <a:extLst>
                        <a:ext uri="{28A0092B-C50C-407E-A947-70E740481C1C}"/>
                      </a:extLst>
                    </a:blip>
                    <a:srcRect/>
                    <a:stretch>
                      <a:fillRect/>
                    </a:stretch>
                  </pic:blipFill>
                  <pic:spPr bwMode="auto">
                    <a:xfrm>
                      <a:off x="0" y="0"/>
                      <a:ext cx="581025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-1382395</wp:posOffset>
            </wp:positionV>
            <wp:extent cx="581025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2">
                      <a:extLst>
                        <a:ext uri="{28A0092B-C50C-407E-A947-70E740481C1C}"/>
                      </a:extLst>
                    </a:blip>
                    <a:srcRect/>
                    <a:stretch>
                      <a:fillRect/>
                    </a:stretch>
                  </pic:blipFill>
                  <pic:spPr bwMode="auto">
                    <a:xfrm>
                      <a:off x="0" y="0"/>
                      <a:ext cx="581025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-1245235</wp:posOffset>
            </wp:positionV>
            <wp:extent cx="581152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3">
                      <a:extLst>
                        <a:ext uri="{28A0092B-C50C-407E-A947-70E740481C1C}"/>
                      </a:extLst>
                    </a:blip>
                    <a:srcRect/>
                    <a:stretch>
                      <a:fillRect/>
                    </a:stretch>
                  </pic:blipFill>
                  <pic:spPr bwMode="auto">
                    <a:xfrm>
                      <a:off x="0" y="0"/>
                      <a:ext cx="581152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-1108075</wp:posOffset>
            </wp:positionV>
            <wp:extent cx="580771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4">
                      <a:extLst>
                        <a:ext uri="{28A0092B-C50C-407E-A947-70E740481C1C}"/>
                      </a:extLst>
                    </a:blip>
                    <a:srcRect/>
                    <a:stretch>
                      <a:fillRect/>
                    </a:stretch>
                  </pic:blipFill>
                  <pic:spPr bwMode="auto">
                    <a:xfrm>
                      <a:off x="0" y="0"/>
                      <a:ext cx="580771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-970915</wp:posOffset>
            </wp:positionV>
            <wp:extent cx="580644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5">
                      <a:extLst>
                        <a:ext uri="{28A0092B-C50C-407E-A947-70E740481C1C}"/>
                      </a:extLst>
                    </a:blip>
                    <a:srcRect/>
                    <a:stretch>
                      <a:fillRect/>
                    </a:stretch>
                  </pic:blipFill>
                  <pic:spPr bwMode="auto">
                    <a:xfrm>
                      <a:off x="0" y="0"/>
                      <a:ext cx="580644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-834390</wp:posOffset>
            </wp:positionV>
            <wp:extent cx="58121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6">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-697230</wp:posOffset>
            </wp:positionV>
            <wp:extent cx="580834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7">
                      <a:extLst>
                        <a:ext uri="{28A0092B-C50C-407E-A947-70E740481C1C}"/>
                      </a:extLst>
                    </a:blip>
                    <a:srcRect/>
                    <a:stretch>
                      <a:fillRect/>
                    </a:stretch>
                  </pic:blipFill>
                  <pic:spPr bwMode="auto">
                    <a:xfrm>
                      <a:off x="0" y="0"/>
                      <a:ext cx="580834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-560070</wp:posOffset>
            </wp:positionV>
            <wp:extent cx="532447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8">
                      <a:extLst>
                        <a:ext uri="{28A0092B-C50C-407E-A947-70E740481C1C}"/>
                      </a:extLst>
                    </a:blip>
                    <a:srcRect/>
                    <a:stretch>
                      <a:fillRect/>
                    </a:stretch>
                  </pic:blipFill>
                  <pic:spPr bwMode="auto">
                    <a:xfrm>
                      <a:off x="0" y="0"/>
                      <a:ext cx="532447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-311785</wp:posOffset>
            </wp:positionV>
            <wp:extent cx="580771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9">
                      <a:extLst>
                        <a:ext uri="{28A0092B-C50C-407E-A947-70E740481C1C}"/>
                      </a:extLst>
                    </a:blip>
                    <a:srcRect/>
                    <a:stretch>
                      <a:fillRect/>
                    </a:stretch>
                  </pic:blipFill>
                  <pic:spPr bwMode="auto">
                    <a:xfrm>
                      <a:off x="0" y="0"/>
                      <a:ext cx="580771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-174625</wp:posOffset>
            </wp:positionV>
            <wp:extent cx="581088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0">
                      <a:extLst>
                        <a:ext uri="{28A0092B-C50C-407E-A947-70E740481C1C}"/>
                      </a:extLst>
                    </a:blip>
                    <a:srcRect/>
                    <a:stretch>
                      <a:fillRect/>
                    </a:stretch>
                  </pic:blipFill>
                  <pic:spPr bwMode="auto">
                    <a:xfrm>
                      <a:off x="0" y="0"/>
                      <a:ext cx="581088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-38100</wp:posOffset>
            </wp:positionV>
            <wp:extent cx="164084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1">
                      <a:extLst>
                        <a:ext uri="{28A0092B-C50C-407E-A947-70E740481C1C}"/>
                      </a:extLst>
                    </a:blip>
                    <a:srcRect/>
                    <a:stretch>
                      <a:fillRect/>
                    </a:stretch>
                  </pic:blipFill>
                  <pic:spPr bwMode="auto">
                    <a:xfrm>
                      <a:off x="0" y="0"/>
                      <a:ext cx="1640840" cy="8255"/>
                    </a:xfrm>
                    <a:prstGeom prst="rect">
                      <a:avLst/>
                    </a:prstGeom>
                    <a:noFill/>
                  </pic:spPr>
                </pic:pic>
              </a:graphicData>
            </a:graphic>
          </wp:anchor>
        </w:drawing>
      </w:r>
    </w:p>
    <w:p>
      <w:pPr>
        <w:spacing w:after="0" w:line="113" w:lineRule="exact"/>
        <w:rPr>
          <w:rFonts w:ascii="Times New Roman" w:cs="Times New Roman" w:eastAsia="Times New Roman" w:hAnsi="Times New Roman"/>
          <w:sz w:val="18"/>
          <w:szCs w:val="18"/>
          <w:u w:val="single" w:color="auto"/>
          <w:color w:val="0000FF"/>
        </w:rPr>
      </w:pPr>
    </w:p>
    <w:p>
      <w:pPr>
        <w:ind w:left="1060" w:hanging="639"/>
        <w:spacing w:after="0"/>
        <w:tabs>
          <w:tab w:leader="none" w:pos="10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Instruments Defining the Rights of Security Holders, Including Indentures</w:t>
      </w:r>
    </w:p>
    <w:p>
      <w:pPr>
        <w:spacing w:after="0" w:line="200" w:lineRule="exact"/>
        <w:rPr>
          <w:rFonts w:ascii="Times New Roman" w:cs="Times New Roman" w:eastAsia="Times New Roman" w:hAnsi="Times New Roman"/>
          <w:sz w:val="18"/>
          <w:szCs w:val="18"/>
          <w:u w:val="single" w:color="auto"/>
          <w:color w:val="0000FF"/>
        </w:rPr>
      </w:pPr>
    </w:p>
    <w:p>
      <w:pPr>
        <w:spacing w:after="0" w:line="204" w:lineRule="exact"/>
        <w:rPr>
          <w:rFonts w:ascii="Times New Roman" w:cs="Times New Roman" w:eastAsia="Times New Roman" w:hAnsi="Times New Roman"/>
          <w:sz w:val="18"/>
          <w:szCs w:val="18"/>
          <w:u w:val="single" w:color="auto"/>
          <w:color w:val="0000FF"/>
        </w:rPr>
      </w:pPr>
    </w:p>
    <w:p>
      <w:pPr>
        <w:ind w:left="1060" w:right="1020" w:hanging="693"/>
        <w:spacing w:after="0" w:line="281" w:lineRule="auto"/>
        <w:tabs>
          <w:tab w:leader="none" w:pos="1060" w:val="left"/>
        </w:tabs>
        <w:numPr>
          <w:ilvl w:val="0"/>
          <w:numId w:val="58"/>
        </w:numPr>
        <w:rPr>
          <w:rFonts w:ascii="Times New Roman" w:cs="Times New Roman" w:eastAsia="Times New Roman" w:hAnsi="Times New Roman"/>
          <w:sz w:val="18"/>
          <w:szCs w:val="18"/>
          <w:u w:val="single" w:color="auto"/>
          <w:color w:val="0000FF"/>
        </w:rPr>
      </w:pPr>
      <w:hyperlink r:id="rId632">
        <w:r>
          <w:rPr>
            <w:rFonts w:ascii="Times New Roman" w:cs="Times New Roman" w:eastAsia="Times New Roman" w:hAnsi="Times New Roman"/>
            <w:sz w:val="18"/>
            <w:szCs w:val="18"/>
            <w:u w:val="single" w:color="auto"/>
            <w:color w:val="0000FF"/>
          </w:rPr>
          <w:t>Specimen Nondenominational Certificate for Shares of the Common Stock, Without Par Value, of the Company (incorporated</w:t>
        </w:r>
      </w:hyperlink>
      <w:r>
        <w:rPr>
          <w:rFonts w:ascii="Times New Roman" w:cs="Times New Roman" w:eastAsia="Times New Roman" w:hAnsi="Times New Roman"/>
          <w:sz w:val="18"/>
          <w:szCs w:val="18"/>
          <w:u w:val="single" w:color="auto"/>
          <w:color w:val="0000FF"/>
        </w:rPr>
        <w:t xml:space="preserve"> </w:t>
      </w:r>
      <w:hyperlink r:id="rId632">
        <w:r>
          <w:rPr>
            <w:rFonts w:ascii="Times New Roman" w:cs="Times New Roman" w:eastAsia="Times New Roman" w:hAnsi="Times New Roman"/>
            <w:sz w:val="18"/>
            <w:szCs w:val="18"/>
            <w:u w:val="single" w:color="auto"/>
            <w:color w:val="0000FF"/>
          </w:rPr>
          <w:t>by reference, filed as Exhibit 4.1 to the Company’s Current Report on Form 8-K, filed May 9, 2007, File No. 1-1927).</w:t>
        </w:r>
      </w:hyperlink>
    </w:p>
    <w:p>
      <w:pPr>
        <w:spacing w:after="0" w:line="122" w:lineRule="exact"/>
        <w:rPr>
          <w:rFonts w:ascii="Times New Roman" w:cs="Times New Roman" w:eastAsia="Times New Roman" w:hAnsi="Times New Roman"/>
          <w:sz w:val="18"/>
          <w:szCs w:val="18"/>
          <w:u w:val="single" w:color="auto"/>
          <w:color w:val="0000FF"/>
        </w:rPr>
      </w:pPr>
    </w:p>
    <w:p>
      <w:pPr>
        <w:jc w:val="both"/>
        <w:ind w:left="1060" w:right="1020" w:hanging="698"/>
        <w:spacing w:after="0" w:line="265" w:lineRule="auto"/>
        <w:tabs>
          <w:tab w:leader="none" w:pos="1060" w:val="left"/>
        </w:tabs>
        <w:numPr>
          <w:ilvl w:val="0"/>
          <w:numId w:val="58"/>
        </w:numPr>
        <w:rPr>
          <w:rFonts w:ascii="Times New Roman" w:cs="Times New Roman" w:eastAsia="Times New Roman" w:hAnsi="Times New Roman"/>
          <w:sz w:val="18"/>
          <w:szCs w:val="18"/>
          <w:color w:val="0000FF"/>
        </w:rPr>
      </w:pPr>
      <w:hyperlink r:id="rId633">
        <w:r>
          <w:rPr>
            <w:rFonts w:ascii="Times New Roman" w:cs="Times New Roman" w:eastAsia="Times New Roman" w:hAnsi="Times New Roman"/>
            <w:sz w:val="18"/>
            <w:szCs w:val="18"/>
            <w:u w:val="single" w:color="auto"/>
            <w:color w:val="0000FF"/>
          </w:rPr>
          <w:t>Indenture, dated as of March 15, 1996, between the Company and Chemical Bank (now Wells Fargo Bank, N.A.), as Trustee,</w:t>
        </w:r>
      </w:hyperlink>
      <w:r>
        <w:rPr>
          <w:rFonts w:ascii="Times New Roman" w:cs="Times New Roman" w:eastAsia="Times New Roman" w:hAnsi="Times New Roman"/>
          <w:sz w:val="18"/>
          <w:szCs w:val="18"/>
          <w:u w:val="single" w:color="auto"/>
          <w:color w:val="0000FF"/>
        </w:rPr>
        <w:t xml:space="preserve"> </w:t>
      </w:r>
      <w:hyperlink r:id="rId633">
        <w:r>
          <w:rPr>
            <w:rFonts w:ascii="Times New Roman" w:cs="Times New Roman" w:eastAsia="Times New Roman" w:hAnsi="Times New Roman"/>
            <w:sz w:val="18"/>
            <w:szCs w:val="18"/>
            <w:u w:val="single" w:color="auto"/>
            <w:color w:val="0000FF"/>
          </w:rPr>
          <w:t>as supplemented on March 16, 1998, in respect of the Company’s 7% Notes due 2028 (incorporated by reference, filed as</w:t>
        </w:r>
      </w:hyperlink>
      <w:r>
        <w:rPr>
          <w:rFonts w:ascii="Times New Roman" w:cs="Times New Roman" w:eastAsia="Times New Roman" w:hAnsi="Times New Roman"/>
          <w:sz w:val="18"/>
          <w:szCs w:val="18"/>
          <w:u w:val="single" w:color="auto"/>
          <w:color w:val="0000FF"/>
        </w:rPr>
        <w:t xml:space="preserve"> </w:t>
      </w:r>
      <w:hyperlink r:id="rId633">
        <w:r>
          <w:rPr>
            <w:rFonts w:ascii="Times New Roman" w:cs="Times New Roman" w:eastAsia="Times New Roman" w:hAnsi="Times New Roman"/>
            <w:sz w:val="18"/>
            <w:szCs w:val="18"/>
            <w:u w:val="single" w:color="auto"/>
            <w:color w:val="0000FF"/>
          </w:rPr>
          <w:t>Exhibit 4.1 to the Company’s Quarterly Report on Form 10-Q for the quarter ended March 31, 1998, File No. 1-1927)</w:t>
        </w:r>
        <w:r>
          <w:rPr>
            <w:rFonts w:ascii="Times New Roman" w:cs="Times New Roman" w:eastAsia="Times New Roman" w:hAnsi="Times New Roman"/>
            <w:sz w:val="18"/>
            <w:szCs w:val="18"/>
            <w:color w:val="000000"/>
          </w:rPr>
          <w:t>.</w:t>
        </w:r>
      </w:hyperlink>
    </w:p>
    <w:p>
      <w:pPr>
        <w:spacing w:after="0" w:line="136" w:lineRule="exact"/>
        <w:rPr>
          <w:rFonts w:ascii="Times New Roman" w:cs="Times New Roman" w:eastAsia="Times New Roman" w:hAnsi="Times New Roman"/>
          <w:sz w:val="18"/>
          <w:szCs w:val="18"/>
          <w:color w:val="0000FF"/>
        </w:rPr>
      </w:pPr>
    </w:p>
    <w:p>
      <w:pPr>
        <w:jc w:val="both"/>
        <w:ind w:left="1060" w:right="1020" w:hanging="693"/>
        <w:spacing w:after="0" w:line="260" w:lineRule="auto"/>
        <w:tabs>
          <w:tab w:leader="none" w:pos="1060" w:val="left"/>
        </w:tabs>
        <w:numPr>
          <w:ilvl w:val="0"/>
          <w:numId w:val="58"/>
        </w:numPr>
        <w:rPr>
          <w:rFonts w:ascii="Times New Roman" w:cs="Times New Roman" w:eastAsia="Times New Roman" w:hAnsi="Times New Roman"/>
          <w:sz w:val="18"/>
          <w:szCs w:val="18"/>
          <w:u w:val="single" w:color="auto"/>
          <w:color w:val="0000FF"/>
        </w:rPr>
      </w:pPr>
      <w:hyperlink r:id="rId634">
        <w:r>
          <w:rPr>
            <w:rFonts w:ascii="Times New Roman" w:cs="Times New Roman" w:eastAsia="Times New Roman" w:hAnsi="Times New Roman"/>
            <w:sz w:val="18"/>
            <w:szCs w:val="18"/>
            <w:u w:val="single" w:color="auto"/>
            <w:color w:val="0000FF"/>
          </w:rPr>
          <w:t>Indenture, dated as of March 17, 1997, between Cooper Tire &amp; Rubber Company and The Chase Manhattan Bank (now The</w:t>
        </w:r>
      </w:hyperlink>
      <w:r>
        <w:rPr>
          <w:rFonts w:ascii="Times New Roman" w:cs="Times New Roman" w:eastAsia="Times New Roman" w:hAnsi="Times New Roman"/>
          <w:sz w:val="18"/>
          <w:szCs w:val="18"/>
          <w:u w:val="single" w:color="auto"/>
          <w:color w:val="0000FF"/>
        </w:rPr>
        <w:t xml:space="preserve"> </w:t>
      </w:r>
      <w:hyperlink r:id="rId634">
        <w:r>
          <w:rPr>
            <w:rFonts w:ascii="Times New Roman" w:cs="Times New Roman" w:eastAsia="Times New Roman" w:hAnsi="Times New Roman"/>
            <w:sz w:val="18"/>
            <w:szCs w:val="18"/>
            <w:u w:val="single" w:color="auto"/>
            <w:color w:val="0000FF"/>
          </w:rPr>
          <w:t>Bank of New York Mellon Corporation), as Trustee, in respect of the Company's 7.625% Notes due 2027 (incorporated by</w:t>
        </w:r>
      </w:hyperlink>
      <w:r>
        <w:rPr>
          <w:rFonts w:ascii="Times New Roman" w:cs="Times New Roman" w:eastAsia="Times New Roman" w:hAnsi="Times New Roman"/>
          <w:sz w:val="18"/>
          <w:szCs w:val="18"/>
          <w:u w:val="single" w:color="auto"/>
          <w:color w:val="0000FF"/>
        </w:rPr>
        <w:t xml:space="preserve"> </w:t>
      </w:r>
      <w:hyperlink r:id="rId634">
        <w:r>
          <w:rPr>
            <w:rFonts w:ascii="Times New Roman" w:cs="Times New Roman" w:eastAsia="Times New Roman" w:hAnsi="Times New Roman"/>
            <w:sz w:val="18"/>
            <w:szCs w:val="18"/>
            <w:u w:val="single" w:color="auto"/>
            <w:color w:val="0000FF"/>
          </w:rPr>
          <w:t>reference, filed as Exhibit 4.1 to Cooper Tire &amp; Rubber Company’s Registration Statement on Form S-3, filed October 15,</w:t>
        </w:r>
      </w:hyperlink>
      <w:r>
        <w:rPr>
          <w:rFonts w:ascii="Times New Roman" w:cs="Times New Roman" w:eastAsia="Times New Roman" w:hAnsi="Times New Roman"/>
          <w:sz w:val="18"/>
          <w:szCs w:val="18"/>
          <w:u w:val="single" w:color="auto"/>
          <w:color w:val="0000FF"/>
        </w:rPr>
        <w:t xml:space="preserve"> </w:t>
      </w:r>
      <w:hyperlink r:id="rId634">
        <w:r>
          <w:rPr>
            <w:rFonts w:ascii="Times New Roman" w:cs="Times New Roman" w:eastAsia="Times New Roman" w:hAnsi="Times New Roman"/>
            <w:sz w:val="18"/>
            <w:szCs w:val="18"/>
            <w:u w:val="single" w:color="auto"/>
            <w:color w:val="0000FF"/>
          </w:rPr>
          <w:t>1999, File No. 001-04329).</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673100</wp:posOffset>
            </wp:positionH>
            <wp:positionV relativeFrom="paragraph">
              <wp:posOffset>-1353820</wp:posOffset>
            </wp:positionV>
            <wp:extent cx="581406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5">
                      <a:extLst>
                        <a:ext uri="{28A0092B-C50C-407E-A947-70E740481C1C}"/>
                      </a:extLst>
                    </a:blip>
                    <a:srcRect/>
                    <a:stretch>
                      <a:fillRect/>
                    </a:stretch>
                  </pic:blipFill>
                  <pic:spPr bwMode="auto">
                    <a:xfrm>
                      <a:off x="0" y="0"/>
                      <a:ext cx="581406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-1216660</wp:posOffset>
            </wp:positionV>
            <wp:extent cx="539115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6">
                      <a:extLst>
                        <a:ext uri="{28A0092B-C50C-407E-A947-70E740481C1C}"/>
                      </a:extLst>
                    </a:blip>
                    <a:srcRect/>
                    <a:stretch>
                      <a:fillRect/>
                    </a:stretch>
                  </pic:blipFill>
                  <pic:spPr bwMode="auto">
                    <a:xfrm>
                      <a:off x="0" y="0"/>
                      <a:ext cx="539115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-968375</wp:posOffset>
            </wp:positionV>
            <wp:extent cx="580961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7">
                      <a:extLst>
                        <a:ext uri="{28A0092B-C50C-407E-A947-70E740481C1C}"/>
                      </a:extLst>
                    </a:blip>
                    <a:srcRect/>
                    <a:stretch>
                      <a:fillRect/>
                    </a:stretch>
                  </pic:blipFill>
                  <pic:spPr bwMode="auto">
                    <a:xfrm>
                      <a:off x="0" y="0"/>
                      <a:ext cx="580961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-831215</wp:posOffset>
            </wp:positionV>
            <wp:extent cx="581088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8">
                      <a:extLst>
                        <a:ext uri="{28A0092B-C50C-407E-A947-70E740481C1C}"/>
                      </a:extLst>
                    </a:blip>
                    <a:srcRect/>
                    <a:stretch>
                      <a:fillRect/>
                    </a:stretch>
                  </pic:blipFill>
                  <pic:spPr bwMode="auto">
                    <a:xfrm>
                      <a:off x="0" y="0"/>
                      <a:ext cx="581088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-694055</wp:posOffset>
            </wp:positionV>
            <wp:extent cx="538480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9">
                      <a:extLst>
                        <a:ext uri="{28A0092B-C50C-407E-A947-70E740481C1C}"/>
                      </a:extLst>
                    </a:blip>
                    <a:srcRect/>
                    <a:stretch>
                      <a:fillRect/>
                    </a:stretch>
                  </pic:blipFill>
                  <pic:spPr bwMode="auto">
                    <a:xfrm>
                      <a:off x="0" y="0"/>
                      <a:ext cx="538480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-445770</wp:posOffset>
            </wp:positionV>
            <wp:extent cx="581215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0">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-309245</wp:posOffset>
            </wp:positionV>
            <wp:extent cx="580644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1">
                      <a:extLst>
                        <a:ext uri="{28A0092B-C50C-407E-A947-70E740481C1C}"/>
                      </a:extLst>
                    </a:blip>
                    <a:srcRect/>
                    <a:stretch>
                      <a:fillRect/>
                    </a:stretch>
                  </pic:blipFill>
                  <pic:spPr bwMode="auto">
                    <a:xfrm>
                      <a:off x="0" y="0"/>
                      <a:ext cx="580644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-172085</wp:posOffset>
            </wp:positionV>
            <wp:extent cx="580898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2">
                      <a:extLst>
                        <a:ext uri="{28A0092B-C50C-407E-A947-70E740481C1C}"/>
                      </a:extLst>
                    </a:blip>
                    <a:srcRect/>
                    <a:stretch>
                      <a:fillRect/>
                    </a:stretch>
                  </pic:blipFill>
                  <pic:spPr bwMode="auto">
                    <a:xfrm>
                      <a:off x="0" y="0"/>
                      <a:ext cx="580898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-34925</wp:posOffset>
            </wp:positionV>
            <wp:extent cx="124904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3">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spacing w:after="0" w:line="121" w:lineRule="exact"/>
        <w:rPr>
          <w:rFonts w:ascii="Times New Roman" w:cs="Times New Roman" w:eastAsia="Times New Roman" w:hAnsi="Times New Roman"/>
          <w:sz w:val="18"/>
          <w:szCs w:val="18"/>
          <w:u w:val="single" w:color="auto"/>
          <w:color w:val="0000FF"/>
        </w:rPr>
      </w:pPr>
    </w:p>
    <w:p>
      <w:pPr>
        <w:ind w:left="360"/>
        <w:spacing w:after="0"/>
        <w:tabs>
          <w:tab w:leader="none" w:pos="1040" w:val="left"/>
          <w:tab w:leader="none" w:pos="1066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8"/>
          <w:szCs w:val="18"/>
          <w:u w:val="single" w:color="auto"/>
          <w:color w:val="0000FF"/>
        </w:rPr>
        <w:t>First Supplemental Indenture, dated as of November 25, 2022, in respect of the Company’s 7.625% Notes due 2027.</w:t>
      </w:r>
      <w:r>
        <w:rPr>
          <w:sz w:val="20"/>
          <w:szCs w:val="20"/>
          <w:color w:val="auto"/>
        </w:rPr>
        <w:tab/>
      </w:r>
      <w:r>
        <w:rPr>
          <w:rFonts w:ascii="Times New Roman" w:cs="Times New Roman" w:eastAsia="Times New Roman" w:hAnsi="Times New Roman"/>
          <w:sz w:val="17"/>
          <w:szCs w:val="17"/>
          <w:color w:val="auto"/>
        </w:rPr>
        <w:t>4.1</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673100</wp:posOffset>
            </wp:positionH>
            <wp:positionV relativeFrom="paragraph">
              <wp:posOffset>-7620</wp:posOffset>
            </wp:positionV>
            <wp:extent cx="531177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4">
                      <a:extLst>
                        <a:ext uri="{28A0092B-C50C-407E-A947-70E740481C1C}"/>
                      </a:extLst>
                    </a:blip>
                    <a:srcRect/>
                    <a:stretch>
                      <a:fillRect/>
                    </a:stretch>
                  </pic:blipFill>
                  <pic:spPr bwMode="auto">
                    <a:xfrm>
                      <a:off x="0" y="0"/>
                      <a:ext cx="5311775" cy="8255"/>
                    </a:xfrm>
                    <a:prstGeom prst="rect">
                      <a:avLst/>
                    </a:prstGeom>
                    <a:noFill/>
                  </pic:spPr>
                </pic:pic>
              </a:graphicData>
            </a:graphic>
          </wp:anchor>
        </w:drawing>
      </w:r>
    </w:p>
    <w:p>
      <w:pPr>
        <w:spacing w:after="0" w:line="137" w:lineRule="exact"/>
        <w:rPr>
          <w:rFonts w:ascii="Times New Roman" w:cs="Times New Roman" w:eastAsia="Times New Roman" w:hAnsi="Times New Roman"/>
          <w:sz w:val="18"/>
          <w:szCs w:val="18"/>
          <w:u w:val="single" w:color="auto"/>
          <w:color w:val="0000FF"/>
        </w:rPr>
      </w:pPr>
    </w:p>
    <w:p>
      <w:pPr>
        <w:jc w:val="both"/>
        <w:ind w:left="1040" w:right="1020" w:hanging="680"/>
        <w:spacing w:after="0" w:line="252" w:lineRule="auto"/>
        <w:tabs>
          <w:tab w:leader="none" w:pos="1040" w:val="left"/>
        </w:tabs>
        <w:numPr>
          <w:ilvl w:val="0"/>
          <w:numId w:val="59"/>
        </w:numPr>
        <w:rPr>
          <w:rFonts w:ascii="Times New Roman" w:cs="Times New Roman" w:eastAsia="Times New Roman" w:hAnsi="Times New Roman"/>
          <w:sz w:val="18"/>
          <w:szCs w:val="18"/>
          <w:u w:val="single" w:color="auto"/>
          <w:color w:val="0000FF"/>
        </w:rPr>
      </w:pPr>
      <w:hyperlink r:id="rId645">
        <w:r>
          <w:rPr>
            <w:rFonts w:ascii="Times New Roman" w:cs="Times New Roman" w:eastAsia="Times New Roman" w:hAnsi="Times New Roman"/>
            <w:sz w:val="18"/>
            <w:szCs w:val="18"/>
            <w:u w:val="single" w:color="auto"/>
            <w:color w:val="0000FF"/>
          </w:rPr>
          <w:t>Indenture, dated as of August 13, 2010, among the Company, the subsidiary guarantors party thereto and Wells Fargo Bank,</w:t>
        </w:r>
      </w:hyperlink>
      <w:r>
        <w:rPr>
          <w:rFonts w:ascii="Times New Roman" w:cs="Times New Roman" w:eastAsia="Times New Roman" w:hAnsi="Times New Roman"/>
          <w:sz w:val="18"/>
          <w:szCs w:val="18"/>
          <w:u w:val="single" w:color="auto"/>
          <w:color w:val="0000FF"/>
        </w:rPr>
        <w:t xml:space="preserve"> </w:t>
      </w:r>
      <w:hyperlink r:id="rId645">
        <w:r>
          <w:rPr>
            <w:rFonts w:ascii="Times New Roman" w:cs="Times New Roman" w:eastAsia="Times New Roman" w:hAnsi="Times New Roman"/>
            <w:sz w:val="18"/>
            <w:szCs w:val="18"/>
            <w:u w:val="single" w:color="auto"/>
            <w:color w:val="0000FF"/>
          </w:rPr>
          <w:t>N.A., as Trustee (incorporated by reference, filed as Exhibit 4.1 to the Company’s Current Report on Form 8-K, filed August</w:t>
        </w:r>
      </w:hyperlink>
      <w:r>
        <w:rPr>
          <w:rFonts w:ascii="Times New Roman" w:cs="Times New Roman" w:eastAsia="Times New Roman" w:hAnsi="Times New Roman"/>
          <w:sz w:val="18"/>
          <w:szCs w:val="18"/>
          <w:u w:val="single" w:color="auto"/>
          <w:color w:val="0000FF"/>
        </w:rPr>
        <w:t xml:space="preserve"> </w:t>
      </w:r>
      <w:hyperlink r:id="rId646">
        <w:r>
          <w:rPr>
            <w:rFonts w:ascii="Times New Roman" w:cs="Times New Roman" w:eastAsia="Times New Roman" w:hAnsi="Times New Roman"/>
            <w:sz w:val="18"/>
            <w:szCs w:val="18"/>
            <w:u w:val="single" w:color="auto"/>
            <w:color w:val="0000FF"/>
          </w:rPr>
          <w:t>13, 2010, File No. 1-1927), as supplemented by the Fifth Supplemental Indenture thereto, dated as of May 13, 2016, in respect</w:t>
        </w:r>
      </w:hyperlink>
      <w:r>
        <w:rPr>
          <w:rFonts w:ascii="Times New Roman" w:cs="Times New Roman" w:eastAsia="Times New Roman" w:hAnsi="Times New Roman"/>
          <w:sz w:val="18"/>
          <w:szCs w:val="18"/>
          <w:u w:val="single" w:color="auto"/>
          <w:color w:val="0000FF"/>
        </w:rPr>
        <w:t xml:space="preserve"> </w:t>
      </w:r>
      <w:hyperlink r:id="rId646">
        <w:r>
          <w:rPr>
            <w:rFonts w:ascii="Times New Roman" w:cs="Times New Roman" w:eastAsia="Times New Roman" w:hAnsi="Times New Roman"/>
            <w:sz w:val="18"/>
            <w:szCs w:val="18"/>
            <w:u w:val="single" w:color="auto"/>
            <w:color w:val="0000FF"/>
          </w:rPr>
          <w:t>of the Company’s 5% Senior Notes due 2026 (incorporated by reference, filed as Exhibit 4.2 to the Company’s Current Report</w:t>
        </w:r>
      </w:hyperlink>
      <w:r>
        <w:rPr>
          <w:rFonts w:ascii="Times New Roman" w:cs="Times New Roman" w:eastAsia="Times New Roman" w:hAnsi="Times New Roman"/>
          <w:sz w:val="18"/>
          <w:szCs w:val="18"/>
          <w:u w:val="single" w:color="auto"/>
          <w:color w:val="0000FF"/>
        </w:rPr>
        <w:t xml:space="preserve"> </w:t>
      </w:r>
      <w:hyperlink r:id="rId647">
        <w:r>
          <w:rPr>
            <w:rFonts w:ascii="Times New Roman" w:cs="Times New Roman" w:eastAsia="Times New Roman" w:hAnsi="Times New Roman"/>
            <w:sz w:val="18"/>
            <w:szCs w:val="18"/>
            <w:u w:val="single" w:color="auto"/>
            <w:color w:val="0000FF"/>
          </w:rPr>
          <w:t>on Form 8-K, filed May 13, 2016, File No. 1-1927), as supplemented by the Sixth Supplemental Indenture thereto, dated as of</w:t>
        </w:r>
      </w:hyperlink>
      <w:r>
        <w:rPr>
          <w:rFonts w:ascii="Times New Roman" w:cs="Times New Roman" w:eastAsia="Times New Roman" w:hAnsi="Times New Roman"/>
          <w:sz w:val="18"/>
          <w:szCs w:val="18"/>
          <w:u w:val="single" w:color="auto"/>
          <w:color w:val="0000FF"/>
        </w:rPr>
        <w:t xml:space="preserve"> </w:t>
      </w:r>
      <w:hyperlink r:id="rId647">
        <w:r>
          <w:rPr>
            <w:rFonts w:ascii="Times New Roman" w:cs="Times New Roman" w:eastAsia="Times New Roman" w:hAnsi="Times New Roman"/>
            <w:sz w:val="18"/>
            <w:szCs w:val="18"/>
            <w:u w:val="single" w:color="auto"/>
            <w:color w:val="0000FF"/>
          </w:rPr>
          <w:t>March 7, 2017, in respect of the Company’s 4.875% Senior Notes due 2027 (incorporated by reference, filed as Exhibit 4.2 to</w:t>
        </w:r>
      </w:hyperlink>
      <w:r>
        <w:rPr>
          <w:rFonts w:ascii="Times New Roman" w:cs="Times New Roman" w:eastAsia="Times New Roman" w:hAnsi="Times New Roman"/>
          <w:sz w:val="18"/>
          <w:szCs w:val="18"/>
          <w:u w:val="single" w:color="auto"/>
          <w:color w:val="0000FF"/>
        </w:rPr>
        <w:t xml:space="preserve"> </w:t>
      </w:r>
      <w:hyperlink r:id="rId648">
        <w:r>
          <w:rPr>
            <w:rFonts w:ascii="Times New Roman" w:cs="Times New Roman" w:eastAsia="Times New Roman" w:hAnsi="Times New Roman"/>
            <w:sz w:val="18"/>
            <w:szCs w:val="18"/>
            <w:u w:val="single" w:color="auto"/>
            <w:color w:val="0000FF"/>
          </w:rPr>
          <w:t>the Company's Current Report on Form 8-K, filed March 7, 2017, File No. 1-1927), as supplemented by the Seventh</w:t>
        </w:r>
      </w:hyperlink>
      <w:r>
        <w:rPr>
          <w:rFonts w:ascii="Times New Roman" w:cs="Times New Roman" w:eastAsia="Times New Roman" w:hAnsi="Times New Roman"/>
          <w:sz w:val="18"/>
          <w:szCs w:val="18"/>
          <w:u w:val="single" w:color="auto"/>
          <w:color w:val="0000FF"/>
        </w:rPr>
        <w:t xml:space="preserve"> </w:t>
      </w:r>
      <w:hyperlink r:id="rId648">
        <w:r>
          <w:rPr>
            <w:rFonts w:ascii="Times New Roman" w:cs="Times New Roman" w:eastAsia="Times New Roman" w:hAnsi="Times New Roman"/>
            <w:sz w:val="18"/>
            <w:szCs w:val="18"/>
            <w:u w:val="single" w:color="auto"/>
            <w:color w:val="0000FF"/>
          </w:rPr>
          <w:t>Supplemental Indenture thereto, dated as of May 18, 2020, in respect of the Company’s 9.5% Senior Notes due 2025</w:t>
        </w:r>
      </w:hyperlink>
      <w:r>
        <w:rPr>
          <w:rFonts w:ascii="Times New Roman" w:cs="Times New Roman" w:eastAsia="Times New Roman" w:hAnsi="Times New Roman"/>
          <w:sz w:val="18"/>
          <w:szCs w:val="18"/>
          <w:u w:val="single" w:color="auto"/>
          <w:color w:val="0000FF"/>
        </w:rPr>
        <w:t xml:space="preserve"> </w:t>
      </w:r>
      <w:hyperlink r:id="rId648">
        <w:r>
          <w:rPr>
            <w:rFonts w:ascii="Times New Roman" w:cs="Times New Roman" w:eastAsia="Times New Roman" w:hAnsi="Times New Roman"/>
            <w:sz w:val="18"/>
            <w:szCs w:val="18"/>
            <w:u w:val="single" w:color="auto"/>
            <w:color w:val="0000FF"/>
          </w:rPr>
          <w:t>(incorporated by</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664210</wp:posOffset>
            </wp:positionH>
            <wp:positionV relativeFrom="paragraph">
              <wp:posOffset>-1118235</wp:posOffset>
            </wp:positionV>
            <wp:extent cx="582041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9">
                      <a:extLst>
                        <a:ext uri="{28A0092B-C50C-407E-A947-70E740481C1C}"/>
                      </a:extLst>
                    </a:blip>
                    <a:srcRect/>
                    <a:stretch>
                      <a:fillRect/>
                    </a:stretch>
                  </pic:blipFill>
                  <pic:spPr bwMode="auto">
                    <a:xfrm>
                      <a:off x="0" y="0"/>
                      <a:ext cx="582041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-981710</wp:posOffset>
            </wp:positionV>
            <wp:extent cx="581533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0">
                      <a:extLst>
                        <a:ext uri="{28A0092B-C50C-407E-A947-70E740481C1C}"/>
                      </a:extLst>
                    </a:blip>
                    <a:srcRect/>
                    <a:stretch>
                      <a:fillRect/>
                    </a:stretch>
                  </pic:blipFill>
                  <pic:spPr bwMode="auto">
                    <a:xfrm>
                      <a:off x="0" y="0"/>
                      <a:ext cx="581533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-844550</wp:posOffset>
            </wp:positionV>
            <wp:extent cx="582041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1">
                      <a:extLst>
                        <a:ext uri="{28A0092B-C50C-407E-A947-70E740481C1C}"/>
                      </a:extLst>
                    </a:blip>
                    <a:srcRect/>
                    <a:stretch>
                      <a:fillRect/>
                    </a:stretch>
                  </pic:blipFill>
                  <pic:spPr bwMode="auto">
                    <a:xfrm>
                      <a:off x="0" y="0"/>
                      <a:ext cx="582041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-707390</wp:posOffset>
            </wp:positionV>
            <wp:extent cx="582041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2">
                      <a:extLst>
                        <a:ext uri="{28A0092B-C50C-407E-A947-70E740481C1C}"/>
                      </a:extLst>
                    </a:blip>
                    <a:srcRect/>
                    <a:stretch>
                      <a:fillRect/>
                    </a:stretch>
                  </pic:blipFill>
                  <pic:spPr bwMode="auto">
                    <a:xfrm>
                      <a:off x="0" y="0"/>
                      <a:ext cx="582041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-570230</wp:posOffset>
            </wp:positionV>
            <wp:extent cx="582168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3">
                      <a:extLst>
                        <a:ext uri="{28A0092B-C50C-407E-A947-70E740481C1C}"/>
                      </a:extLst>
                    </a:blip>
                    <a:srcRect/>
                    <a:stretch>
                      <a:fillRect/>
                    </a:stretch>
                  </pic:blipFill>
                  <pic:spPr bwMode="auto">
                    <a:xfrm>
                      <a:off x="0" y="0"/>
                      <a:ext cx="582168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-433705</wp:posOffset>
            </wp:positionV>
            <wp:extent cx="581660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4">
                      <a:extLst>
                        <a:ext uri="{28A0092B-C50C-407E-A947-70E740481C1C}"/>
                      </a:extLst>
                    </a:blip>
                    <a:srcRect/>
                    <a:stretch>
                      <a:fillRect/>
                    </a:stretch>
                  </pic:blipFill>
                  <pic:spPr bwMode="auto">
                    <a:xfrm>
                      <a:off x="0" y="0"/>
                      <a:ext cx="581660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-296545</wp:posOffset>
            </wp:positionV>
            <wp:extent cx="581977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5">
                      <a:extLst>
                        <a:ext uri="{28A0092B-C50C-407E-A947-70E740481C1C}"/>
                      </a:extLst>
                    </a:blip>
                    <a:srcRect/>
                    <a:stretch>
                      <a:fillRect/>
                    </a:stretch>
                  </pic:blipFill>
                  <pic:spPr bwMode="auto">
                    <a:xfrm>
                      <a:off x="0" y="0"/>
                      <a:ext cx="5819775"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-159385</wp:posOffset>
            </wp:positionV>
            <wp:extent cx="581850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6">
                      <a:extLst>
                        <a:ext uri="{28A0092B-C50C-407E-A947-70E740481C1C}"/>
                      </a:extLst>
                    </a:blip>
                    <a:srcRect/>
                    <a:stretch>
                      <a:fillRect/>
                    </a:stretch>
                  </pic:blipFill>
                  <pic:spPr bwMode="auto">
                    <a:xfrm>
                      <a:off x="0" y="0"/>
                      <a:ext cx="5818505"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-22225</wp:posOffset>
            </wp:positionV>
            <wp:extent cx="78549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7">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X-1</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9">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81" w:lineRule="exact"/>
        <w:rPr>
          <w:sz w:val="20"/>
          <w:szCs w:val="20"/>
          <w:color w:val="auto"/>
        </w:rPr>
      </w:pPr>
    </w:p>
    <w:p>
      <w:pPr>
        <w:jc w:val="both"/>
        <w:ind w:left="1040"/>
        <w:spacing w:after="0" w:line="253" w:lineRule="auto"/>
        <w:rPr>
          <w:rFonts w:ascii="Times New Roman" w:cs="Times New Roman" w:eastAsia="Times New Roman" w:hAnsi="Times New Roman"/>
          <w:sz w:val="18"/>
          <w:szCs w:val="18"/>
          <w:u w:val="single" w:color="auto"/>
          <w:color w:val="0000FF"/>
        </w:rPr>
      </w:pPr>
      <w:hyperlink r:id="rId660">
        <w:r>
          <w:rPr>
            <w:rFonts w:ascii="Times New Roman" w:cs="Times New Roman" w:eastAsia="Times New Roman" w:hAnsi="Times New Roman"/>
            <w:sz w:val="18"/>
            <w:szCs w:val="18"/>
            <w:u w:val="single" w:color="auto"/>
            <w:color w:val="0000FF"/>
          </w:rPr>
          <w:t>reference, filed as Exhibit 4.2 to the Company’s Current Report on Form 8-K, filed May 18, 2020, File No. 1-1927), as</w:t>
        </w:r>
      </w:hyperlink>
      <w:r>
        <w:rPr>
          <w:rFonts w:ascii="Times New Roman" w:cs="Times New Roman" w:eastAsia="Times New Roman" w:hAnsi="Times New Roman"/>
          <w:sz w:val="18"/>
          <w:szCs w:val="18"/>
          <w:u w:val="single" w:color="auto"/>
          <w:color w:val="0000FF"/>
        </w:rPr>
        <w:t xml:space="preserve"> </w:t>
      </w:r>
      <w:hyperlink r:id="rId660">
        <w:r>
          <w:rPr>
            <w:rFonts w:ascii="Times New Roman" w:cs="Times New Roman" w:eastAsia="Times New Roman" w:hAnsi="Times New Roman"/>
            <w:sz w:val="18"/>
            <w:szCs w:val="18"/>
            <w:u w:val="single" w:color="auto"/>
            <w:color w:val="0000FF"/>
          </w:rPr>
          <w:t>supplemented by the Eighth Supplemental Indenture thereto, dated as of April 6, 2021, in respect of the Company’s 5.25%</w:t>
        </w:r>
      </w:hyperlink>
      <w:r>
        <w:rPr>
          <w:rFonts w:ascii="Times New Roman" w:cs="Times New Roman" w:eastAsia="Times New Roman" w:hAnsi="Times New Roman"/>
          <w:sz w:val="18"/>
          <w:szCs w:val="18"/>
          <w:u w:val="single" w:color="auto"/>
          <w:color w:val="0000FF"/>
        </w:rPr>
        <w:t xml:space="preserve"> </w:t>
      </w:r>
      <w:hyperlink r:id="rId660">
        <w:r>
          <w:rPr>
            <w:rFonts w:ascii="Times New Roman" w:cs="Times New Roman" w:eastAsia="Times New Roman" w:hAnsi="Times New Roman"/>
            <w:sz w:val="18"/>
            <w:szCs w:val="18"/>
            <w:u w:val="single" w:color="auto"/>
            <w:color w:val="0000FF"/>
          </w:rPr>
          <w:t>Senior Notes due April 2031 (incorporated by reference, filed as Exhibit 4.2 to the Company’s Current Report on Form 8-K,</w:t>
        </w:r>
      </w:hyperlink>
      <w:r>
        <w:rPr>
          <w:rFonts w:ascii="Times New Roman" w:cs="Times New Roman" w:eastAsia="Times New Roman" w:hAnsi="Times New Roman"/>
          <w:sz w:val="18"/>
          <w:szCs w:val="18"/>
          <w:u w:val="single" w:color="auto"/>
          <w:color w:val="0000FF"/>
        </w:rPr>
        <w:t xml:space="preserve"> </w:t>
      </w:r>
      <w:hyperlink r:id="rId661">
        <w:r>
          <w:rPr>
            <w:rFonts w:ascii="Times New Roman" w:cs="Times New Roman" w:eastAsia="Times New Roman" w:hAnsi="Times New Roman"/>
            <w:sz w:val="18"/>
            <w:szCs w:val="18"/>
            <w:u w:val="single" w:color="auto"/>
            <w:color w:val="0000FF"/>
          </w:rPr>
          <w:t>filed April 6, 2021, File No. 1-1927), as supplemented by the Ninth Supplemental Indenture thereto, dated as of April 6, 2021,</w:t>
        </w:r>
      </w:hyperlink>
      <w:r>
        <w:rPr>
          <w:rFonts w:ascii="Times New Roman" w:cs="Times New Roman" w:eastAsia="Times New Roman" w:hAnsi="Times New Roman"/>
          <w:sz w:val="18"/>
          <w:szCs w:val="18"/>
          <w:u w:val="single" w:color="auto"/>
          <w:color w:val="0000FF"/>
        </w:rPr>
        <w:t xml:space="preserve"> </w:t>
      </w:r>
      <w:hyperlink r:id="rId661">
        <w:r>
          <w:rPr>
            <w:rFonts w:ascii="Times New Roman" w:cs="Times New Roman" w:eastAsia="Times New Roman" w:hAnsi="Times New Roman"/>
            <w:sz w:val="18"/>
            <w:szCs w:val="18"/>
            <w:u w:val="single" w:color="auto"/>
            <w:color w:val="0000FF"/>
          </w:rPr>
          <w:t>in respect of the Company’s 5.625% Senior Notes due 2033 (incorporated by reference, filed as Exhibit 4.3 to the Company’s</w:t>
        </w:r>
      </w:hyperlink>
      <w:r>
        <w:rPr>
          <w:rFonts w:ascii="Times New Roman" w:cs="Times New Roman" w:eastAsia="Times New Roman" w:hAnsi="Times New Roman"/>
          <w:sz w:val="18"/>
          <w:szCs w:val="18"/>
          <w:u w:val="single" w:color="auto"/>
          <w:color w:val="0000FF"/>
        </w:rPr>
        <w:t xml:space="preserve"> </w:t>
      </w:r>
      <w:hyperlink r:id="rId662">
        <w:r>
          <w:rPr>
            <w:rFonts w:ascii="Times New Roman" w:cs="Times New Roman" w:eastAsia="Times New Roman" w:hAnsi="Times New Roman"/>
            <w:sz w:val="18"/>
            <w:szCs w:val="18"/>
            <w:u w:val="single" w:color="auto"/>
            <w:color w:val="0000FF"/>
          </w:rPr>
          <w:t>Current Report on Form 8-K, filed April 6, 2021, File No. 1-1927), as supplemented by the Tenth Supplemental Indenture</w:t>
        </w:r>
      </w:hyperlink>
      <w:r>
        <w:rPr>
          <w:rFonts w:ascii="Times New Roman" w:cs="Times New Roman" w:eastAsia="Times New Roman" w:hAnsi="Times New Roman"/>
          <w:sz w:val="18"/>
          <w:szCs w:val="18"/>
          <w:u w:val="single" w:color="auto"/>
          <w:color w:val="0000FF"/>
        </w:rPr>
        <w:t xml:space="preserve"> </w:t>
      </w:r>
      <w:hyperlink r:id="rId662">
        <w:r>
          <w:rPr>
            <w:rFonts w:ascii="Times New Roman" w:cs="Times New Roman" w:eastAsia="Times New Roman" w:hAnsi="Times New Roman"/>
            <w:sz w:val="18"/>
            <w:szCs w:val="18"/>
            <w:u w:val="single" w:color="auto"/>
            <w:color w:val="0000FF"/>
          </w:rPr>
          <w:t>thereto, dated as of May 18, 2021, in respect of the Company’s 5% Senior Notes due 2029 (incorporated by reference, filed as</w:t>
        </w:r>
      </w:hyperlink>
      <w:r>
        <w:rPr>
          <w:rFonts w:ascii="Times New Roman" w:cs="Times New Roman" w:eastAsia="Times New Roman" w:hAnsi="Times New Roman"/>
          <w:sz w:val="18"/>
          <w:szCs w:val="18"/>
          <w:u w:val="single" w:color="auto"/>
          <w:color w:val="0000FF"/>
        </w:rPr>
        <w:t xml:space="preserve"> </w:t>
      </w:r>
      <w:hyperlink r:id="rId663">
        <w:r>
          <w:rPr>
            <w:rFonts w:ascii="Times New Roman" w:cs="Times New Roman" w:eastAsia="Times New Roman" w:hAnsi="Times New Roman"/>
            <w:sz w:val="18"/>
            <w:szCs w:val="18"/>
            <w:u w:val="single" w:color="auto"/>
            <w:color w:val="0000FF"/>
          </w:rPr>
          <w:t>Exhibit 4.2 to the Company’s Current Report on Form 8-K, filed May 18, 2021, File No. 1-1927), and as supplemented by the</w:t>
        </w:r>
      </w:hyperlink>
      <w:r>
        <w:rPr>
          <w:rFonts w:ascii="Times New Roman" w:cs="Times New Roman" w:eastAsia="Times New Roman" w:hAnsi="Times New Roman"/>
          <w:sz w:val="18"/>
          <w:szCs w:val="18"/>
          <w:u w:val="single" w:color="auto"/>
          <w:color w:val="0000FF"/>
        </w:rPr>
        <w:t xml:space="preserve"> </w:t>
      </w:r>
      <w:hyperlink r:id="rId663">
        <w:r>
          <w:rPr>
            <w:rFonts w:ascii="Times New Roman" w:cs="Times New Roman" w:eastAsia="Times New Roman" w:hAnsi="Times New Roman"/>
            <w:sz w:val="18"/>
            <w:szCs w:val="18"/>
            <w:u w:val="single" w:color="auto"/>
            <w:color w:val="0000FF"/>
          </w:rPr>
          <w:t>Eleventh Supplemental Indenture thereto, dated as of May 18, 2021, in respect of the Company’s 5.25% Senior Notes due July</w:t>
        </w:r>
      </w:hyperlink>
      <w:r>
        <w:rPr>
          <w:rFonts w:ascii="Times New Roman" w:cs="Times New Roman" w:eastAsia="Times New Roman" w:hAnsi="Times New Roman"/>
          <w:sz w:val="18"/>
          <w:szCs w:val="18"/>
          <w:u w:val="single" w:color="auto"/>
          <w:color w:val="0000FF"/>
        </w:rPr>
        <w:t xml:space="preserve"> </w:t>
      </w:r>
      <w:hyperlink r:id="rId663">
        <w:r>
          <w:rPr>
            <w:rFonts w:ascii="Times New Roman" w:cs="Times New Roman" w:eastAsia="Times New Roman" w:hAnsi="Times New Roman"/>
            <w:sz w:val="18"/>
            <w:szCs w:val="18"/>
            <w:u w:val="single" w:color="auto"/>
            <w:color w:val="0000FF"/>
          </w:rPr>
          <w:t>2031 (incorporated by reference, filed as Exhibit 4.3 to the Company’s Current Report on Form 8-K, filed May 18, 2021, File</w:t>
        </w:r>
      </w:hyperlink>
      <w:r>
        <w:rPr>
          <w:rFonts w:ascii="Times New Roman" w:cs="Times New Roman" w:eastAsia="Times New Roman" w:hAnsi="Times New Roman"/>
          <w:sz w:val="18"/>
          <w:szCs w:val="18"/>
          <w:u w:val="single" w:color="auto"/>
          <w:color w:val="0000FF"/>
        </w:rPr>
        <w:t xml:space="preserve"> </w:t>
      </w:r>
      <w:hyperlink r:id="rId663">
        <w:r>
          <w:rPr>
            <w:rFonts w:ascii="Times New Roman" w:cs="Times New Roman" w:eastAsia="Times New Roman" w:hAnsi="Times New Roman"/>
            <w:sz w:val="18"/>
            <w:szCs w:val="18"/>
            <w:u w:val="single" w:color="auto"/>
            <w:color w:val="0000FF"/>
          </w:rPr>
          <w:t>No. 1-1927).</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664210</wp:posOffset>
            </wp:positionH>
            <wp:positionV relativeFrom="paragraph">
              <wp:posOffset>-1400810</wp:posOffset>
            </wp:positionV>
            <wp:extent cx="581469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4">
                      <a:extLst>
                        <a:ext uri="{28A0092B-C50C-407E-A947-70E740481C1C}"/>
                      </a:extLst>
                    </a:blip>
                    <a:srcRect/>
                    <a:stretch>
                      <a:fillRect/>
                    </a:stretch>
                  </pic:blipFill>
                  <pic:spPr bwMode="auto">
                    <a:xfrm>
                      <a:off x="0" y="0"/>
                      <a:ext cx="5814695"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-1263650</wp:posOffset>
            </wp:positionV>
            <wp:extent cx="581977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5">
                      <a:extLst>
                        <a:ext uri="{28A0092B-C50C-407E-A947-70E740481C1C}"/>
                      </a:extLst>
                    </a:blip>
                    <a:srcRect/>
                    <a:stretch>
                      <a:fillRect/>
                    </a:stretch>
                  </pic:blipFill>
                  <pic:spPr bwMode="auto">
                    <a:xfrm>
                      <a:off x="0" y="0"/>
                      <a:ext cx="5819775"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-1126490</wp:posOffset>
            </wp:positionV>
            <wp:extent cx="581596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6">
                      <a:extLst>
                        <a:ext uri="{28A0092B-C50C-407E-A947-70E740481C1C}"/>
                      </a:extLst>
                    </a:blip>
                    <a:srcRect/>
                    <a:stretch>
                      <a:fillRect/>
                    </a:stretch>
                  </pic:blipFill>
                  <pic:spPr bwMode="auto">
                    <a:xfrm>
                      <a:off x="0" y="0"/>
                      <a:ext cx="5815965"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-989330</wp:posOffset>
            </wp:positionV>
            <wp:extent cx="581406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7">
                      <a:extLst>
                        <a:ext uri="{28A0092B-C50C-407E-A947-70E740481C1C}"/>
                      </a:extLst>
                    </a:blip>
                    <a:srcRect/>
                    <a:stretch>
                      <a:fillRect/>
                    </a:stretch>
                  </pic:blipFill>
                  <pic:spPr bwMode="auto">
                    <a:xfrm>
                      <a:off x="0" y="0"/>
                      <a:ext cx="581406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-852805</wp:posOffset>
            </wp:positionV>
            <wp:extent cx="581533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8">
                      <a:extLst>
                        <a:ext uri="{28A0092B-C50C-407E-A947-70E740481C1C}"/>
                      </a:extLst>
                    </a:blip>
                    <a:srcRect/>
                    <a:stretch>
                      <a:fillRect/>
                    </a:stretch>
                  </pic:blipFill>
                  <pic:spPr bwMode="auto">
                    <a:xfrm>
                      <a:off x="0" y="0"/>
                      <a:ext cx="581533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-715645</wp:posOffset>
            </wp:positionV>
            <wp:extent cx="582168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9">
                      <a:extLst>
                        <a:ext uri="{28A0092B-C50C-407E-A947-70E740481C1C}"/>
                      </a:extLst>
                    </a:blip>
                    <a:srcRect/>
                    <a:stretch>
                      <a:fillRect/>
                    </a:stretch>
                  </pic:blipFill>
                  <pic:spPr bwMode="auto">
                    <a:xfrm>
                      <a:off x="0" y="0"/>
                      <a:ext cx="582168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-578485</wp:posOffset>
            </wp:positionV>
            <wp:extent cx="582041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0">
                      <a:extLst>
                        <a:ext uri="{28A0092B-C50C-407E-A947-70E740481C1C}"/>
                      </a:extLst>
                    </a:blip>
                    <a:srcRect/>
                    <a:stretch>
                      <a:fillRect/>
                    </a:stretch>
                  </pic:blipFill>
                  <pic:spPr bwMode="auto">
                    <a:xfrm>
                      <a:off x="0" y="0"/>
                      <a:ext cx="582041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-441325</wp:posOffset>
            </wp:positionV>
            <wp:extent cx="582104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1">
                      <a:extLst>
                        <a:ext uri="{28A0092B-C50C-407E-A947-70E740481C1C}"/>
                      </a:extLst>
                    </a:blip>
                    <a:srcRect/>
                    <a:stretch>
                      <a:fillRect/>
                    </a:stretch>
                  </pic:blipFill>
                  <pic:spPr bwMode="auto">
                    <a:xfrm>
                      <a:off x="0" y="0"/>
                      <a:ext cx="5821045"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-304800</wp:posOffset>
            </wp:positionV>
            <wp:extent cx="581787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2">
                      <a:extLst>
                        <a:ext uri="{28A0092B-C50C-407E-A947-70E740481C1C}"/>
                      </a:extLst>
                    </a:blip>
                    <a:srcRect/>
                    <a:stretch>
                      <a:fillRect/>
                    </a:stretch>
                  </pic:blipFill>
                  <pic:spPr bwMode="auto">
                    <a:xfrm>
                      <a:off x="0" y="0"/>
                      <a:ext cx="581787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-167640</wp:posOffset>
            </wp:positionV>
            <wp:extent cx="581914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3">
                      <a:extLst>
                        <a:ext uri="{28A0092B-C50C-407E-A947-70E740481C1C}"/>
                      </a:extLst>
                    </a:blip>
                    <a:srcRect/>
                    <a:stretch>
                      <a:fillRect/>
                    </a:stretch>
                  </pic:blipFill>
                  <pic:spPr bwMode="auto">
                    <a:xfrm>
                      <a:off x="0" y="0"/>
                      <a:ext cx="581914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-30480</wp:posOffset>
            </wp:positionV>
            <wp:extent cx="58610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4">
                      <a:extLst>
                        <a:ext uri="{28A0092B-C50C-407E-A947-70E740481C1C}"/>
                      </a:extLst>
                    </a:blip>
                    <a:srcRect/>
                    <a:stretch>
                      <a:fillRect/>
                    </a:stretch>
                  </pic:blipFill>
                  <pic:spPr bwMode="auto">
                    <a:xfrm>
                      <a:off x="0" y="0"/>
                      <a:ext cx="586105" cy="8255"/>
                    </a:xfrm>
                    <a:prstGeom prst="rect">
                      <a:avLst/>
                    </a:prstGeom>
                    <a:noFill/>
                  </pic:spPr>
                </pic:pic>
              </a:graphicData>
            </a:graphic>
          </wp:anchor>
        </w:drawing>
      </w:r>
    </w:p>
    <w:p>
      <w:pPr>
        <w:spacing w:after="0" w:line="169" w:lineRule="exact"/>
        <w:rPr>
          <w:rFonts w:ascii="Times New Roman" w:cs="Times New Roman" w:eastAsia="Times New Roman" w:hAnsi="Times New Roman"/>
          <w:sz w:val="18"/>
          <w:szCs w:val="18"/>
          <w:u w:val="single" w:color="auto"/>
          <w:color w:val="0000FF"/>
        </w:rPr>
      </w:pPr>
    </w:p>
    <w:p>
      <w:pPr>
        <w:jc w:val="both"/>
        <w:ind w:left="1060" w:right="20" w:hanging="690"/>
        <w:spacing w:after="0" w:line="258" w:lineRule="auto"/>
        <w:tabs>
          <w:tab w:leader="none" w:pos="1060" w:val="left"/>
        </w:tabs>
        <w:numPr>
          <w:ilvl w:val="0"/>
          <w:numId w:val="60"/>
        </w:numPr>
        <w:rPr>
          <w:rFonts w:ascii="Times New Roman" w:cs="Times New Roman" w:eastAsia="Times New Roman" w:hAnsi="Times New Roman"/>
          <w:sz w:val="18"/>
          <w:szCs w:val="18"/>
          <w:u w:val="single" w:color="auto"/>
          <w:color w:val="0000FF"/>
        </w:rPr>
      </w:pPr>
      <w:hyperlink r:id="rId675">
        <w:r>
          <w:rPr>
            <w:rFonts w:ascii="Times New Roman" w:cs="Times New Roman" w:eastAsia="Times New Roman" w:hAnsi="Times New Roman"/>
            <w:sz w:val="18"/>
            <w:szCs w:val="18"/>
            <w:u w:val="single" w:color="auto"/>
            <w:color w:val="0000FF"/>
          </w:rPr>
          <w:t>Indenture, dated as of September 28, 2021, among Goodyear Europe B.V, as Issuer, the Company, as Parent Guarantor, the</w:t>
        </w:r>
      </w:hyperlink>
      <w:r>
        <w:rPr>
          <w:rFonts w:ascii="Times New Roman" w:cs="Times New Roman" w:eastAsia="Times New Roman" w:hAnsi="Times New Roman"/>
          <w:sz w:val="18"/>
          <w:szCs w:val="18"/>
          <w:u w:val="single" w:color="auto"/>
          <w:color w:val="0000FF"/>
        </w:rPr>
        <w:t xml:space="preserve"> </w:t>
      </w:r>
      <w:hyperlink r:id="rId675">
        <w:r>
          <w:rPr>
            <w:rFonts w:ascii="Times New Roman" w:cs="Times New Roman" w:eastAsia="Times New Roman" w:hAnsi="Times New Roman"/>
            <w:sz w:val="18"/>
            <w:szCs w:val="18"/>
            <w:u w:val="single" w:color="auto"/>
            <w:color w:val="0000FF"/>
          </w:rPr>
          <w:t>subsidiary guarantors party thereto, Deutsche Trustee Company Limited, as Trustee, Deutsche Bank AG, London Branch, as</w:t>
        </w:r>
      </w:hyperlink>
      <w:r>
        <w:rPr>
          <w:rFonts w:ascii="Times New Roman" w:cs="Times New Roman" w:eastAsia="Times New Roman" w:hAnsi="Times New Roman"/>
          <w:sz w:val="18"/>
          <w:szCs w:val="18"/>
          <w:u w:val="single" w:color="auto"/>
          <w:color w:val="0000FF"/>
        </w:rPr>
        <w:t xml:space="preserve"> </w:t>
      </w:r>
      <w:hyperlink r:id="rId675">
        <w:r>
          <w:rPr>
            <w:rFonts w:ascii="Times New Roman" w:cs="Times New Roman" w:eastAsia="Times New Roman" w:hAnsi="Times New Roman"/>
            <w:sz w:val="18"/>
            <w:szCs w:val="18"/>
            <w:u w:val="single" w:color="auto"/>
            <w:color w:val="0000FF"/>
          </w:rPr>
          <w:t>Principal Paying Agent and Transfer Agent, and Deutsche Bank Luxembourg S.A., as Registrar and Transfer Agent, in respect</w:t>
        </w:r>
      </w:hyperlink>
      <w:r>
        <w:rPr>
          <w:rFonts w:ascii="Times New Roman" w:cs="Times New Roman" w:eastAsia="Times New Roman" w:hAnsi="Times New Roman"/>
          <w:sz w:val="18"/>
          <w:szCs w:val="18"/>
          <w:u w:val="single" w:color="auto"/>
          <w:color w:val="0000FF"/>
        </w:rPr>
        <w:t xml:space="preserve"> </w:t>
      </w:r>
      <w:hyperlink r:id="rId675">
        <w:r>
          <w:rPr>
            <w:rFonts w:ascii="Times New Roman" w:cs="Times New Roman" w:eastAsia="Times New Roman" w:hAnsi="Times New Roman"/>
            <w:sz w:val="18"/>
            <w:szCs w:val="18"/>
            <w:u w:val="single" w:color="auto"/>
            <w:color w:val="0000FF"/>
          </w:rPr>
          <w:t>of GEBV's 2.75% Senior Notes due 2028 (incorporated by reference, filed as Exhibit 4.1 to the Company's Current Report on</w:t>
        </w:r>
      </w:hyperlink>
      <w:r>
        <w:rPr>
          <w:rFonts w:ascii="Times New Roman" w:cs="Times New Roman" w:eastAsia="Times New Roman" w:hAnsi="Times New Roman"/>
          <w:sz w:val="18"/>
          <w:szCs w:val="18"/>
          <w:u w:val="single" w:color="auto"/>
          <w:color w:val="0000FF"/>
        </w:rPr>
        <w:t xml:space="preserve"> </w:t>
      </w:r>
      <w:hyperlink r:id="rId675">
        <w:r>
          <w:rPr>
            <w:rFonts w:ascii="Times New Roman" w:cs="Times New Roman" w:eastAsia="Times New Roman" w:hAnsi="Times New Roman"/>
            <w:sz w:val="18"/>
            <w:szCs w:val="18"/>
            <w:u w:val="single" w:color="auto"/>
            <w:color w:val="0000FF"/>
          </w:rPr>
          <w:t>Form 8-K, filed September 28, 2021, File No. 1-1927).</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673100</wp:posOffset>
            </wp:positionH>
            <wp:positionV relativeFrom="paragraph">
              <wp:posOffset>-582930</wp:posOffset>
            </wp:positionV>
            <wp:extent cx="580009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6">
                      <a:extLst>
                        <a:ext uri="{28A0092B-C50C-407E-A947-70E740481C1C}"/>
                      </a:extLst>
                    </a:blip>
                    <a:srcRect/>
                    <a:stretch>
                      <a:fillRect/>
                    </a:stretch>
                  </pic:blipFill>
                  <pic:spPr bwMode="auto">
                    <a:xfrm>
                      <a:off x="0" y="0"/>
                      <a:ext cx="580009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-445770</wp:posOffset>
            </wp:positionV>
            <wp:extent cx="580326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7">
                      <a:extLst>
                        <a:ext uri="{28A0092B-C50C-407E-A947-70E740481C1C}"/>
                      </a:extLst>
                    </a:blip>
                    <a:srcRect/>
                    <a:stretch>
                      <a:fillRect/>
                    </a:stretch>
                  </pic:blipFill>
                  <pic:spPr bwMode="auto">
                    <a:xfrm>
                      <a:off x="0" y="0"/>
                      <a:ext cx="580326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-308610</wp:posOffset>
            </wp:positionV>
            <wp:extent cx="580263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8">
                      <a:extLst>
                        <a:ext uri="{28A0092B-C50C-407E-A947-70E740481C1C}"/>
                      </a:extLst>
                    </a:blip>
                    <a:srcRect/>
                    <a:stretch>
                      <a:fillRect/>
                    </a:stretch>
                  </pic:blipFill>
                  <pic:spPr bwMode="auto">
                    <a:xfrm>
                      <a:off x="0" y="0"/>
                      <a:ext cx="580263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-172085</wp:posOffset>
            </wp:positionV>
            <wp:extent cx="579945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9">
                      <a:extLst>
                        <a:ext uri="{28A0092B-C50C-407E-A947-70E740481C1C}"/>
                      </a:extLst>
                    </a:blip>
                    <a:srcRect/>
                    <a:stretch>
                      <a:fillRect/>
                    </a:stretch>
                  </pic:blipFill>
                  <pic:spPr bwMode="auto">
                    <a:xfrm>
                      <a:off x="0" y="0"/>
                      <a:ext cx="579945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-34925</wp:posOffset>
            </wp:positionV>
            <wp:extent cx="251333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0">
                      <a:extLst>
                        <a:ext uri="{28A0092B-C50C-407E-A947-70E740481C1C}"/>
                      </a:extLst>
                    </a:blip>
                    <a:srcRect/>
                    <a:stretch>
                      <a:fillRect/>
                    </a:stretch>
                  </pic:blipFill>
                  <pic:spPr bwMode="auto">
                    <a:xfrm>
                      <a:off x="0" y="0"/>
                      <a:ext cx="2513330" cy="8255"/>
                    </a:xfrm>
                    <a:prstGeom prst="rect">
                      <a:avLst/>
                    </a:prstGeom>
                    <a:noFill/>
                  </pic:spPr>
                </pic:pic>
              </a:graphicData>
            </a:graphic>
          </wp:anchor>
        </w:drawing>
      </w:r>
    </w:p>
    <w:p>
      <w:pPr>
        <w:spacing w:after="0" w:line="175" w:lineRule="exact"/>
        <w:rPr>
          <w:rFonts w:ascii="Times New Roman" w:cs="Times New Roman" w:eastAsia="Times New Roman" w:hAnsi="Times New Roman"/>
          <w:sz w:val="18"/>
          <w:szCs w:val="18"/>
          <w:u w:val="single" w:color="auto"/>
          <w:color w:val="0000FF"/>
        </w:rPr>
      </w:pPr>
    </w:p>
    <w:p>
      <w:pPr>
        <w:ind w:left="1060" w:right="20" w:hanging="705"/>
        <w:spacing w:after="0" w:line="281" w:lineRule="auto"/>
        <w:tabs>
          <w:tab w:leader="none" w:pos="1060" w:val="left"/>
        </w:tabs>
        <w:numPr>
          <w:ilvl w:val="0"/>
          <w:numId w:val="61"/>
        </w:numPr>
        <w:rPr>
          <w:rFonts w:ascii="Times New Roman" w:cs="Times New Roman" w:eastAsia="Times New Roman" w:hAnsi="Times New Roman"/>
          <w:sz w:val="18"/>
          <w:szCs w:val="18"/>
          <w:u w:val="single" w:color="auto"/>
          <w:color w:val="0000FF"/>
        </w:rPr>
      </w:pPr>
      <w:hyperlink r:id="rId681">
        <w:r>
          <w:rPr>
            <w:rFonts w:ascii="Times New Roman" w:cs="Times New Roman" w:eastAsia="Times New Roman" w:hAnsi="Times New Roman"/>
            <w:sz w:val="18"/>
            <w:szCs w:val="18"/>
            <w:u w:val="single" w:color="auto"/>
            <w:color w:val="0000FF"/>
          </w:rPr>
          <w:t>Description of Common Stock (incorporated by reference, filed as Exhibit 4.1 to the Company’s Annual Report on Form 10-K</w:t>
        </w:r>
      </w:hyperlink>
      <w:r>
        <w:rPr>
          <w:rFonts w:ascii="Times New Roman" w:cs="Times New Roman" w:eastAsia="Times New Roman" w:hAnsi="Times New Roman"/>
          <w:sz w:val="18"/>
          <w:szCs w:val="18"/>
          <w:u w:val="single" w:color="auto"/>
          <w:color w:val="0000FF"/>
        </w:rPr>
        <w:t xml:space="preserve"> </w:t>
      </w:r>
      <w:hyperlink r:id="rId681">
        <w:r>
          <w:rPr>
            <w:rFonts w:ascii="Times New Roman" w:cs="Times New Roman" w:eastAsia="Times New Roman" w:hAnsi="Times New Roman"/>
            <w:sz w:val="18"/>
            <w:szCs w:val="18"/>
            <w:u w:val="single" w:color="auto"/>
            <w:color w:val="0000FF"/>
          </w:rPr>
          <w:t>for the year ended December 31, 2019, File No. 1-1927).</w:t>
        </w:r>
      </w:hyperlink>
    </w:p>
    <w:p>
      <w:pPr>
        <w:spacing w:after="0" w:line="176" w:lineRule="exact"/>
        <w:rPr>
          <w:rFonts w:ascii="Times New Roman" w:cs="Times New Roman" w:eastAsia="Times New Roman" w:hAnsi="Times New Roman"/>
          <w:sz w:val="18"/>
          <w:szCs w:val="18"/>
          <w:u w:val="single" w:color="auto"/>
          <w:color w:val="0000FF"/>
        </w:rPr>
      </w:pPr>
    </w:p>
    <w:p>
      <w:pPr>
        <w:jc w:val="both"/>
        <w:ind w:left="1060" w:right="20"/>
        <w:spacing w:after="0" w:line="26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In accordance with Item 601(b)(4)(iii) of Regulation S-K, certain instruments defining the rights of holders of long term debt of the Company and its consolidated subsidiaries pursuant to which the total amount of securities authorized thereunder does not exceed 10% of the total assets of the Company and its subsidiaries on a consolidated basis are not filed herewith. The Company hereby agrees to furnish a copy of any such instrument to the SEC upon request.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673100</wp:posOffset>
            </wp:positionH>
            <wp:positionV relativeFrom="paragraph">
              <wp:posOffset>-865505</wp:posOffset>
            </wp:positionV>
            <wp:extent cx="579818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2">
                      <a:extLst>
                        <a:ext uri="{28A0092B-C50C-407E-A947-70E740481C1C}"/>
                      </a:extLst>
                    </a:blip>
                    <a:srcRect/>
                    <a:stretch>
                      <a:fillRect/>
                    </a:stretch>
                  </pic:blipFill>
                  <pic:spPr bwMode="auto">
                    <a:xfrm>
                      <a:off x="0" y="0"/>
                      <a:ext cx="579818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-728345</wp:posOffset>
            </wp:positionV>
            <wp:extent cx="260159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3">
                      <a:extLst>
                        <a:ext uri="{28A0092B-C50C-407E-A947-70E740481C1C}"/>
                      </a:extLst>
                    </a:blip>
                    <a:srcRect/>
                    <a:stretch>
                      <a:fillRect/>
                    </a:stretch>
                  </pic:blipFill>
                  <pic:spPr bwMode="auto">
                    <a:xfrm>
                      <a:off x="0" y="0"/>
                      <a:ext cx="2601595" cy="8255"/>
                    </a:xfrm>
                    <a:prstGeom prst="rect">
                      <a:avLst/>
                    </a:prstGeom>
                    <a:noFill/>
                  </pic:spPr>
                </pic:pic>
              </a:graphicData>
            </a:graphic>
          </wp:anchor>
        </w:drawing>
      </w:r>
    </w:p>
    <w:p>
      <w:pPr>
        <w:spacing w:after="0" w:line="171" w:lineRule="exact"/>
        <w:rPr>
          <w:rFonts w:ascii="Times New Roman" w:cs="Times New Roman" w:eastAsia="Times New Roman" w:hAnsi="Times New Roman"/>
          <w:sz w:val="18"/>
          <w:szCs w:val="18"/>
          <w:color w:val="auto"/>
        </w:rPr>
      </w:pPr>
    </w:p>
    <w:p>
      <w:pPr>
        <w:ind w:left="1040" w:hanging="670"/>
        <w:spacing w:after="0"/>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 Contracts</w:t>
      </w:r>
    </w:p>
    <w:p>
      <w:pPr>
        <w:spacing w:after="0" w:line="200" w:lineRule="exact"/>
        <w:rPr>
          <w:rFonts w:ascii="Times New Roman" w:cs="Times New Roman" w:eastAsia="Times New Roman" w:hAnsi="Times New Roman"/>
          <w:sz w:val="18"/>
          <w:szCs w:val="18"/>
          <w:color w:val="auto"/>
        </w:rPr>
      </w:pPr>
    </w:p>
    <w:p>
      <w:pPr>
        <w:spacing w:after="0" w:line="258" w:lineRule="exact"/>
        <w:rPr>
          <w:rFonts w:ascii="Times New Roman" w:cs="Times New Roman" w:eastAsia="Times New Roman" w:hAnsi="Times New Roman"/>
          <w:sz w:val="18"/>
          <w:szCs w:val="18"/>
          <w:color w:val="auto"/>
        </w:rPr>
      </w:pPr>
    </w:p>
    <w:p>
      <w:pPr>
        <w:jc w:val="both"/>
        <w:ind w:left="1060" w:right="20" w:hanging="700"/>
        <w:spacing w:after="0" w:line="260" w:lineRule="auto"/>
        <w:tabs>
          <w:tab w:leader="none" w:pos="1060" w:val="left"/>
        </w:tabs>
        <w:numPr>
          <w:ilvl w:val="0"/>
          <w:numId w:val="63"/>
        </w:numPr>
        <w:rPr>
          <w:rFonts w:ascii="Times New Roman" w:cs="Times New Roman" w:eastAsia="Times New Roman" w:hAnsi="Times New Roman"/>
          <w:sz w:val="18"/>
          <w:szCs w:val="18"/>
          <w:color w:val="0000FF"/>
        </w:rPr>
      </w:pPr>
      <w:hyperlink r:id="rId684">
        <w:r>
          <w:rPr>
            <w:rFonts w:ascii="Times New Roman" w:cs="Times New Roman" w:eastAsia="Times New Roman" w:hAnsi="Times New Roman"/>
            <w:sz w:val="18"/>
            <w:szCs w:val="18"/>
            <w:u w:val="single" w:color="auto"/>
            <w:color w:val="0000FF"/>
          </w:rPr>
          <w:t>Amended and Restated First Lien Credit Agreement, dated as of June 7, 2021, as amended as of September 15, 2022, among</w:t>
        </w:r>
      </w:hyperlink>
      <w:r>
        <w:rPr>
          <w:rFonts w:ascii="Times New Roman" w:cs="Times New Roman" w:eastAsia="Times New Roman" w:hAnsi="Times New Roman"/>
          <w:sz w:val="18"/>
          <w:szCs w:val="18"/>
          <w:u w:val="single" w:color="auto"/>
          <w:color w:val="0000FF"/>
        </w:rPr>
        <w:t xml:space="preserve"> </w:t>
      </w:r>
      <w:hyperlink r:id="rId684">
        <w:r>
          <w:rPr>
            <w:rFonts w:ascii="Times New Roman" w:cs="Times New Roman" w:eastAsia="Times New Roman" w:hAnsi="Times New Roman"/>
            <w:sz w:val="18"/>
            <w:szCs w:val="18"/>
            <w:u w:val="single" w:color="auto"/>
            <w:color w:val="0000FF"/>
          </w:rPr>
          <w:t>the Company, the lenders and issuing banks party thereto, and JPMorgan Chase Bank, N.A., as Administrative Agent and</w:t>
        </w:r>
      </w:hyperlink>
      <w:r>
        <w:rPr>
          <w:rFonts w:ascii="Times New Roman" w:cs="Times New Roman" w:eastAsia="Times New Roman" w:hAnsi="Times New Roman"/>
          <w:sz w:val="18"/>
          <w:szCs w:val="18"/>
          <w:u w:val="single" w:color="auto"/>
          <w:color w:val="0000FF"/>
        </w:rPr>
        <w:t xml:space="preserve"> </w:t>
      </w:r>
      <w:hyperlink r:id="rId684">
        <w:r>
          <w:rPr>
            <w:rFonts w:ascii="Times New Roman" w:cs="Times New Roman" w:eastAsia="Times New Roman" w:hAnsi="Times New Roman"/>
            <w:sz w:val="18"/>
            <w:szCs w:val="18"/>
            <w:u w:val="single" w:color="auto"/>
            <w:color w:val="0000FF"/>
          </w:rPr>
          <w:t>Collateral Agent (incorporated by reference, filed as Exhibit 10.1 to the Company's Quarterly Report on Form 10-Q for the</w:t>
        </w:r>
      </w:hyperlink>
      <w:r>
        <w:rPr>
          <w:rFonts w:ascii="Times New Roman" w:cs="Times New Roman" w:eastAsia="Times New Roman" w:hAnsi="Times New Roman"/>
          <w:sz w:val="18"/>
          <w:szCs w:val="18"/>
          <w:u w:val="single" w:color="auto"/>
          <w:color w:val="0000FF"/>
        </w:rPr>
        <w:t xml:space="preserve"> </w:t>
      </w:r>
      <w:hyperlink r:id="rId684">
        <w:r>
          <w:rPr>
            <w:rFonts w:ascii="Times New Roman" w:cs="Times New Roman" w:eastAsia="Times New Roman" w:hAnsi="Times New Roman"/>
            <w:sz w:val="18"/>
            <w:szCs w:val="18"/>
            <w:u w:val="single" w:color="auto"/>
            <w:color w:val="0000FF"/>
          </w:rPr>
          <w:t>quarter ended September 30, 2022, File No. 1-1927).</w:t>
        </w:r>
        <w:r>
          <w:rPr>
            <w:rFonts w:ascii="Times New Roman" w:cs="Times New Roman" w:eastAsia="Times New Roman" w:hAnsi="Times New Roman"/>
            <w:sz w:val="18"/>
            <w:szCs w:val="18"/>
            <w:color w:val="000000"/>
          </w:rPr>
          <w:t>**</w:t>
        </w:r>
      </w:hyperlink>
    </w:p>
    <w:p>
      <w:pPr>
        <w:spacing w:after="0" w:line="141" w:lineRule="exact"/>
        <w:rPr>
          <w:rFonts w:ascii="Times New Roman" w:cs="Times New Roman" w:eastAsia="Times New Roman" w:hAnsi="Times New Roman"/>
          <w:sz w:val="18"/>
          <w:szCs w:val="18"/>
          <w:color w:val="0000FF"/>
        </w:rPr>
      </w:pPr>
    </w:p>
    <w:p>
      <w:pPr>
        <w:jc w:val="both"/>
        <w:ind w:left="1080" w:right="20" w:hanging="718"/>
        <w:spacing w:after="0" w:line="260" w:lineRule="auto"/>
        <w:tabs>
          <w:tab w:leader="none" w:pos="1080" w:val="left"/>
        </w:tabs>
        <w:numPr>
          <w:ilvl w:val="0"/>
          <w:numId w:val="63"/>
        </w:numPr>
        <w:rPr>
          <w:rFonts w:ascii="Times New Roman" w:cs="Times New Roman" w:eastAsia="Times New Roman" w:hAnsi="Times New Roman"/>
          <w:sz w:val="18"/>
          <w:szCs w:val="18"/>
          <w:u w:val="single" w:color="auto"/>
          <w:color w:val="0000FF"/>
        </w:rPr>
      </w:pPr>
      <w:hyperlink r:id="rId685">
        <w:r>
          <w:rPr>
            <w:rFonts w:ascii="Times New Roman" w:cs="Times New Roman" w:eastAsia="Times New Roman" w:hAnsi="Times New Roman"/>
            <w:sz w:val="18"/>
            <w:szCs w:val="18"/>
            <w:u w:val="single" w:color="auto"/>
            <w:color w:val="0000FF"/>
          </w:rPr>
          <w:t>Reaffirmation of First Lien Guarantee and Collateral Agreement, dated as of June 7, 2021, among the Company, the</w:t>
        </w:r>
      </w:hyperlink>
      <w:r>
        <w:rPr>
          <w:rFonts w:ascii="Times New Roman" w:cs="Times New Roman" w:eastAsia="Times New Roman" w:hAnsi="Times New Roman"/>
          <w:sz w:val="18"/>
          <w:szCs w:val="18"/>
          <w:u w:val="single" w:color="auto"/>
          <w:color w:val="0000FF"/>
        </w:rPr>
        <w:t xml:space="preserve"> </w:t>
      </w:r>
      <w:hyperlink r:id="rId685">
        <w:r>
          <w:rPr>
            <w:rFonts w:ascii="Times New Roman" w:cs="Times New Roman" w:eastAsia="Times New Roman" w:hAnsi="Times New Roman"/>
            <w:sz w:val="18"/>
            <w:szCs w:val="18"/>
            <w:u w:val="single" w:color="auto"/>
            <w:color w:val="0000FF"/>
          </w:rPr>
          <w:t>subsidiaries of the Company identified therein and JPMorgan Chase Bank, N.A., as Administrative Agent and Collateral</w:t>
        </w:r>
      </w:hyperlink>
      <w:r>
        <w:rPr>
          <w:rFonts w:ascii="Times New Roman" w:cs="Times New Roman" w:eastAsia="Times New Roman" w:hAnsi="Times New Roman"/>
          <w:sz w:val="18"/>
          <w:szCs w:val="18"/>
          <w:u w:val="single" w:color="auto"/>
          <w:color w:val="0000FF"/>
        </w:rPr>
        <w:t xml:space="preserve"> </w:t>
      </w:r>
      <w:hyperlink r:id="rId685">
        <w:r>
          <w:rPr>
            <w:rFonts w:ascii="Times New Roman" w:cs="Times New Roman" w:eastAsia="Times New Roman" w:hAnsi="Times New Roman"/>
            <w:sz w:val="18"/>
            <w:szCs w:val="18"/>
            <w:u w:val="single" w:color="auto"/>
            <w:color w:val="0000FF"/>
          </w:rPr>
          <w:t>Agent (incorporated by reference, filed as Exhibit 10.2 to the Company’s Quarterly Report on Form 10-Q for the quarter</w:t>
        </w:r>
      </w:hyperlink>
      <w:r>
        <w:rPr>
          <w:rFonts w:ascii="Times New Roman" w:cs="Times New Roman" w:eastAsia="Times New Roman" w:hAnsi="Times New Roman"/>
          <w:sz w:val="18"/>
          <w:szCs w:val="18"/>
          <w:u w:val="single" w:color="auto"/>
          <w:color w:val="0000FF"/>
        </w:rPr>
        <w:t xml:space="preserve"> </w:t>
      </w:r>
      <w:hyperlink r:id="rId685">
        <w:r>
          <w:rPr>
            <w:rFonts w:ascii="Times New Roman" w:cs="Times New Roman" w:eastAsia="Times New Roman" w:hAnsi="Times New Roman"/>
            <w:sz w:val="18"/>
            <w:szCs w:val="18"/>
            <w:u w:val="single" w:color="auto"/>
            <w:color w:val="0000FF"/>
          </w:rPr>
          <w:t>ended June 30, 2021, File No. 1-1927).</w:t>
        </w:r>
      </w:hyperlink>
    </w:p>
    <w:p>
      <w:pPr>
        <w:spacing w:after="0" w:line="195" w:lineRule="exact"/>
        <w:rPr>
          <w:rFonts w:ascii="Times New Roman" w:cs="Times New Roman" w:eastAsia="Times New Roman" w:hAnsi="Times New Roman"/>
          <w:sz w:val="18"/>
          <w:szCs w:val="18"/>
          <w:u w:val="single" w:color="auto"/>
          <w:color w:val="0000FF"/>
        </w:rPr>
      </w:pPr>
    </w:p>
    <w:p>
      <w:pPr>
        <w:jc w:val="both"/>
        <w:ind w:left="1080" w:right="20" w:hanging="713"/>
        <w:spacing w:after="0" w:line="256" w:lineRule="auto"/>
        <w:tabs>
          <w:tab w:leader="none" w:pos="1080" w:val="left"/>
        </w:tabs>
        <w:numPr>
          <w:ilvl w:val="0"/>
          <w:numId w:val="63"/>
        </w:numPr>
        <w:rPr>
          <w:rFonts w:ascii="Times New Roman" w:cs="Times New Roman" w:eastAsia="Times New Roman" w:hAnsi="Times New Roman"/>
          <w:sz w:val="18"/>
          <w:szCs w:val="18"/>
          <w:color w:val="0000FF"/>
        </w:rPr>
      </w:pPr>
      <w:hyperlink r:id="rId686">
        <w:r>
          <w:rPr>
            <w:rFonts w:ascii="Times New Roman" w:cs="Times New Roman" w:eastAsia="Times New Roman" w:hAnsi="Times New Roman"/>
            <w:sz w:val="18"/>
            <w:szCs w:val="18"/>
            <w:u w:val="single" w:color="auto"/>
            <w:color w:val="0000FF"/>
          </w:rPr>
          <w:t>First Amendment, dated as of September 15, 2022, to (a) the Amended and Restated First Lien Credit Agreement, dated as of</w:t>
        </w:r>
      </w:hyperlink>
      <w:r>
        <w:rPr>
          <w:rFonts w:ascii="Times New Roman" w:cs="Times New Roman" w:eastAsia="Times New Roman" w:hAnsi="Times New Roman"/>
          <w:sz w:val="18"/>
          <w:szCs w:val="18"/>
          <w:u w:val="single" w:color="auto"/>
          <w:color w:val="0000FF"/>
        </w:rPr>
        <w:t xml:space="preserve"> </w:t>
      </w:r>
      <w:hyperlink r:id="rId686">
        <w:r>
          <w:rPr>
            <w:rFonts w:ascii="Times New Roman" w:cs="Times New Roman" w:eastAsia="Times New Roman" w:hAnsi="Times New Roman"/>
            <w:sz w:val="18"/>
            <w:szCs w:val="18"/>
            <w:u w:val="single" w:color="auto"/>
            <w:color w:val="0000FF"/>
          </w:rPr>
          <w:t>June 7, 2021, among the Company, the lenders and issuing banks party thereto, and JPMorgan Chase Bank, N.A., as</w:t>
        </w:r>
      </w:hyperlink>
      <w:r>
        <w:rPr>
          <w:rFonts w:ascii="Times New Roman" w:cs="Times New Roman" w:eastAsia="Times New Roman" w:hAnsi="Times New Roman"/>
          <w:sz w:val="18"/>
          <w:szCs w:val="18"/>
          <w:u w:val="single" w:color="auto"/>
          <w:color w:val="0000FF"/>
        </w:rPr>
        <w:t xml:space="preserve"> </w:t>
      </w:r>
      <w:hyperlink r:id="rId686">
        <w:r>
          <w:rPr>
            <w:rFonts w:ascii="Times New Roman" w:cs="Times New Roman" w:eastAsia="Times New Roman" w:hAnsi="Times New Roman"/>
            <w:sz w:val="18"/>
            <w:szCs w:val="18"/>
            <w:u w:val="single" w:color="auto"/>
            <w:color w:val="0000FF"/>
          </w:rPr>
          <w:t>Administrative Agent and Collateral Agent, and (b) the First Lien Guarantee and Collateral Agreement, as amended and</w:t>
        </w:r>
      </w:hyperlink>
      <w:r>
        <w:rPr>
          <w:rFonts w:ascii="Times New Roman" w:cs="Times New Roman" w:eastAsia="Times New Roman" w:hAnsi="Times New Roman"/>
          <w:sz w:val="18"/>
          <w:szCs w:val="18"/>
          <w:u w:val="single" w:color="auto"/>
          <w:color w:val="0000FF"/>
        </w:rPr>
        <w:t xml:space="preserve"> </w:t>
      </w:r>
      <w:hyperlink r:id="rId686">
        <w:r>
          <w:rPr>
            <w:rFonts w:ascii="Times New Roman" w:cs="Times New Roman" w:eastAsia="Times New Roman" w:hAnsi="Times New Roman"/>
            <w:sz w:val="18"/>
            <w:szCs w:val="18"/>
            <w:u w:val="single" w:color="auto"/>
            <w:color w:val="0000FF"/>
          </w:rPr>
          <w:t>restated as of June 7, 2021, among the Company, the subsidiaries of the Company identified therein and JPMorgan Chase</w:t>
        </w:r>
      </w:hyperlink>
      <w:r>
        <w:rPr>
          <w:rFonts w:ascii="Times New Roman" w:cs="Times New Roman" w:eastAsia="Times New Roman" w:hAnsi="Times New Roman"/>
          <w:sz w:val="18"/>
          <w:szCs w:val="18"/>
          <w:u w:val="single" w:color="auto"/>
          <w:color w:val="0000FF"/>
        </w:rPr>
        <w:t xml:space="preserve"> </w:t>
      </w:r>
      <w:hyperlink r:id="rId686">
        <w:r>
          <w:rPr>
            <w:rFonts w:ascii="Times New Roman" w:cs="Times New Roman" w:eastAsia="Times New Roman" w:hAnsi="Times New Roman"/>
            <w:sz w:val="18"/>
            <w:szCs w:val="18"/>
            <w:u w:val="single" w:color="auto"/>
            <w:color w:val="0000FF"/>
          </w:rPr>
          <w:t>Bank, N.A., as Administrative Agent and Collateral Agent (incorporated by reference, filed as Exhibit 10.2 to the Company’s</w:t>
        </w:r>
      </w:hyperlink>
      <w:r>
        <w:rPr>
          <w:rFonts w:ascii="Times New Roman" w:cs="Times New Roman" w:eastAsia="Times New Roman" w:hAnsi="Times New Roman"/>
          <w:sz w:val="18"/>
          <w:szCs w:val="18"/>
          <w:u w:val="single" w:color="auto"/>
          <w:color w:val="0000FF"/>
        </w:rPr>
        <w:t xml:space="preserve"> </w:t>
      </w:r>
      <w:hyperlink r:id="rId686">
        <w:r>
          <w:rPr>
            <w:rFonts w:ascii="Times New Roman" w:cs="Times New Roman" w:eastAsia="Times New Roman" w:hAnsi="Times New Roman"/>
            <w:sz w:val="18"/>
            <w:szCs w:val="18"/>
            <w:u w:val="single" w:color="auto"/>
            <w:color w:val="0000FF"/>
          </w:rPr>
          <w:t>Quarterly Report on Form 10-Q for the quarter ended September 30, 2022, File No. 1-1927).</w:t>
        </w:r>
        <w:r>
          <w:rPr>
            <w:rFonts w:ascii="Times New Roman" w:cs="Times New Roman" w:eastAsia="Times New Roman" w:hAnsi="Times New Roman"/>
            <w:sz w:val="18"/>
            <w:szCs w:val="18"/>
            <w:color w:val="000000"/>
          </w:rPr>
          <w:t>**</w:t>
        </w:r>
      </w:hyperlink>
    </w:p>
    <w:p>
      <w:pPr>
        <w:spacing w:after="0" w:line="185" w:lineRule="exact"/>
        <w:rPr>
          <w:rFonts w:ascii="Times New Roman" w:cs="Times New Roman" w:eastAsia="Times New Roman" w:hAnsi="Times New Roman"/>
          <w:sz w:val="18"/>
          <w:szCs w:val="18"/>
          <w:color w:val="0000FF"/>
        </w:rPr>
      </w:pPr>
    </w:p>
    <w:p>
      <w:pPr>
        <w:jc w:val="both"/>
        <w:ind w:left="1060" w:hanging="698"/>
        <w:spacing w:after="0" w:line="258" w:lineRule="auto"/>
        <w:tabs>
          <w:tab w:leader="none" w:pos="1060" w:val="left"/>
        </w:tabs>
        <w:numPr>
          <w:ilvl w:val="0"/>
          <w:numId w:val="63"/>
        </w:numPr>
        <w:rPr>
          <w:rFonts w:ascii="Times New Roman" w:cs="Times New Roman" w:eastAsia="Times New Roman" w:hAnsi="Times New Roman"/>
          <w:sz w:val="18"/>
          <w:szCs w:val="18"/>
          <w:color w:val="0000FF"/>
        </w:rPr>
      </w:pPr>
      <w:hyperlink r:id="rId687">
        <w:r>
          <w:rPr>
            <w:rFonts w:ascii="Times New Roman" w:cs="Times New Roman" w:eastAsia="Times New Roman" w:hAnsi="Times New Roman"/>
            <w:sz w:val="18"/>
            <w:szCs w:val="18"/>
            <w:u w:val="single" w:color="auto"/>
            <w:color w:val="0000FF"/>
          </w:rPr>
          <w:t>Amended and Restated Revolving Credit Agreement, dated as of October 12, 2022, among the Company, Goodyear Europe</w:t>
        </w:r>
      </w:hyperlink>
      <w:r>
        <w:rPr>
          <w:rFonts w:ascii="Times New Roman" w:cs="Times New Roman" w:eastAsia="Times New Roman" w:hAnsi="Times New Roman"/>
          <w:sz w:val="18"/>
          <w:szCs w:val="18"/>
          <w:u w:val="single" w:color="auto"/>
          <w:color w:val="0000FF"/>
        </w:rPr>
        <w:t xml:space="preserve"> </w:t>
      </w:r>
      <w:hyperlink r:id="rId687">
        <w:r>
          <w:rPr>
            <w:rFonts w:ascii="Times New Roman" w:cs="Times New Roman" w:eastAsia="Times New Roman" w:hAnsi="Times New Roman"/>
            <w:sz w:val="18"/>
            <w:szCs w:val="18"/>
            <w:u w:val="single" w:color="auto"/>
            <w:color w:val="0000FF"/>
          </w:rPr>
          <w:t>B.V., Goodyear Germany GmbH, Goodyear Operations S.A., the lenders party thereto, J.P. Morgan SE, as Administrative</w:t>
        </w:r>
      </w:hyperlink>
      <w:r>
        <w:rPr>
          <w:rFonts w:ascii="Times New Roman" w:cs="Times New Roman" w:eastAsia="Times New Roman" w:hAnsi="Times New Roman"/>
          <w:sz w:val="18"/>
          <w:szCs w:val="18"/>
          <w:u w:val="single" w:color="auto"/>
          <w:color w:val="0000FF"/>
        </w:rPr>
        <w:t xml:space="preserve"> </w:t>
      </w:r>
      <w:hyperlink r:id="rId687">
        <w:r>
          <w:rPr>
            <w:rFonts w:ascii="Times New Roman" w:cs="Times New Roman" w:eastAsia="Times New Roman" w:hAnsi="Times New Roman"/>
            <w:sz w:val="18"/>
            <w:szCs w:val="18"/>
            <w:u w:val="single" w:color="auto"/>
            <w:color w:val="0000FF"/>
          </w:rPr>
          <w:t>Agent, JPMorgan Chase Bank, N.A., as Collateral Agent, and the syndication agents, documentation agents, joint bookrunners</w:t>
        </w:r>
      </w:hyperlink>
      <w:r>
        <w:rPr>
          <w:rFonts w:ascii="Times New Roman" w:cs="Times New Roman" w:eastAsia="Times New Roman" w:hAnsi="Times New Roman"/>
          <w:sz w:val="18"/>
          <w:szCs w:val="18"/>
          <w:u w:val="single" w:color="auto"/>
          <w:color w:val="0000FF"/>
        </w:rPr>
        <w:t xml:space="preserve"> </w:t>
      </w:r>
      <w:hyperlink r:id="rId687">
        <w:r>
          <w:rPr>
            <w:rFonts w:ascii="Times New Roman" w:cs="Times New Roman" w:eastAsia="Times New Roman" w:hAnsi="Times New Roman"/>
            <w:sz w:val="18"/>
            <w:szCs w:val="18"/>
            <w:u w:val="single" w:color="auto"/>
            <w:color w:val="0000FF"/>
          </w:rPr>
          <w:t>and joint lead arrangers identified therein (incorporated by reference, filed as Exhibit 10.3 to the Company’s Quarterly Report</w:t>
        </w:r>
      </w:hyperlink>
      <w:r>
        <w:rPr>
          <w:rFonts w:ascii="Times New Roman" w:cs="Times New Roman" w:eastAsia="Times New Roman" w:hAnsi="Times New Roman"/>
          <w:sz w:val="18"/>
          <w:szCs w:val="18"/>
          <w:u w:val="single" w:color="auto"/>
          <w:color w:val="0000FF"/>
        </w:rPr>
        <w:t xml:space="preserve"> </w:t>
      </w:r>
      <w:hyperlink r:id="rId687">
        <w:r>
          <w:rPr>
            <w:rFonts w:ascii="Times New Roman" w:cs="Times New Roman" w:eastAsia="Times New Roman" w:hAnsi="Times New Roman"/>
            <w:sz w:val="18"/>
            <w:szCs w:val="18"/>
            <w:u w:val="single" w:color="auto"/>
            <w:color w:val="0000FF"/>
          </w:rPr>
          <w:t>on Form 10-Q for the quarter ended September 30, 2022, File No. 1-1927).</w:t>
        </w:r>
        <w:r>
          <w:rPr>
            <w:rFonts w:ascii="Times New Roman" w:cs="Times New Roman" w:eastAsia="Times New Roman" w:hAnsi="Times New Roman"/>
            <w:sz w:val="18"/>
            <w:szCs w:val="18"/>
            <w:color w:val="000000"/>
          </w:rPr>
          <w: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673100</wp:posOffset>
            </wp:positionH>
            <wp:positionV relativeFrom="paragraph">
              <wp:posOffset>-2894965</wp:posOffset>
            </wp:positionV>
            <wp:extent cx="579755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8">
                      <a:extLst>
                        <a:ext uri="{28A0092B-C50C-407E-A947-70E740481C1C}"/>
                      </a:extLst>
                    </a:blip>
                    <a:srcRect/>
                    <a:stretch>
                      <a:fillRect/>
                    </a:stretch>
                  </pic:blipFill>
                  <pic:spPr bwMode="auto">
                    <a:xfrm>
                      <a:off x="0" y="0"/>
                      <a:ext cx="579755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-2757805</wp:posOffset>
            </wp:positionV>
            <wp:extent cx="580326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9">
                      <a:extLst>
                        <a:ext uri="{28A0092B-C50C-407E-A947-70E740481C1C}"/>
                      </a:extLst>
                    </a:blip>
                    <a:srcRect/>
                    <a:stretch>
                      <a:fillRect/>
                    </a:stretch>
                  </pic:blipFill>
                  <pic:spPr bwMode="auto">
                    <a:xfrm>
                      <a:off x="0" y="0"/>
                      <a:ext cx="580326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-2620645</wp:posOffset>
            </wp:positionV>
            <wp:extent cx="579691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90">
                      <a:extLst>
                        <a:ext uri="{28A0092B-C50C-407E-A947-70E740481C1C}"/>
                      </a:extLst>
                    </a:blip>
                    <a:srcRect/>
                    <a:stretch>
                      <a:fillRect/>
                    </a:stretch>
                  </pic:blipFill>
                  <pic:spPr bwMode="auto">
                    <a:xfrm>
                      <a:off x="0" y="0"/>
                      <a:ext cx="579691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-2483485</wp:posOffset>
            </wp:positionV>
            <wp:extent cx="241808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91">
                      <a:extLst>
                        <a:ext uri="{28A0092B-C50C-407E-A947-70E740481C1C}"/>
                      </a:extLst>
                    </a:blip>
                    <a:srcRect/>
                    <a:stretch>
                      <a:fillRect/>
                    </a:stretch>
                  </pic:blipFill>
                  <pic:spPr bwMode="auto">
                    <a:xfrm>
                      <a:off x="0" y="0"/>
                      <a:ext cx="2418080" cy="8255"/>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-2235200</wp:posOffset>
            </wp:positionV>
            <wp:extent cx="579501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92">
                      <a:extLst>
                        <a:ext uri="{28A0092B-C50C-407E-A947-70E740481C1C}"/>
                      </a:extLst>
                    </a:blip>
                    <a:srcRect/>
                    <a:stretch>
                      <a:fillRect/>
                    </a:stretch>
                  </pic:blipFill>
                  <pic:spPr bwMode="auto">
                    <a:xfrm>
                      <a:off x="0" y="0"/>
                      <a:ext cx="5795010" cy="8255"/>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-2098675</wp:posOffset>
            </wp:positionV>
            <wp:extent cx="579437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93">
                      <a:extLst>
                        <a:ext uri="{28A0092B-C50C-407E-A947-70E740481C1C}"/>
                      </a:extLst>
                    </a:blip>
                    <a:srcRect/>
                    <a:stretch>
                      <a:fillRect/>
                    </a:stretch>
                  </pic:blipFill>
                  <pic:spPr bwMode="auto">
                    <a:xfrm>
                      <a:off x="0" y="0"/>
                      <a:ext cx="5794375" cy="8255"/>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-1961515</wp:posOffset>
            </wp:positionV>
            <wp:extent cx="579247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94">
                      <a:extLst>
                        <a:ext uri="{28A0092B-C50C-407E-A947-70E740481C1C}"/>
                      </a:extLst>
                    </a:blip>
                    <a:srcRect/>
                    <a:stretch>
                      <a:fillRect/>
                    </a:stretch>
                  </pic:blipFill>
                  <pic:spPr bwMode="auto">
                    <a:xfrm>
                      <a:off x="0" y="0"/>
                      <a:ext cx="5792470" cy="8255"/>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-1824355</wp:posOffset>
            </wp:positionV>
            <wp:extent cx="178752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95">
                      <a:extLst>
                        <a:ext uri="{28A0092B-C50C-407E-A947-70E740481C1C}"/>
                      </a:extLst>
                    </a:blip>
                    <a:srcRect/>
                    <a:stretch>
                      <a:fillRect/>
                    </a:stretch>
                  </pic:blipFill>
                  <pic:spPr bwMode="auto">
                    <a:xfrm>
                      <a:off x="0" y="0"/>
                      <a:ext cx="1787525" cy="8255"/>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-1541780</wp:posOffset>
            </wp:positionV>
            <wp:extent cx="578993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6">
                      <a:extLst>
                        <a:ext uri="{28A0092B-C50C-407E-A947-70E740481C1C}"/>
                      </a:extLst>
                    </a:blip>
                    <a:srcRect/>
                    <a:stretch>
                      <a:fillRect/>
                    </a:stretch>
                  </pic:blipFill>
                  <pic:spPr bwMode="auto">
                    <a:xfrm>
                      <a:off x="0" y="0"/>
                      <a:ext cx="5789930" cy="8255"/>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-1404620</wp:posOffset>
            </wp:positionV>
            <wp:extent cx="578866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7">
                      <a:extLst>
                        <a:ext uri="{28A0092B-C50C-407E-A947-70E740481C1C}"/>
                      </a:extLst>
                    </a:blip>
                    <a:srcRect/>
                    <a:stretch>
                      <a:fillRect/>
                    </a:stretch>
                  </pic:blipFill>
                  <pic:spPr bwMode="auto">
                    <a:xfrm>
                      <a:off x="0" y="0"/>
                      <a:ext cx="5788660" cy="8255"/>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-1268095</wp:posOffset>
            </wp:positionV>
            <wp:extent cx="578802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8">
                      <a:extLst>
                        <a:ext uri="{28A0092B-C50C-407E-A947-70E740481C1C}"/>
                      </a:extLst>
                    </a:blip>
                    <a:srcRect/>
                    <a:stretch>
                      <a:fillRect/>
                    </a:stretch>
                  </pic:blipFill>
                  <pic:spPr bwMode="auto">
                    <a:xfrm>
                      <a:off x="0" y="0"/>
                      <a:ext cx="5788025" cy="8255"/>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-1130935</wp:posOffset>
            </wp:positionV>
            <wp:extent cx="579501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9">
                      <a:extLst>
                        <a:ext uri="{28A0092B-C50C-407E-A947-70E740481C1C}"/>
                      </a:extLst>
                    </a:blip>
                    <a:srcRect/>
                    <a:stretch>
                      <a:fillRect/>
                    </a:stretch>
                  </pic:blipFill>
                  <pic:spPr bwMode="auto">
                    <a:xfrm>
                      <a:off x="0" y="0"/>
                      <a:ext cx="5795010" cy="8255"/>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-993775</wp:posOffset>
            </wp:positionV>
            <wp:extent cx="579501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00">
                      <a:extLst>
                        <a:ext uri="{28A0092B-C50C-407E-A947-70E740481C1C}"/>
                      </a:extLst>
                    </a:blip>
                    <a:srcRect/>
                    <a:stretch>
                      <a:fillRect/>
                    </a:stretch>
                  </pic:blipFill>
                  <pic:spPr bwMode="auto">
                    <a:xfrm>
                      <a:off x="0" y="0"/>
                      <a:ext cx="5795010" cy="8255"/>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-856615</wp:posOffset>
            </wp:positionV>
            <wp:extent cx="423418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01">
                      <a:extLst>
                        <a:ext uri="{28A0092B-C50C-407E-A947-70E740481C1C}"/>
                      </a:extLst>
                    </a:blip>
                    <a:srcRect/>
                    <a:stretch>
                      <a:fillRect/>
                    </a:stretch>
                  </pic:blipFill>
                  <pic:spPr bwMode="auto">
                    <a:xfrm>
                      <a:off x="0" y="0"/>
                      <a:ext cx="423418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-582930</wp:posOffset>
            </wp:positionV>
            <wp:extent cx="580707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02">
                      <a:extLst>
                        <a:ext uri="{28A0092B-C50C-407E-A947-70E740481C1C}"/>
                      </a:extLst>
                    </a:blip>
                    <a:srcRect/>
                    <a:stretch>
                      <a:fillRect/>
                    </a:stretch>
                  </pic:blipFill>
                  <pic:spPr bwMode="auto">
                    <a:xfrm>
                      <a:off x="0" y="0"/>
                      <a:ext cx="580707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-445770</wp:posOffset>
            </wp:positionV>
            <wp:extent cx="581215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03">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-308610</wp:posOffset>
            </wp:positionV>
            <wp:extent cx="580771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04">
                      <a:extLst>
                        <a:ext uri="{28A0092B-C50C-407E-A947-70E740481C1C}"/>
                      </a:extLst>
                    </a:blip>
                    <a:srcRect/>
                    <a:stretch>
                      <a:fillRect/>
                    </a:stretch>
                  </pic:blipFill>
                  <pic:spPr bwMode="auto">
                    <a:xfrm>
                      <a:off x="0" y="0"/>
                      <a:ext cx="580771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-172085</wp:posOffset>
            </wp:positionV>
            <wp:extent cx="581342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05">
                      <a:extLst>
                        <a:ext uri="{28A0092B-C50C-407E-A947-70E740481C1C}"/>
                      </a:extLst>
                    </a:blip>
                    <a:srcRect/>
                    <a:stretch>
                      <a:fillRect/>
                    </a:stretch>
                  </pic:blipFill>
                  <pic:spPr bwMode="auto">
                    <a:xfrm>
                      <a:off x="0" y="0"/>
                      <a:ext cx="581342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-34925</wp:posOffset>
            </wp:positionV>
            <wp:extent cx="342900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6">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364" w:lineRule="exact"/>
        <w:rPr>
          <w:rFonts w:ascii="Times New Roman" w:cs="Times New Roman" w:eastAsia="Times New Roman" w:hAnsi="Times New Roman"/>
          <w:sz w:val="18"/>
          <w:szCs w:val="18"/>
          <w:u w:val="single" w:color="auto"/>
          <w:color w:val="0000FF"/>
        </w:rPr>
      </w:pPr>
    </w:p>
    <w:p>
      <w:pPr>
        <w:ind w:left="5480"/>
        <w:spacing w:after="0"/>
        <w:rPr>
          <w:sz w:val="20"/>
          <w:szCs w:val="20"/>
          <w:color w:val="auto"/>
        </w:rPr>
      </w:pPr>
      <w:r>
        <w:rPr>
          <w:rFonts w:ascii="Times New Roman" w:cs="Times New Roman" w:eastAsia="Times New Roman" w:hAnsi="Times New Roman"/>
          <w:sz w:val="18"/>
          <w:szCs w:val="18"/>
          <w:color w:val="auto"/>
        </w:rPr>
        <w:t>X-2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320" w:top="118" w:right="1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8">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81" w:lineRule="exact"/>
        <w:rPr>
          <w:sz w:val="20"/>
          <w:szCs w:val="20"/>
          <w:color w:val="auto"/>
        </w:rPr>
      </w:pPr>
    </w:p>
    <w:p>
      <w:pPr>
        <w:jc w:val="both"/>
        <w:ind w:left="1060" w:right="1020" w:hanging="693"/>
        <w:spacing w:after="0" w:line="252" w:lineRule="auto"/>
        <w:tabs>
          <w:tab w:leader="none" w:pos="1060" w:val="left"/>
        </w:tabs>
        <w:numPr>
          <w:ilvl w:val="0"/>
          <w:numId w:val="64"/>
        </w:numPr>
        <w:rPr>
          <w:rFonts w:ascii="Times New Roman" w:cs="Times New Roman" w:eastAsia="Times New Roman" w:hAnsi="Times New Roman"/>
          <w:sz w:val="18"/>
          <w:szCs w:val="18"/>
          <w:u w:val="single" w:color="auto"/>
          <w:color w:val="0000FF"/>
        </w:rPr>
      </w:pPr>
      <w:hyperlink r:id="rId709">
        <w:r>
          <w:rPr>
            <w:rFonts w:ascii="Times New Roman" w:cs="Times New Roman" w:eastAsia="Times New Roman" w:hAnsi="Times New Roman"/>
            <w:sz w:val="18"/>
            <w:szCs w:val="18"/>
            <w:u w:val="single" w:color="auto"/>
            <w:color w:val="0000FF"/>
          </w:rPr>
          <w:t>Master Guarantee and Collateral Agreement, dated as of March 31, 2003, as amended and restated as of February 20, 2004,</w:t>
        </w:r>
      </w:hyperlink>
      <w:r>
        <w:rPr>
          <w:rFonts w:ascii="Times New Roman" w:cs="Times New Roman" w:eastAsia="Times New Roman" w:hAnsi="Times New Roman"/>
          <w:sz w:val="18"/>
          <w:szCs w:val="18"/>
          <w:u w:val="single" w:color="auto"/>
          <w:color w:val="0000FF"/>
        </w:rPr>
        <w:t xml:space="preserve"> </w:t>
      </w:r>
      <w:hyperlink r:id="rId709">
        <w:r>
          <w:rPr>
            <w:rFonts w:ascii="Times New Roman" w:cs="Times New Roman" w:eastAsia="Times New Roman" w:hAnsi="Times New Roman"/>
            <w:sz w:val="18"/>
            <w:szCs w:val="18"/>
            <w:u w:val="single" w:color="auto"/>
            <w:color w:val="0000FF"/>
          </w:rPr>
          <w:t>and as further amended and restated as of April 8, 2005, among the Company, Goodyear Dunlop Tires Europe B.V. (now</w:t>
        </w:r>
      </w:hyperlink>
      <w:r>
        <w:rPr>
          <w:rFonts w:ascii="Times New Roman" w:cs="Times New Roman" w:eastAsia="Times New Roman" w:hAnsi="Times New Roman"/>
          <w:sz w:val="18"/>
          <w:szCs w:val="18"/>
          <w:u w:val="single" w:color="auto"/>
          <w:color w:val="0000FF"/>
        </w:rPr>
        <w:t xml:space="preserve"> </w:t>
      </w:r>
      <w:hyperlink r:id="rId709">
        <w:r>
          <w:rPr>
            <w:rFonts w:ascii="Times New Roman" w:cs="Times New Roman" w:eastAsia="Times New Roman" w:hAnsi="Times New Roman"/>
            <w:sz w:val="18"/>
            <w:szCs w:val="18"/>
            <w:u w:val="single" w:color="auto"/>
            <w:color w:val="0000FF"/>
          </w:rPr>
          <w:t>known as Goodyear Europe B.V.), the other subsidiaries of the Company identified therein and JPMorgan Chase Bank, N.A.,</w:t>
        </w:r>
      </w:hyperlink>
      <w:r>
        <w:rPr>
          <w:rFonts w:ascii="Times New Roman" w:cs="Times New Roman" w:eastAsia="Times New Roman" w:hAnsi="Times New Roman"/>
          <w:sz w:val="18"/>
          <w:szCs w:val="18"/>
          <w:u w:val="single" w:color="auto"/>
          <w:color w:val="0000FF"/>
        </w:rPr>
        <w:t xml:space="preserve"> </w:t>
      </w:r>
      <w:hyperlink r:id="rId709">
        <w:r>
          <w:rPr>
            <w:rFonts w:ascii="Times New Roman" w:cs="Times New Roman" w:eastAsia="Times New Roman" w:hAnsi="Times New Roman"/>
            <w:sz w:val="18"/>
            <w:szCs w:val="18"/>
            <w:u w:val="single" w:color="auto"/>
            <w:color w:val="0000FF"/>
          </w:rPr>
          <w:t>as Collateral Agent (incorporated by reference, filed as Exhibit 4.7 to the Company’s Quarterly Report on Form 10-Q for the</w:t>
        </w:r>
      </w:hyperlink>
      <w:r>
        <w:rPr>
          <w:rFonts w:ascii="Times New Roman" w:cs="Times New Roman" w:eastAsia="Times New Roman" w:hAnsi="Times New Roman"/>
          <w:sz w:val="18"/>
          <w:szCs w:val="18"/>
          <w:u w:val="single" w:color="auto"/>
          <w:color w:val="0000FF"/>
        </w:rPr>
        <w:t xml:space="preserve"> </w:t>
      </w:r>
      <w:hyperlink r:id="rId710">
        <w:r>
          <w:rPr>
            <w:rFonts w:ascii="Times New Roman" w:cs="Times New Roman" w:eastAsia="Times New Roman" w:hAnsi="Times New Roman"/>
            <w:sz w:val="18"/>
            <w:szCs w:val="18"/>
            <w:u w:val="single" w:color="auto"/>
            <w:color w:val="0000FF"/>
          </w:rPr>
          <w:t>quarter ended March 31, 2005, File No. 1-1927), as amended by the Amendment and Restatement Agreement, dated as of</w:t>
        </w:r>
      </w:hyperlink>
      <w:r>
        <w:rPr>
          <w:rFonts w:ascii="Times New Roman" w:cs="Times New Roman" w:eastAsia="Times New Roman" w:hAnsi="Times New Roman"/>
          <w:sz w:val="18"/>
          <w:szCs w:val="18"/>
          <w:u w:val="single" w:color="auto"/>
          <w:color w:val="0000FF"/>
        </w:rPr>
        <w:t xml:space="preserve"> </w:t>
      </w:r>
      <w:hyperlink r:id="rId710">
        <w:r>
          <w:rPr>
            <w:rFonts w:ascii="Times New Roman" w:cs="Times New Roman" w:eastAsia="Times New Roman" w:hAnsi="Times New Roman"/>
            <w:sz w:val="18"/>
            <w:szCs w:val="18"/>
            <w:u w:val="single" w:color="auto"/>
            <w:color w:val="0000FF"/>
          </w:rPr>
          <w:t>April 20, 2007 (incorporated by reference, filed as Exhibit 4.6 to the Company’s Quarterly Report on Form 10-Q for the</w:t>
        </w:r>
      </w:hyperlink>
      <w:r>
        <w:rPr>
          <w:rFonts w:ascii="Times New Roman" w:cs="Times New Roman" w:eastAsia="Times New Roman" w:hAnsi="Times New Roman"/>
          <w:sz w:val="18"/>
          <w:szCs w:val="18"/>
          <w:u w:val="single" w:color="auto"/>
          <w:color w:val="0000FF"/>
        </w:rPr>
        <w:t xml:space="preserve"> </w:t>
      </w:r>
      <w:hyperlink r:id="rId711">
        <w:r>
          <w:rPr>
            <w:rFonts w:ascii="Times New Roman" w:cs="Times New Roman" w:eastAsia="Times New Roman" w:hAnsi="Times New Roman"/>
            <w:sz w:val="18"/>
            <w:szCs w:val="18"/>
            <w:u w:val="single" w:color="auto"/>
            <w:color w:val="0000FF"/>
          </w:rPr>
          <w:t>quarter ended March 31, 2007, File No. 1-1927), as amended by the Amendment and Restatement Agreement, dated as of</w:t>
        </w:r>
      </w:hyperlink>
      <w:r>
        <w:rPr>
          <w:rFonts w:ascii="Times New Roman" w:cs="Times New Roman" w:eastAsia="Times New Roman" w:hAnsi="Times New Roman"/>
          <w:sz w:val="18"/>
          <w:szCs w:val="18"/>
          <w:u w:val="single" w:color="auto"/>
          <w:color w:val="0000FF"/>
        </w:rPr>
        <w:t xml:space="preserve"> </w:t>
      </w:r>
      <w:hyperlink r:id="rId711">
        <w:r>
          <w:rPr>
            <w:rFonts w:ascii="Times New Roman" w:cs="Times New Roman" w:eastAsia="Times New Roman" w:hAnsi="Times New Roman"/>
            <w:sz w:val="18"/>
            <w:szCs w:val="18"/>
            <w:u w:val="single" w:color="auto"/>
            <w:color w:val="0000FF"/>
          </w:rPr>
          <w:t>April 20, 2011 (incorporated by reference, filed as Exhibit 10.1 to the Company's Annual Report on Form 10-K for the year</w:t>
        </w:r>
      </w:hyperlink>
      <w:r>
        <w:rPr>
          <w:rFonts w:ascii="Times New Roman" w:cs="Times New Roman" w:eastAsia="Times New Roman" w:hAnsi="Times New Roman"/>
          <w:sz w:val="18"/>
          <w:szCs w:val="18"/>
          <w:u w:val="single" w:color="auto"/>
          <w:color w:val="0000FF"/>
        </w:rPr>
        <w:t xml:space="preserve"> </w:t>
      </w:r>
      <w:hyperlink r:id="rId712">
        <w:r>
          <w:rPr>
            <w:rFonts w:ascii="Times New Roman" w:cs="Times New Roman" w:eastAsia="Times New Roman" w:hAnsi="Times New Roman"/>
            <w:sz w:val="18"/>
            <w:szCs w:val="18"/>
            <w:u w:val="single" w:color="auto"/>
            <w:color w:val="0000FF"/>
          </w:rPr>
          <w:t>ended December 31, 2011, File No. 1-1927), as amended by the Amendment and Restatement Agreement, dated as of May 12,</w:t>
        </w:r>
      </w:hyperlink>
      <w:r>
        <w:rPr>
          <w:rFonts w:ascii="Times New Roman" w:cs="Times New Roman" w:eastAsia="Times New Roman" w:hAnsi="Times New Roman"/>
          <w:sz w:val="18"/>
          <w:szCs w:val="18"/>
          <w:u w:val="single" w:color="auto"/>
          <w:color w:val="0000FF"/>
        </w:rPr>
        <w:t xml:space="preserve"> </w:t>
      </w:r>
      <w:hyperlink r:id="rId712">
        <w:r>
          <w:rPr>
            <w:rFonts w:ascii="Times New Roman" w:cs="Times New Roman" w:eastAsia="Times New Roman" w:hAnsi="Times New Roman"/>
            <w:sz w:val="18"/>
            <w:szCs w:val="18"/>
            <w:u w:val="single" w:color="auto"/>
            <w:color w:val="0000FF"/>
          </w:rPr>
          <w:t>2015 (incorporated by reference, filed as Exhibit 10.2 to the Company’s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713">
        <w:r>
          <w:rPr>
            <w:rFonts w:ascii="Times New Roman" w:cs="Times New Roman" w:eastAsia="Times New Roman" w:hAnsi="Times New Roman"/>
            <w:sz w:val="18"/>
            <w:szCs w:val="18"/>
            <w:u w:val="single" w:color="auto"/>
            <w:color w:val="0000FF"/>
          </w:rPr>
          <w:t>June 30, 2015, File No. 1-1927), as amended by the Amendment and Restatement Agreement, dated as of March 27, 2019</w:t>
        </w:r>
      </w:hyperlink>
      <w:r>
        <w:rPr>
          <w:rFonts w:ascii="Times New Roman" w:cs="Times New Roman" w:eastAsia="Times New Roman" w:hAnsi="Times New Roman"/>
          <w:sz w:val="18"/>
          <w:szCs w:val="18"/>
          <w:u w:val="single" w:color="auto"/>
          <w:color w:val="0000FF"/>
        </w:rPr>
        <w:t xml:space="preserve"> </w:t>
      </w:r>
      <w:hyperlink r:id="rId713">
        <w:r>
          <w:rPr>
            <w:rFonts w:ascii="Times New Roman" w:cs="Times New Roman" w:eastAsia="Times New Roman" w:hAnsi="Times New Roman"/>
            <w:sz w:val="18"/>
            <w:szCs w:val="18"/>
            <w:u w:val="single" w:color="auto"/>
            <w:color w:val="0000FF"/>
          </w:rPr>
          <w:t>(incorporated by reference, filed as Exhibit 10.2 to the Company's Quarterly Report on Form 10-Q for the quarter ended March</w:t>
        </w:r>
      </w:hyperlink>
      <w:r>
        <w:rPr>
          <w:rFonts w:ascii="Times New Roman" w:cs="Times New Roman" w:eastAsia="Times New Roman" w:hAnsi="Times New Roman"/>
          <w:sz w:val="18"/>
          <w:szCs w:val="18"/>
          <w:u w:val="single" w:color="auto"/>
          <w:color w:val="0000FF"/>
        </w:rPr>
        <w:t xml:space="preserve"> </w:t>
      </w:r>
      <w:hyperlink r:id="rId714">
        <w:r>
          <w:rPr>
            <w:rFonts w:ascii="Times New Roman" w:cs="Times New Roman" w:eastAsia="Times New Roman" w:hAnsi="Times New Roman"/>
            <w:sz w:val="18"/>
            <w:szCs w:val="18"/>
            <w:u w:val="single" w:color="auto"/>
            <w:color w:val="0000FF"/>
          </w:rPr>
          <w:t>31, 2019, File No. 1-1927), and as amended by the Amendment and Restatement Agreement, dated as of October 12, 2022</w:t>
        </w:r>
      </w:hyperlink>
      <w:r>
        <w:rPr>
          <w:rFonts w:ascii="Times New Roman" w:cs="Times New Roman" w:eastAsia="Times New Roman" w:hAnsi="Times New Roman"/>
          <w:sz w:val="18"/>
          <w:szCs w:val="18"/>
          <w:u w:val="single" w:color="auto"/>
          <w:color w:val="0000FF"/>
        </w:rPr>
        <w:t xml:space="preserve"> </w:t>
      </w:r>
      <w:hyperlink r:id="rId714">
        <w:r>
          <w:rPr>
            <w:rFonts w:ascii="Times New Roman" w:cs="Times New Roman" w:eastAsia="Times New Roman" w:hAnsi="Times New Roman"/>
            <w:sz w:val="18"/>
            <w:szCs w:val="18"/>
            <w:u w:val="single" w:color="auto"/>
            <w:color w:val="0000FF"/>
          </w:rPr>
          <w:t>(incorporated by reference, filed as Exhibit 10.4 to the Company’s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714">
        <w:r>
          <w:rPr>
            <w:rFonts w:ascii="Times New Roman" w:cs="Times New Roman" w:eastAsia="Times New Roman" w:hAnsi="Times New Roman"/>
            <w:sz w:val="18"/>
            <w:szCs w:val="18"/>
            <w:u w:val="single" w:color="auto"/>
            <w:color w:val="0000FF"/>
          </w:rPr>
          <w:t>September 30, 2022, File No. 1-1927).</w:t>
        </w:r>
      </w:hyperlink>
    </w:p>
    <w:p>
      <w:pPr>
        <w:spacing w:after="0" w:line="151" w:lineRule="exact"/>
        <w:rPr>
          <w:rFonts w:ascii="Times New Roman" w:cs="Times New Roman" w:eastAsia="Times New Roman" w:hAnsi="Times New Roman"/>
          <w:sz w:val="18"/>
          <w:szCs w:val="18"/>
          <w:u w:val="single" w:color="auto"/>
          <w:color w:val="0000FF"/>
        </w:rPr>
      </w:pPr>
    </w:p>
    <w:p>
      <w:pPr>
        <w:jc w:val="both"/>
        <w:ind w:left="1060" w:right="1020" w:hanging="683"/>
        <w:spacing w:after="0" w:line="258" w:lineRule="auto"/>
        <w:tabs>
          <w:tab w:leader="none" w:pos="1060" w:val="left"/>
        </w:tabs>
        <w:numPr>
          <w:ilvl w:val="0"/>
          <w:numId w:val="64"/>
        </w:numPr>
        <w:rPr>
          <w:rFonts w:ascii="Times New Roman" w:cs="Times New Roman" w:eastAsia="Times New Roman" w:hAnsi="Times New Roman"/>
          <w:sz w:val="18"/>
          <w:szCs w:val="18"/>
          <w:color w:val="0000FF"/>
        </w:rPr>
      </w:pPr>
      <w:hyperlink r:id="rId715">
        <w:r>
          <w:rPr>
            <w:rFonts w:ascii="Times New Roman" w:cs="Times New Roman" w:eastAsia="Times New Roman" w:hAnsi="Times New Roman"/>
            <w:sz w:val="18"/>
            <w:szCs w:val="18"/>
            <w:u w:val="single" w:color="auto"/>
            <w:color w:val="0000FF"/>
          </w:rPr>
          <w:t>Amended and Restated General Master Purchase Agreement dated December 10, 2004, as last amended and restated on</w:t>
        </w:r>
      </w:hyperlink>
      <w:r>
        <w:rPr>
          <w:rFonts w:ascii="Times New Roman" w:cs="Times New Roman" w:eastAsia="Times New Roman" w:hAnsi="Times New Roman"/>
          <w:sz w:val="18"/>
          <w:szCs w:val="18"/>
          <w:u w:val="single" w:color="auto"/>
          <w:color w:val="0000FF"/>
        </w:rPr>
        <w:t xml:space="preserve"> </w:t>
      </w:r>
      <w:hyperlink r:id="rId715">
        <w:r>
          <w:rPr>
            <w:rFonts w:ascii="Times New Roman" w:cs="Times New Roman" w:eastAsia="Times New Roman" w:hAnsi="Times New Roman"/>
            <w:sz w:val="18"/>
            <w:szCs w:val="18"/>
            <w:u w:val="single" w:color="auto"/>
            <w:color w:val="0000FF"/>
          </w:rPr>
          <w:t>October 11, 2021, between Ester Finance Technologies, as Purchaser, Credit Agricole Leasing &amp; Factoring, as Agent, Credit</w:t>
        </w:r>
      </w:hyperlink>
      <w:r>
        <w:rPr>
          <w:rFonts w:ascii="Times New Roman" w:cs="Times New Roman" w:eastAsia="Times New Roman" w:hAnsi="Times New Roman"/>
          <w:sz w:val="18"/>
          <w:szCs w:val="18"/>
          <w:u w:val="single" w:color="auto"/>
          <w:color w:val="0000FF"/>
        </w:rPr>
        <w:t xml:space="preserve"> </w:t>
      </w:r>
      <w:hyperlink r:id="rId715">
        <w:r>
          <w:rPr>
            <w:rFonts w:ascii="Times New Roman" w:cs="Times New Roman" w:eastAsia="Times New Roman" w:hAnsi="Times New Roman"/>
            <w:sz w:val="18"/>
            <w:szCs w:val="18"/>
            <w:u w:val="single" w:color="auto"/>
            <w:color w:val="0000FF"/>
          </w:rPr>
          <w:t>Agricole Corporate and Investment Bank, as Joint Lead Arranger and as Calculation Agent, Natixis, as Joint Lead Arranger,</w:t>
        </w:r>
      </w:hyperlink>
      <w:r>
        <w:rPr>
          <w:rFonts w:ascii="Times New Roman" w:cs="Times New Roman" w:eastAsia="Times New Roman" w:hAnsi="Times New Roman"/>
          <w:sz w:val="18"/>
          <w:szCs w:val="18"/>
          <w:u w:val="single" w:color="auto"/>
          <w:color w:val="0000FF"/>
        </w:rPr>
        <w:t xml:space="preserve"> </w:t>
      </w:r>
      <w:hyperlink r:id="rId715">
        <w:r>
          <w:rPr>
            <w:rFonts w:ascii="Times New Roman" w:cs="Times New Roman" w:eastAsia="Times New Roman" w:hAnsi="Times New Roman"/>
            <w:sz w:val="18"/>
            <w:szCs w:val="18"/>
            <w:u w:val="single" w:color="auto"/>
            <w:color w:val="0000FF"/>
          </w:rPr>
          <w:t>Dunlop Tyres Limited, as Centralising Unit, and the Sellers listed therein (incorporated by reference, filed as Exhibit 10.2 to</w:t>
        </w:r>
      </w:hyperlink>
      <w:r>
        <w:rPr>
          <w:rFonts w:ascii="Times New Roman" w:cs="Times New Roman" w:eastAsia="Times New Roman" w:hAnsi="Times New Roman"/>
          <w:sz w:val="18"/>
          <w:szCs w:val="18"/>
          <w:u w:val="single" w:color="auto"/>
          <w:color w:val="0000FF"/>
        </w:rPr>
        <w:t xml:space="preserve"> </w:t>
      </w:r>
      <w:hyperlink r:id="rId715">
        <w:r>
          <w:rPr>
            <w:rFonts w:ascii="Times New Roman" w:cs="Times New Roman" w:eastAsia="Times New Roman" w:hAnsi="Times New Roman"/>
            <w:sz w:val="18"/>
            <w:szCs w:val="18"/>
            <w:u w:val="single" w:color="auto"/>
            <w:color w:val="0000FF"/>
          </w:rPr>
          <w:t>the Company’s Annual Report on Form 10-K for the year ended December 31, 2021, File No. 1-1927)</w:t>
        </w:r>
        <w:r>
          <w:rPr>
            <w:rFonts w:ascii="Times New Roman" w:cs="Times New Roman" w:eastAsia="Times New Roman" w:hAnsi="Times New Roman"/>
            <w:sz w:val="18"/>
            <w:szCs w:val="18"/>
            <w:color w:val="000000"/>
          </w:rPr>
          <w: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673100</wp:posOffset>
            </wp:positionH>
            <wp:positionV relativeFrom="paragraph">
              <wp:posOffset>-2748915</wp:posOffset>
            </wp:positionV>
            <wp:extent cx="581215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16">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-2612390</wp:posOffset>
            </wp:positionV>
            <wp:extent cx="581088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17">
                      <a:extLst>
                        <a:ext uri="{28A0092B-C50C-407E-A947-70E740481C1C}"/>
                      </a:extLst>
                    </a:blip>
                    <a:srcRect/>
                    <a:stretch>
                      <a:fillRect/>
                    </a:stretch>
                  </pic:blipFill>
                  <pic:spPr bwMode="auto">
                    <a:xfrm>
                      <a:off x="0" y="0"/>
                      <a:ext cx="581088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-2475230</wp:posOffset>
            </wp:positionV>
            <wp:extent cx="580771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18">
                      <a:extLst>
                        <a:ext uri="{28A0092B-C50C-407E-A947-70E740481C1C}"/>
                      </a:extLst>
                    </a:blip>
                    <a:srcRect/>
                    <a:stretch>
                      <a:fillRect/>
                    </a:stretch>
                  </pic:blipFill>
                  <pic:spPr bwMode="auto">
                    <a:xfrm>
                      <a:off x="0" y="0"/>
                      <a:ext cx="580771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-2338070</wp:posOffset>
            </wp:positionV>
            <wp:extent cx="580580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19">
                      <a:extLst>
                        <a:ext uri="{28A0092B-C50C-407E-A947-70E740481C1C}"/>
                      </a:extLst>
                    </a:blip>
                    <a:srcRect/>
                    <a:stretch>
                      <a:fillRect/>
                    </a:stretch>
                  </pic:blipFill>
                  <pic:spPr bwMode="auto">
                    <a:xfrm>
                      <a:off x="0" y="0"/>
                      <a:ext cx="580580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-2200910</wp:posOffset>
            </wp:positionV>
            <wp:extent cx="580771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20">
                      <a:extLst>
                        <a:ext uri="{28A0092B-C50C-407E-A947-70E740481C1C}"/>
                      </a:extLst>
                    </a:blip>
                    <a:srcRect/>
                    <a:stretch>
                      <a:fillRect/>
                    </a:stretch>
                  </pic:blipFill>
                  <pic:spPr bwMode="auto">
                    <a:xfrm>
                      <a:off x="0" y="0"/>
                      <a:ext cx="580771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-2064385</wp:posOffset>
            </wp:positionV>
            <wp:extent cx="580834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21">
                      <a:extLst>
                        <a:ext uri="{28A0092B-C50C-407E-A947-70E740481C1C}"/>
                      </a:extLst>
                    </a:blip>
                    <a:srcRect/>
                    <a:stretch>
                      <a:fillRect/>
                    </a:stretch>
                  </pic:blipFill>
                  <pic:spPr bwMode="auto">
                    <a:xfrm>
                      <a:off x="0" y="0"/>
                      <a:ext cx="580834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-1927225</wp:posOffset>
            </wp:positionV>
            <wp:extent cx="580771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22">
                      <a:extLst>
                        <a:ext uri="{28A0092B-C50C-407E-A947-70E740481C1C}"/>
                      </a:extLst>
                    </a:blip>
                    <a:srcRect/>
                    <a:stretch>
                      <a:fillRect/>
                    </a:stretch>
                  </pic:blipFill>
                  <pic:spPr bwMode="auto">
                    <a:xfrm>
                      <a:off x="0" y="0"/>
                      <a:ext cx="580771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-1790065</wp:posOffset>
            </wp:positionV>
            <wp:extent cx="581088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23">
                      <a:extLst>
                        <a:ext uri="{28A0092B-C50C-407E-A947-70E740481C1C}"/>
                      </a:extLst>
                    </a:blip>
                    <a:srcRect/>
                    <a:stretch>
                      <a:fillRect/>
                    </a:stretch>
                  </pic:blipFill>
                  <pic:spPr bwMode="auto">
                    <a:xfrm>
                      <a:off x="0" y="0"/>
                      <a:ext cx="581088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-1652905</wp:posOffset>
            </wp:positionV>
            <wp:extent cx="580898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24">
                      <a:extLst>
                        <a:ext uri="{28A0092B-C50C-407E-A947-70E740481C1C}"/>
                      </a:extLst>
                    </a:blip>
                    <a:srcRect/>
                    <a:stretch>
                      <a:fillRect/>
                    </a:stretch>
                  </pic:blipFill>
                  <pic:spPr bwMode="auto">
                    <a:xfrm>
                      <a:off x="0" y="0"/>
                      <a:ext cx="580898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-1516380</wp:posOffset>
            </wp:positionV>
            <wp:extent cx="581152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25">
                      <a:extLst>
                        <a:ext uri="{28A0092B-C50C-407E-A947-70E740481C1C}"/>
                      </a:extLst>
                    </a:blip>
                    <a:srcRect/>
                    <a:stretch>
                      <a:fillRect/>
                    </a:stretch>
                  </pic:blipFill>
                  <pic:spPr bwMode="auto">
                    <a:xfrm>
                      <a:off x="0" y="0"/>
                      <a:ext cx="581152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-1379220</wp:posOffset>
            </wp:positionV>
            <wp:extent cx="581215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26">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-1242060</wp:posOffset>
            </wp:positionV>
            <wp:extent cx="581025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27">
                      <a:extLst>
                        <a:ext uri="{28A0092B-C50C-407E-A947-70E740481C1C}"/>
                      </a:extLst>
                    </a:blip>
                    <a:srcRect/>
                    <a:stretch>
                      <a:fillRect/>
                    </a:stretch>
                  </pic:blipFill>
                  <pic:spPr bwMode="auto">
                    <a:xfrm>
                      <a:off x="0" y="0"/>
                      <a:ext cx="581025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-1104900</wp:posOffset>
            </wp:positionV>
            <wp:extent cx="581152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28">
                      <a:extLst>
                        <a:ext uri="{28A0092B-C50C-407E-A947-70E740481C1C}"/>
                      </a:extLst>
                    </a:blip>
                    <a:srcRect/>
                    <a:stretch>
                      <a:fillRect/>
                    </a:stretch>
                  </pic:blipFill>
                  <pic:spPr bwMode="auto">
                    <a:xfrm>
                      <a:off x="0" y="0"/>
                      <a:ext cx="581152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-968375</wp:posOffset>
            </wp:positionV>
            <wp:extent cx="581215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29">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-831215</wp:posOffset>
            </wp:positionV>
            <wp:extent cx="176530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30">
                      <a:extLst>
                        <a:ext uri="{28A0092B-C50C-407E-A947-70E740481C1C}"/>
                      </a:extLst>
                    </a:blip>
                    <a:srcRect/>
                    <a:stretch>
                      <a:fillRect/>
                    </a:stretch>
                  </pic:blipFill>
                  <pic:spPr bwMode="auto">
                    <a:xfrm>
                      <a:off x="0" y="0"/>
                      <a:ext cx="176530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-582930</wp:posOffset>
            </wp:positionV>
            <wp:extent cx="581215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31">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-445770</wp:posOffset>
            </wp:positionV>
            <wp:extent cx="580771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32">
                      <a:extLst>
                        <a:ext uri="{28A0092B-C50C-407E-A947-70E740481C1C}"/>
                      </a:extLst>
                    </a:blip>
                    <a:srcRect/>
                    <a:stretch>
                      <a:fillRect/>
                    </a:stretch>
                  </pic:blipFill>
                  <pic:spPr bwMode="auto">
                    <a:xfrm>
                      <a:off x="0" y="0"/>
                      <a:ext cx="580771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-308610</wp:posOffset>
            </wp:positionV>
            <wp:extent cx="580834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33">
                      <a:extLst>
                        <a:ext uri="{28A0092B-C50C-407E-A947-70E740481C1C}"/>
                      </a:extLst>
                    </a:blip>
                    <a:srcRect/>
                    <a:stretch>
                      <a:fillRect/>
                    </a:stretch>
                  </pic:blipFill>
                  <pic:spPr bwMode="auto">
                    <a:xfrm>
                      <a:off x="0" y="0"/>
                      <a:ext cx="580834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-172085</wp:posOffset>
            </wp:positionV>
            <wp:extent cx="580834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34">
                      <a:extLst>
                        <a:ext uri="{28A0092B-C50C-407E-A947-70E740481C1C}"/>
                      </a:extLst>
                    </a:blip>
                    <a:srcRect/>
                    <a:stretch>
                      <a:fillRect/>
                    </a:stretch>
                  </pic:blipFill>
                  <pic:spPr bwMode="auto">
                    <a:xfrm>
                      <a:off x="0" y="0"/>
                      <a:ext cx="580834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-34925</wp:posOffset>
            </wp:positionV>
            <wp:extent cx="467487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35">
                      <a:extLst>
                        <a:ext uri="{28A0092B-C50C-407E-A947-70E740481C1C}"/>
                      </a:extLst>
                    </a:blip>
                    <a:srcRect/>
                    <a:stretch>
                      <a:fillRect/>
                    </a:stretch>
                  </pic:blipFill>
                  <pic:spPr bwMode="auto">
                    <a:xfrm>
                      <a:off x="0" y="0"/>
                      <a:ext cx="4674870" cy="8255"/>
                    </a:xfrm>
                    <a:prstGeom prst="rect">
                      <a:avLst/>
                    </a:prstGeom>
                    <a:noFill/>
                  </pic:spPr>
                </pic:pic>
              </a:graphicData>
            </a:graphic>
          </wp:anchor>
        </w:drawing>
      </w:r>
    </w:p>
    <w:p>
      <w:pPr>
        <w:spacing w:after="0" w:line="108" w:lineRule="exact"/>
        <w:rPr>
          <w:rFonts w:ascii="Times New Roman" w:cs="Times New Roman" w:eastAsia="Times New Roman" w:hAnsi="Times New Roman"/>
          <w:sz w:val="18"/>
          <w:szCs w:val="18"/>
          <w:u w:val="single" w:color="auto"/>
          <w:color w:val="0000FF"/>
        </w:rPr>
      </w:pPr>
    </w:p>
    <w:tbl>
      <w:tblPr>
        <w:tblLayout w:type="fixed"/>
        <w:tblInd w:w="0" w:type="dxa"/>
        <w:tblCellMar>
          <w:top w:w="0" w:type="dxa"/>
          <w:left w:w="0" w:type="dxa"/>
          <w:bottom w:w="0" w:type="dxa"/>
          <w:right w:w="0" w:type="dxa"/>
        </w:tblCellMar>
      </w:tblPr>
      <w:tr>
        <w:trPr>
          <w:trHeight w:val="207"/>
        </w:trPr>
        <w:tc>
          <w:tcPr>
            <w:tcW w:w="1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w:t>
            </w:r>
          </w:p>
        </w:tc>
        <w:tc>
          <w:tcPr>
            <w:tcW w:w="10160" w:type="dxa"/>
            <w:vAlign w:val="bottom"/>
            <w:gridSpan w:val="8"/>
          </w:tcPr>
          <w:p>
            <w:pPr>
              <w:spacing w:after="0"/>
              <w:rPr>
                <w:rFonts w:ascii="Times New Roman" w:cs="Times New Roman" w:eastAsia="Times New Roman" w:hAnsi="Times New Roman"/>
                <w:sz w:val="18"/>
                <w:szCs w:val="18"/>
                <w:color w:val="0000FF"/>
              </w:rPr>
            </w:pPr>
            <w:hyperlink r:id="rId736">
              <w:r>
                <w:rPr>
                  <w:rFonts w:ascii="Times New Roman" w:cs="Times New Roman" w:eastAsia="Times New Roman" w:hAnsi="Times New Roman"/>
                  <w:sz w:val="18"/>
                  <w:szCs w:val="18"/>
                  <w:color w:val="0000FF"/>
                </w:rPr>
                <w:t>2022 Performance Plan of the Company (incorporated by reference, filed as Exhibit 10.1 to the Company's Current Report on</w:t>
              </w:r>
            </w:hyperlink>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35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160" w:type="dxa"/>
            <w:vAlign w:val="bottom"/>
            <w:gridSpan w:val="8"/>
          </w:tcPr>
          <w:p>
            <w:pPr>
              <w:spacing w:after="0" w:line="195" w:lineRule="exact"/>
              <w:rPr>
                <w:rFonts w:ascii="Times New Roman" w:cs="Times New Roman" w:eastAsia="Times New Roman" w:hAnsi="Times New Roman"/>
                <w:sz w:val="18"/>
                <w:szCs w:val="18"/>
                <w:color w:val="0000FF"/>
              </w:rPr>
            </w:pPr>
            <w:hyperlink r:id="rId736">
              <w:r>
                <w:rPr>
                  <w:rFonts w:ascii="Times New Roman" w:cs="Times New Roman" w:eastAsia="Times New Roman" w:hAnsi="Times New Roman"/>
                  <w:sz w:val="18"/>
                  <w:szCs w:val="18"/>
                  <w:color w:val="0000FF"/>
                </w:rPr>
                <w:t>Form 8-K, filed April 15, 2022, File No. 1-1927).</w:t>
              </w:r>
            </w:hyperlink>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356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71"/>
        </w:trPr>
        <w:tc>
          <w:tcPr>
            <w:tcW w:w="1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w:t>
            </w:r>
          </w:p>
        </w:tc>
        <w:tc>
          <w:tcPr>
            <w:tcW w:w="10160" w:type="dxa"/>
            <w:vAlign w:val="bottom"/>
            <w:gridSpan w:val="8"/>
          </w:tcPr>
          <w:p>
            <w:pPr>
              <w:spacing w:after="0"/>
              <w:rPr>
                <w:rFonts w:ascii="Times New Roman" w:cs="Times New Roman" w:eastAsia="Times New Roman" w:hAnsi="Times New Roman"/>
                <w:sz w:val="18"/>
                <w:szCs w:val="18"/>
                <w:color w:val="0000FF"/>
              </w:rPr>
            </w:pPr>
            <w:hyperlink r:id="rId737">
              <w:r>
                <w:rPr>
                  <w:rFonts w:ascii="Times New Roman" w:cs="Times New Roman" w:eastAsia="Times New Roman" w:hAnsi="Times New Roman"/>
                  <w:sz w:val="18"/>
                  <w:szCs w:val="18"/>
                  <w:color w:val="0000FF"/>
                </w:rPr>
                <w:t>Form of Non-Qualified Stock Option Grant Agreement (incorporated by reference, filed as Exhibit 10.1 to the Company's</w:t>
              </w:r>
            </w:hyperlink>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4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160" w:type="dxa"/>
            <w:vAlign w:val="bottom"/>
            <w:gridSpan w:val="8"/>
          </w:tcPr>
          <w:p>
            <w:pPr>
              <w:spacing w:after="0" w:line="195" w:lineRule="exact"/>
              <w:rPr>
                <w:rFonts w:ascii="Times New Roman" w:cs="Times New Roman" w:eastAsia="Times New Roman" w:hAnsi="Times New Roman"/>
                <w:sz w:val="18"/>
                <w:szCs w:val="18"/>
                <w:color w:val="0000FF"/>
              </w:rPr>
            </w:pPr>
            <w:hyperlink r:id="rId737">
              <w:r>
                <w:rPr>
                  <w:rFonts w:ascii="Times New Roman" w:cs="Times New Roman" w:eastAsia="Times New Roman" w:hAnsi="Times New Roman"/>
                  <w:sz w:val="18"/>
                  <w:szCs w:val="18"/>
                  <w:color w:val="0000FF"/>
                </w:rPr>
                <w:t>Current Report on Form 8-K, filed June 10, 2022, File No. 1-1927).</w:t>
              </w:r>
            </w:hyperlink>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4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71"/>
        </w:trPr>
        <w:tc>
          <w:tcPr>
            <w:tcW w:w="1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w:t>
            </w:r>
          </w:p>
        </w:tc>
        <w:tc>
          <w:tcPr>
            <w:tcW w:w="10160" w:type="dxa"/>
            <w:vAlign w:val="bottom"/>
            <w:gridSpan w:val="8"/>
          </w:tcPr>
          <w:p>
            <w:pPr>
              <w:spacing w:after="0"/>
              <w:rPr>
                <w:rFonts w:ascii="Times New Roman" w:cs="Times New Roman" w:eastAsia="Times New Roman" w:hAnsi="Times New Roman"/>
                <w:sz w:val="18"/>
                <w:szCs w:val="18"/>
                <w:color w:val="0000FF"/>
              </w:rPr>
            </w:pPr>
            <w:hyperlink r:id="rId738">
              <w:r>
                <w:rPr>
                  <w:rFonts w:ascii="Times New Roman" w:cs="Times New Roman" w:eastAsia="Times New Roman" w:hAnsi="Times New Roman"/>
                  <w:sz w:val="18"/>
                  <w:szCs w:val="18"/>
                  <w:color w:val="0000FF"/>
                </w:rPr>
                <w:t>Form of Non-Qualified Stock Option with tandem Stock Appreciation Right Grant Agreement (incorporated by reference,</w:t>
              </w:r>
            </w:hyperlink>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4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160" w:type="dxa"/>
            <w:vAlign w:val="bottom"/>
            <w:gridSpan w:val="8"/>
          </w:tcPr>
          <w:p>
            <w:pPr>
              <w:spacing w:after="0" w:line="195" w:lineRule="exact"/>
              <w:rPr>
                <w:rFonts w:ascii="Times New Roman" w:cs="Times New Roman" w:eastAsia="Times New Roman" w:hAnsi="Times New Roman"/>
                <w:sz w:val="18"/>
                <w:szCs w:val="18"/>
                <w:color w:val="0000FF"/>
              </w:rPr>
            </w:pPr>
            <w:hyperlink r:id="rId738">
              <w:r>
                <w:rPr>
                  <w:rFonts w:ascii="Times New Roman" w:cs="Times New Roman" w:eastAsia="Times New Roman" w:hAnsi="Times New Roman"/>
                  <w:sz w:val="18"/>
                  <w:szCs w:val="18"/>
                  <w:color w:val="0000FF"/>
                </w:rPr>
                <w:t>filed as Exhibit 10.2 to the Company's Current Report on Form 8-K, filed June 10, 2022, File No. 1-1927).</w:t>
              </w:r>
            </w:hyperlink>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4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1"/>
        </w:trPr>
        <w:tc>
          <w:tcPr>
            <w:tcW w:w="1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w:t>
            </w:r>
          </w:p>
        </w:tc>
        <w:tc>
          <w:tcPr>
            <w:tcW w:w="914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rPr>
            </w:pPr>
            <w:hyperlink r:id="rId739">
              <w:r>
                <w:rPr>
                  <w:rFonts w:ascii="Times New Roman" w:cs="Times New Roman" w:eastAsia="Times New Roman" w:hAnsi="Times New Roman"/>
                  <w:sz w:val="18"/>
                  <w:szCs w:val="18"/>
                  <w:color w:val="0000FF"/>
                </w:rPr>
                <w:t>Form of Performance Share Grant Agreement (incorporated by reference, filed as Exhibit 10.3 to the Company's Current</w:t>
              </w:r>
            </w:hyperlink>
          </w:p>
        </w:tc>
        <w:tc>
          <w:tcPr>
            <w:tcW w:w="102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4280" w:type="dxa"/>
            <w:vAlign w:val="bottom"/>
            <w:tcBorders>
              <w:bottom w:val="single" w:sz="8" w:color="0000FF"/>
            </w:tcBorders>
            <w:gridSpan w:val="2"/>
          </w:tcPr>
          <w:p>
            <w:pPr>
              <w:spacing w:after="0" w:line="195" w:lineRule="exact"/>
              <w:rPr>
                <w:rFonts w:ascii="Times New Roman" w:cs="Times New Roman" w:eastAsia="Times New Roman" w:hAnsi="Times New Roman"/>
                <w:sz w:val="18"/>
                <w:szCs w:val="18"/>
                <w:color w:val="0000FF"/>
                <w:w w:val="99"/>
              </w:rPr>
            </w:pPr>
            <w:hyperlink r:id="rId739">
              <w:r>
                <w:rPr>
                  <w:rFonts w:ascii="Times New Roman" w:cs="Times New Roman" w:eastAsia="Times New Roman" w:hAnsi="Times New Roman"/>
                  <w:sz w:val="18"/>
                  <w:szCs w:val="18"/>
                  <w:color w:val="0000FF"/>
                  <w:w w:val="99"/>
                </w:rPr>
                <w:t>Report on Form 8-K, filed June 10, 2022, File No. 1-1927).</w:t>
              </w:r>
            </w:hyperlink>
          </w:p>
        </w:tc>
        <w:tc>
          <w:tcPr>
            <w:tcW w:w="20" w:type="dxa"/>
            <w:vAlign w:val="bottom"/>
            <w:tcBorders>
              <w:bottom w:val="single" w:sz="8" w:color="0000EE"/>
            </w:tcBorders>
          </w:tcPr>
          <w:p>
            <w:pPr>
              <w:spacing w:after="0"/>
              <w:rPr>
                <w:sz w:val="17"/>
                <w:szCs w:val="17"/>
                <w:color w:val="auto"/>
              </w:rPr>
            </w:pPr>
          </w:p>
        </w:tc>
        <w:tc>
          <w:tcPr>
            <w:tcW w:w="5860" w:type="dxa"/>
            <w:vAlign w:val="bottom"/>
            <w:gridSpan w:val="5"/>
          </w:tcPr>
          <w:p>
            <w:pPr>
              <w:spacing w:after="0"/>
              <w:rPr>
                <w:sz w:val="17"/>
                <w:szCs w:val="17"/>
                <w:color w:val="auto"/>
              </w:rPr>
            </w:pPr>
          </w:p>
        </w:tc>
      </w:tr>
      <w:tr>
        <w:trPr>
          <w:trHeight w:val="425"/>
        </w:trPr>
        <w:tc>
          <w:tcPr>
            <w:tcW w:w="1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(k)*</w:t>
            </w:r>
          </w:p>
        </w:tc>
        <w:tc>
          <w:tcPr>
            <w:tcW w:w="914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rPr>
            </w:pPr>
            <w:hyperlink r:id="rId740">
              <w:r>
                <w:rPr>
                  <w:rFonts w:ascii="Times New Roman" w:cs="Times New Roman" w:eastAsia="Times New Roman" w:hAnsi="Times New Roman"/>
                  <w:sz w:val="18"/>
                  <w:szCs w:val="18"/>
                  <w:color w:val="0000FF"/>
                </w:rPr>
                <w:t>Form of Performance Share Continuous Vesting Grant Agreement (incorporated by reference, filed as Exhibit 10.4 to the</w:t>
              </w:r>
            </w:hyperlink>
          </w:p>
        </w:tc>
        <w:tc>
          <w:tcPr>
            <w:tcW w:w="102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5720" w:type="dxa"/>
            <w:vAlign w:val="bottom"/>
            <w:tcBorders>
              <w:bottom w:val="single" w:sz="8" w:color="0000FF"/>
            </w:tcBorders>
            <w:gridSpan w:val="5"/>
          </w:tcPr>
          <w:p>
            <w:pPr>
              <w:spacing w:after="0" w:line="195" w:lineRule="exact"/>
              <w:rPr>
                <w:rFonts w:ascii="Times New Roman" w:cs="Times New Roman" w:eastAsia="Times New Roman" w:hAnsi="Times New Roman"/>
                <w:sz w:val="18"/>
                <w:szCs w:val="18"/>
                <w:color w:val="0000FF"/>
                <w:w w:val="99"/>
              </w:rPr>
            </w:pPr>
            <w:hyperlink r:id="rId740">
              <w:r>
                <w:rPr>
                  <w:rFonts w:ascii="Times New Roman" w:cs="Times New Roman" w:eastAsia="Times New Roman" w:hAnsi="Times New Roman"/>
                  <w:sz w:val="18"/>
                  <w:szCs w:val="18"/>
                  <w:color w:val="0000FF"/>
                  <w:w w:val="99"/>
                </w:rPr>
                <w:t>Company's Current Report on Form 8-K, filed June 10, 2022, File No. 1-1927).</w:t>
              </w:r>
            </w:hyperlink>
          </w:p>
        </w:tc>
        <w:tc>
          <w:tcPr>
            <w:tcW w:w="4440" w:type="dxa"/>
            <w:vAlign w:val="bottom"/>
            <w:gridSpan w:val="3"/>
          </w:tcPr>
          <w:p>
            <w:pPr>
              <w:spacing w:after="0"/>
              <w:rPr>
                <w:sz w:val="17"/>
                <w:szCs w:val="17"/>
                <w:color w:val="auto"/>
              </w:rPr>
            </w:pPr>
          </w:p>
        </w:tc>
      </w:tr>
      <w:tr>
        <w:trPr>
          <w:trHeight w:val="263"/>
        </w:trPr>
        <w:tc>
          <w:tcPr>
            <w:tcW w:w="108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X-3</w:t>
            </w:r>
          </w:p>
        </w:tc>
      </w:tr>
      <w:tr>
        <w:trPr>
          <w:trHeight w:val="115"/>
        </w:trPr>
        <w:tc>
          <w:tcPr>
            <w:tcW w:w="1080" w:type="dxa"/>
            <w:vAlign w:val="bottom"/>
            <w:tcBorders>
              <w:bottom w:val="single" w:sz="8" w:color="9A9A9A"/>
            </w:tcBorders>
          </w:tcPr>
          <w:p>
            <w:pPr>
              <w:spacing w:after="0"/>
              <w:rPr>
                <w:sz w:val="9"/>
                <w:szCs w:val="9"/>
                <w:color w:val="auto"/>
              </w:rPr>
            </w:pPr>
          </w:p>
        </w:tc>
        <w:tc>
          <w:tcPr>
            <w:tcW w:w="35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43">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(l)*</w:t>
            </w:r>
          </w:p>
        </w:tc>
        <w:tc>
          <w:tcPr>
            <w:tcW w:w="91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744">
              <w:r>
                <w:rPr>
                  <w:rFonts w:ascii="Times New Roman" w:cs="Times New Roman" w:eastAsia="Times New Roman" w:hAnsi="Times New Roman"/>
                  <w:sz w:val="18"/>
                  <w:szCs w:val="18"/>
                  <w:color w:val="0000FF"/>
                </w:rPr>
                <w:t>Form of Executive Performance Unit Grant Agreement (incorporated by reference, filed as Exhibit 10.5 to the Company's</w:t>
              </w:r>
            </w:hyperlink>
          </w:p>
        </w:tc>
        <w:tc>
          <w:tcPr>
            <w:tcW w:w="1040" w:type="dxa"/>
            <w:vAlign w:val="bottom"/>
            <w:gridSpan w:val="3"/>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160" w:type="dxa"/>
            <w:vAlign w:val="bottom"/>
            <w:gridSpan w:val="18"/>
          </w:tcPr>
          <w:p>
            <w:pPr>
              <w:spacing w:after="0" w:line="195" w:lineRule="exact"/>
              <w:rPr>
                <w:rFonts w:ascii="Times New Roman" w:cs="Times New Roman" w:eastAsia="Times New Roman" w:hAnsi="Times New Roman"/>
                <w:sz w:val="18"/>
                <w:szCs w:val="18"/>
                <w:color w:val="0000FF"/>
              </w:rPr>
            </w:pPr>
            <w:hyperlink r:id="rId744">
              <w:r>
                <w:rPr>
                  <w:rFonts w:ascii="Times New Roman" w:cs="Times New Roman" w:eastAsia="Times New Roman" w:hAnsi="Times New Roman"/>
                  <w:sz w:val="18"/>
                  <w:szCs w:val="18"/>
                  <w:color w:val="0000FF"/>
                </w:rPr>
                <w:t>Current Report on Form 8-K, filed June 10, 2022, File No. 1-1927).</w:t>
              </w:r>
            </w:hyperlink>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25"/>
        </w:trPr>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(m)*</w:t>
            </w:r>
          </w:p>
        </w:tc>
        <w:tc>
          <w:tcPr>
            <w:tcW w:w="91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745">
              <w:r>
                <w:rPr>
                  <w:rFonts w:ascii="Times New Roman" w:cs="Times New Roman" w:eastAsia="Times New Roman" w:hAnsi="Times New Roman"/>
                  <w:sz w:val="18"/>
                  <w:szCs w:val="18"/>
                  <w:color w:val="0000FF"/>
                  <w:w w:val="99"/>
                </w:rPr>
                <w:t>Form of Executive Performance Unit Continuous Vesting Grant Agreement (incorporated by reference, filed as Exhibit 10.6 to</w:t>
              </w:r>
            </w:hyperlink>
          </w:p>
        </w:tc>
        <w:tc>
          <w:tcPr>
            <w:tcW w:w="1020" w:type="dxa"/>
            <w:vAlign w:val="bottom"/>
            <w:gridSpan w:val="2"/>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5980" w:type="dxa"/>
            <w:vAlign w:val="bottom"/>
            <w:tcBorders>
              <w:bottom w:val="single" w:sz="8" w:color="0000FF"/>
            </w:tcBorders>
            <w:gridSpan w:val="10"/>
          </w:tcPr>
          <w:p>
            <w:pPr>
              <w:spacing w:after="0" w:line="195" w:lineRule="exact"/>
              <w:rPr>
                <w:rFonts w:ascii="Times New Roman" w:cs="Times New Roman" w:eastAsia="Times New Roman" w:hAnsi="Times New Roman"/>
                <w:sz w:val="18"/>
                <w:szCs w:val="18"/>
                <w:color w:val="0000FF"/>
                <w:w w:val="99"/>
              </w:rPr>
            </w:pPr>
            <w:hyperlink r:id="rId745">
              <w:r>
                <w:rPr>
                  <w:rFonts w:ascii="Times New Roman" w:cs="Times New Roman" w:eastAsia="Times New Roman" w:hAnsi="Times New Roman"/>
                  <w:sz w:val="18"/>
                  <w:szCs w:val="18"/>
                  <w:color w:val="0000FF"/>
                  <w:w w:val="99"/>
                </w:rPr>
                <w:t>the Company's Current Report on Form 8-K, filed June 10, 2022, File No. 1-1927).</w:t>
              </w:r>
            </w:hyperlink>
          </w:p>
        </w:tc>
        <w:tc>
          <w:tcPr>
            <w:tcW w:w="20" w:type="dxa"/>
            <w:vAlign w:val="bottom"/>
            <w:tcBorders>
              <w:bottom w:val="single" w:sz="8" w:color="0000EE"/>
            </w:tcBorders>
          </w:tcPr>
          <w:p>
            <w:pPr>
              <w:spacing w:after="0"/>
              <w:rPr>
                <w:sz w:val="17"/>
                <w:szCs w:val="17"/>
                <w:color w:val="auto"/>
              </w:rPr>
            </w:pPr>
          </w:p>
        </w:tc>
        <w:tc>
          <w:tcPr>
            <w:tcW w:w="4160" w:type="dxa"/>
            <w:vAlign w:val="bottom"/>
            <w:gridSpan w:val="7"/>
          </w:tcPr>
          <w:p>
            <w:pPr>
              <w:spacing w:after="0"/>
              <w:rPr>
                <w:sz w:val="17"/>
                <w:szCs w:val="17"/>
                <w:color w:val="auto"/>
              </w:rPr>
            </w:pPr>
          </w:p>
        </w:tc>
      </w:tr>
      <w:tr>
        <w:trPr>
          <w:trHeight w:val="425"/>
        </w:trPr>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(n)*</w:t>
            </w:r>
          </w:p>
        </w:tc>
        <w:tc>
          <w:tcPr>
            <w:tcW w:w="91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746">
              <w:r>
                <w:rPr>
                  <w:rFonts w:ascii="Times New Roman" w:cs="Times New Roman" w:eastAsia="Times New Roman" w:hAnsi="Times New Roman"/>
                  <w:sz w:val="18"/>
                  <w:szCs w:val="18"/>
                  <w:color w:val="0000FF"/>
                </w:rPr>
                <w:t>Form of Restricted Stock Unit Annual Cliff Grant Agreement (incorporated by reference, filed as Exhibit 10.7 to the</w:t>
              </w:r>
            </w:hyperlink>
          </w:p>
        </w:tc>
        <w:tc>
          <w:tcPr>
            <w:tcW w:w="1040" w:type="dxa"/>
            <w:vAlign w:val="bottom"/>
            <w:gridSpan w:val="3"/>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5720" w:type="dxa"/>
            <w:vAlign w:val="bottom"/>
            <w:tcBorders>
              <w:bottom w:val="single" w:sz="8" w:color="0000FF"/>
            </w:tcBorders>
            <w:gridSpan w:val="8"/>
          </w:tcPr>
          <w:p>
            <w:pPr>
              <w:spacing w:after="0" w:line="195" w:lineRule="exact"/>
              <w:rPr>
                <w:rFonts w:ascii="Times New Roman" w:cs="Times New Roman" w:eastAsia="Times New Roman" w:hAnsi="Times New Roman"/>
                <w:sz w:val="18"/>
                <w:szCs w:val="18"/>
                <w:color w:val="0000FF"/>
                <w:w w:val="99"/>
              </w:rPr>
            </w:pPr>
            <w:hyperlink r:id="rId746">
              <w:r>
                <w:rPr>
                  <w:rFonts w:ascii="Times New Roman" w:cs="Times New Roman" w:eastAsia="Times New Roman" w:hAnsi="Times New Roman"/>
                  <w:sz w:val="18"/>
                  <w:szCs w:val="18"/>
                  <w:color w:val="0000FF"/>
                  <w:w w:val="99"/>
                </w:rPr>
                <w:t>Company's Current Report on Form 8-K, filed June 10, 2022, File No. 1-1927).</w:t>
              </w:r>
            </w:hyperlink>
          </w:p>
        </w:tc>
        <w:tc>
          <w:tcPr>
            <w:tcW w:w="20" w:type="dxa"/>
            <w:vAlign w:val="bottom"/>
            <w:tcBorders>
              <w:bottom w:val="single" w:sz="8" w:color="0000EE"/>
            </w:tcBorders>
          </w:tcPr>
          <w:p>
            <w:pPr>
              <w:spacing w:after="0"/>
              <w:rPr>
                <w:sz w:val="17"/>
                <w:szCs w:val="17"/>
                <w:color w:val="auto"/>
              </w:rPr>
            </w:pPr>
          </w:p>
        </w:tc>
        <w:tc>
          <w:tcPr>
            <w:tcW w:w="4420" w:type="dxa"/>
            <w:vAlign w:val="bottom"/>
            <w:gridSpan w:val="9"/>
          </w:tcPr>
          <w:p>
            <w:pPr>
              <w:spacing w:after="0"/>
              <w:rPr>
                <w:sz w:val="17"/>
                <w:szCs w:val="17"/>
                <w:color w:val="auto"/>
              </w:rPr>
            </w:pPr>
          </w:p>
        </w:tc>
      </w:tr>
      <w:tr>
        <w:trPr>
          <w:trHeight w:val="425"/>
        </w:trPr>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(o)*</w:t>
            </w:r>
          </w:p>
        </w:tc>
        <w:tc>
          <w:tcPr>
            <w:tcW w:w="91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747">
              <w:r>
                <w:rPr>
                  <w:rFonts w:ascii="Times New Roman" w:cs="Times New Roman" w:eastAsia="Times New Roman" w:hAnsi="Times New Roman"/>
                  <w:sz w:val="18"/>
                  <w:szCs w:val="18"/>
                  <w:color w:val="0000FF"/>
                </w:rPr>
                <w:t>Form of Restricted Stock Unit Annual Ratable Grant Agreement (incorporated by reference, filed as Exhibit 10.8 to the</w:t>
              </w:r>
            </w:hyperlink>
          </w:p>
        </w:tc>
        <w:tc>
          <w:tcPr>
            <w:tcW w:w="100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5720" w:type="dxa"/>
            <w:vAlign w:val="bottom"/>
            <w:tcBorders>
              <w:bottom w:val="single" w:sz="8" w:color="0000FF"/>
            </w:tcBorders>
            <w:gridSpan w:val="8"/>
          </w:tcPr>
          <w:p>
            <w:pPr>
              <w:spacing w:after="0" w:line="195" w:lineRule="exact"/>
              <w:rPr>
                <w:rFonts w:ascii="Times New Roman" w:cs="Times New Roman" w:eastAsia="Times New Roman" w:hAnsi="Times New Roman"/>
                <w:sz w:val="18"/>
                <w:szCs w:val="18"/>
                <w:color w:val="0000FF"/>
                <w:w w:val="99"/>
              </w:rPr>
            </w:pPr>
            <w:hyperlink r:id="rId747">
              <w:r>
                <w:rPr>
                  <w:rFonts w:ascii="Times New Roman" w:cs="Times New Roman" w:eastAsia="Times New Roman" w:hAnsi="Times New Roman"/>
                  <w:sz w:val="18"/>
                  <w:szCs w:val="18"/>
                  <w:color w:val="0000FF"/>
                  <w:w w:val="99"/>
                </w:rPr>
                <w:t>Company's Current Report on Form 8-K, filed June 10, 2022, File No. 1-1927).</w:t>
              </w:r>
            </w:hyperlink>
          </w:p>
        </w:tc>
        <w:tc>
          <w:tcPr>
            <w:tcW w:w="20" w:type="dxa"/>
            <w:vAlign w:val="bottom"/>
            <w:tcBorders>
              <w:bottom w:val="single" w:sz="8" w:color="0000EE"/>
            </w:tcBorders>
          </w:tcPr>
          <w:p>
            <w:pPr>
              <w:spacing w:after="0"/>
              <w:rPr>
                <w:sz w:val="17"/>
                <w:szCs w:val="17"/>
                <w:color w:val="auto"/>
              </w:rPr>
            </w:pPr>
          </w:p>
        </w:tc>
        <w:tc>
          <w:tcPr>
            <w:tcW w:w="4420" w:type="dxa"/>
            <w:vAlign w:val="bottom"/>
            <w:gridSpan w:val="9"/>
          </w:tcPr>
          <w:p>
            <w:pPr>
              <w:spacing w:after="0"/>
              <w:rPr>
                <w:sz w:val="17"/>
                <w:szCs w:val="17"/>
                <w:color w:val="auto"/>
              </w:rPr>
            </w:pPr>
          </w:p>
        </w:tc>
      </w:tr>
      <w:tr>
        <w:trPr>
          <w:trHeight w:val="425"/>
        </w:trPr>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(p)*</w:t>
            </w:r>
          </w:p>
        </w:tc>
        <w:tc>
          <w:tcPr>
            <w:tcW w:w="91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748">
              <w:r>
                <w:rPr>
                  <w:rFonts w:ascii="Times New Roman" w:cs="Times New Roman" w:eastAsia="Times New Roman" w:hAnsi="Times New Roman"/>
                  <w:sz w:val="18"/>
                  <w:szCs w:val="18"/>
                  <w:color w:val="0000FF"/>
                </w:rPr>
                <w:t>Form of Restricted Stock Unit Continuous Vesting Grant Agreement (incorporated by reference, filed as Exhibit 10.9 to the</w:t>
              </w:r>
            </w:hyperlink>
          </w:p>
        </w:tc>
        <w:tc>
          <w:tcPr>
            <w:tcW w:w="1040" w:type="dxa"/>
            <w:vAlign w:val="bottom"/>
            <w:gridSpan w:val="3"/>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5720" w:type="dxa"/>
            <w:vAlign w:val="bottom"/>
            <w:tcBorders>
              <w:bottom w:val="single" w:sz="8" w:color="0000FF"/>
            </w:tcBorders>
            <w:gridSpan w:val="8"/>
          </w:tcPr>
          <w:p>
            <w:pPr>
              <w:spacing w:after="0" w:line="195" w:lineRule="exact"/>
              <w:rPr>
                <w:rFonts w:ascii="Times New Roman" w:cs="Times New Roman" w:eastAsia="Times New Roman" w:hAnsi="Times New Roman"/>
                <w:sz w:val="18"/>
                <w:szCs w:val="18"/>
                <w:color w:val="0000FF"/>
                <w:w w:val="99"/>
              </w:rPr>
            </w:pPr>
            <w:hyperlink r:id="rId748">
              <w:r>
                <w:rPr>
                  <w:rFonts w:ascii="Times New Roman" w:cs="Times New Roman" w:eastAsia="Times New Roman" w:hAnsi="Times New Roman"/>
                  <w:sz w:val="18"/>
                  <w:szCs w:val="18"/>
                  <w:color w:val="0000FF"/>
                  <w:w w:val="99"/>
                </w:rPr>
                <w:t>Company's Current Report on Form 8-K, filed June 10, 2022, File No. 1-1927).</w:t>
              </w:r>
            </w:hyperlink>
          </w:p>
        </w:tc>
        <w:tc>
          <w:tcPr>
            <w:tcW w:w="20" w:type="dxa"/>
            <w:vAlign w:val="bottom"/>
            <w:tcBorders>
              <w:bottom w:val="single" w:sz="8" w:color="0000EE"/>
            </w:tcBorders>
          </w:tcPr>
          <w:p>
            <w:pPr>
              <w:spacing w:after="0"/>
              <w:rPr>
                <w:sz w:val="17"/>
                <w:szCs w:val="17"/>
                <w:color w:val="auto"/>
              </w:rPr>
            </w:pPr>
          </w:p>
        </w:tc>
        <w:tc>
          <w:tcPr>
            <w:tcW w:w="4420" w:type="dxa"/>
            <w:vAlign w:val="bottom"/>
            <w:gridSpan w:val="9"/>
          </w:tcPr>
          <w:p>
            <w:pPr>
              <w:spacing w:after="0"/>
              <w:rPr>
                <w:sz w:val="17"/>
                <w:szCs w:val="17"/>
                <w:color w:val="auto"/>
              </w:rPr>
            </w:pPr>
          </w:p>
        </w:tc>
      </w:tr>
      <w:tr>
        <w:trPr>
          <w:trHeight w:val="425"/>
        </w:trPr>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(q)*</w:t>
            </w:r>
          </w:p>
        </w:tc>
        <w:tc>
          <w:tcPr>
            <w:tcW w:w="91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749">
              <w:r>
                <w:rPr>
                  <w:rFonts w:ascii="Times New Roman" w:cs="Times New Roman" w:eastAsia="Times New Roman" w:hAnsi="Times New Roman"/>
                  <w:sz w:val="18"/>
                  <w:szCs w:val="18"/>
                  <w:color w:val="0000FF"/>
                </w:rPr>
                <w:t>2017 Performance Plan of the Company (incorporated by reference, filed as Exhibit 10.1 to the Company's Current Report on</w:t>
              </w:r>
            </w:hyperlink>
          </w:p>
        </w:tc>
        <w:tc>
          <w:tcPr>
            <w:tcW w:w="1040" w:type="dxa"/>
            <w:vAlign w:val="bottom"/>
            <w:gridSpan w:val="3"/>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160" w:type="dxa"/>
            <w:vAlign w:val="bottom"/>
            <w:gridSpan w:val="18"/>
          </w:tcPr>
          <w:p>
            <w:pPr>
              <w:spacing w:after="0" w:line="195" w:lineRule="exact"/>
              <w:rPr>
                <w:rFonts w:ascii="Times New Roman" w:cs="Times New Roman" w:eastAsia="Times New Roman" w:hAnsi="Times New Roman"/>
                <w:sz w:val="18"/>
                <w:szCs w:val="18"/>
                <w:color w:val="0000FF"/>
              </w:rPr>
            </w:pPr>
            <w:hyperlink r:id="rId749">
              <w:r>
                <w:rPr>
                  <w:rFonts w:ascii="Times New Roman" w:cs="Times New Roman" w:eastAsia="Times New Roman" w:hAnsi="Times New Roman"/>
                  <w:sz w:val="18"/>
                  <w:szCs w:val="18"/>
                  <w:color w:val="0000FF"/>
                </w:rPr>
                <w:t>Form 8-K, filed April 13, 2017, File No. 1-1927).</w:t>
              </w:r>
            </w:hyperlink>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425"/>
        </w:trPr>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6"/>
              </w:rPr>
              <w:t>(r)*</w:t>
            </w:r>
          </w:p>
        </w:tc>
        <w:tc>
          <w:tcPr>
            <w:tcW w:w="91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750">
              <w:r>
                <w:rPr>
                  <w:rFonts w:ascii="Times New Roman" w:cs="Times New Roman" w:eastAsia="Times New Roman" w:hAnsi="Times New Roman"/>
                  <w:sz w:val="18"/>
                  <w:szCs w:val="18"/>
                  <w:color w:val="0000FF"/>
                </w:rPr>
                <w:t>2013 Performance Plan of the Company (incorporated by reference, filed as Exhibit 10.1 to the Company's Current Report on</w:t>
              </w:r>
            </w:hyperlink>
          </w:p>
        </w:tc>
        <w:tc>
          <w:tcPr>
            <w:tcW w:w="1040" w:type="dxa"/>
            <w:vAlign w:val="bottom"/>
            <w:gridSpan w:val="3"/>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160" w:type="dxa"/>
            <w:vAlign w:val="bottom"/>
            <w:gridSpan w:val="18"/>
          </w:tcPr>
          <w:p>
            <w:pPr>
              <w:spacing w:after="0" w:line="195" w:lineRule="exact"/>
              <w:rPr>
                <w:rFonts w:ascii="Times New Roman" w:cs="Times New Roman" w:eastAsia="Times New Roman" w:hAnsi="Times New Roman"/>
                <w:sz w:val="18"/>
                <w:szCs w:val="18"/>
                <w:color w:val="0000FF"/>
              </w:rPr>
            </w:pPr>
            <w:hyperlink r:id="rId750">
              <w:r>
                <w:rPr>
                  <w:rFonts w:ascii="Times New Roman" w:cs="Times New Roman" w:eastAsia="Times New Roman" w:hAnsi="Times New Roman"/>
                  <w:sz w:val="18"/>
                  <w:szCs w:val="18"/>
                  <w:color w:val="0000FF"/>
                </w:rPr>
                <w:t>Form 8-K, filed April 19, 2013, File No. 1-1927).</w:t>
              </w:r>
            </w:hyperlink>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425"/>
        </w:trPr>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(s)*</w:t>
            </w:r>
          </w:p>
        </w:tc>
        <w:tc>
          <w:tcPr>
            <w:tcW w:w="91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751">
              <w:r>
                <w:rPr>
                  <w:rFonts w:ascii="Times New Roman" w:cs="Times New Roman" w:eastAsia="Times New Roman" w:hAnsi="Times New Roman"/>
                  <w:sz w:val="18"/>
                  <w:szCs w:val="18"/>
                  <w:color w:val="0000FF"/>
                </w:rPr>
                <w:t>2008 Performance Plan of the Company (incorporated by reference, filed as Exhibit 10.2 to the Company's Annual Report on</w:t>
              </w:r>
            </w:hyperlink>
          </w:p>
        </w:tc>
        <w:tc>
          <w:tcPr>
            <w:tcW w:w="1020" w:type="dxa"/>
            <w:vAlign w:val="bottom"/>
            <w:gridSpan w:val="2"/>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4940" w:type="dxa"/>
            <w:vAlign w:val="bottom"/>
            <w:tcBorders>
              <w:bottom w:val="single" w:sz="8" w:color="0000FF"/>
            </w:tcBorders>
            <w:gridSpan w:val="7"/>
          </w:tcPr>
          <w:p>
            <w:pPr>
              <w:spacing w:after="0" w:line="195" w:lineRule="exact"/>
              <w:rPr>
                <w:rFonts w:ascii="Times New Roman" w:cs="Times New Roman" w:eastAsia="Times New Roman" w:hAnsi="Times New Roman"/>
                <w:sz w:val="18"/>
                <w:szCs w:val="18"/>
                <w:color w:val="0000FF"/>
                <w:w w:val="99"/>
              </w:rPr>
            </w:pPr>
            <w:hyperlink r:id="rId751">
              <w:r>
                <w:rPr>
                  <w:rFonts w:ascii="Times New Roman" w:cs="Times New Roman" w:eastAsia="Times New Roman" w:hAnsi="Times New Roman"/>
                  <w:sz w:val="18"/>
                  <w:szCs w:val="18"/>
                  <w:color w:val="0000FF"/>
                  <w:w w:val="99"/>
                </w:rPr>
                <w:t>Form 10-K for the year ended December 31, 2010, File No. 1-1927).</w:t>
              </w:r>
            </w:hyperlink>
          </w:p>
        </w:tc>
        <w:tc>
          <w:tcPr>
            <w:tcW w:w="5220" w:type="dxa"/>
            <w:vAlign w:val="bottom"/>
            <w:gridSpan w:val="11"/>
          </w:tcPr>
          <w:p>
            <w:pPr>
              <w:spacing w:after="0"/>
              <w:rPr>
                <w:sz w:val="17"/>
                <w:szCs w:val="17"/>
                <w:color w:val="auto"/>
              </w:rPr>
            </w:pPr>
          </w:p>
        </w:tc>
      </w:tr>
      <w:tr>
        <w:trPr>
          <w:trHeight w:val="425"/>
        </w:trPr>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(t)*</w:t>
            </w:r>
          </w:p>
        </w:tc>
        <w:tc>
          <w:tcPr>
            <w:tcW w:w="10160" w:type="dxa"/>
            <w:vAlign w:val="bottom"/>
            <w:gridSpan w:val="18"/>
          </w:tcPr>
          <w:p>
            <w:pPr>
              <w:spacing w:after="0"/>
              <w:rPr>
                <w:rFonts w:ascii="Times New Roman" w:cs="Times New Roman" w:eastAsia="Times New Roman" w:hAnsi="Times New Roman"/>
                <w:sz w:val="18"/>
                <w:szCs w:val="18"/>
                <w:color w:val="0000FF"/>
              </w:rPr>
            </w:pPr>
            <w:hyperlink r:id="rId752">
              <w:r>
                <w:rPr>
                  <w:rFonts w:ascii="Times New Roman" w:cs="Times New Roman" w:eastAsia="Times New Roman" w:hAnsi="Times New Roman"/>
                  <w:sz w:val="18"/>
                  <w:szCs w:val="18"/>
                  <w:color w:val="0000FF"/>
                </w:rPr>
                <w:t>The Goodyear Tire &amp; Rubber Company Executive Annual Incentive Plan, effective as of January 1, 2019 (incorporated by</w:t>
              </w:r>
            </w:hyperlink>
          </w:p>
        </w:tc>
      </w:tr>
      <w:tr>
        <w:trPr>
          <w:trHeight w:val="196"/>
        </w:trPr>
        <w:tc>
          <w:tcPr>
            <w:tcW w:w="1080" w:type="dxa"/>
            <w:vAlign w:val="bottom"/>
          </w:tcPr>
          <w:p>
            <w:pPr>
              <w:spacing w:after="0"/>
              <w:rPr>
                <w:sz w:val="17"/>
                <w:szCs w:val="17"/>
                <w:color w:val="auto"/>
              </w:rPr>
            </w:pPr>
          </w:p>
        </w:tc>
        <w:tc>
          <w:tcPr>
            <w:tcW w:w="9120" w:type="dxa"/>
            <w:vAlign w:val="bottom"/>
            <w:tcBorders>
              <w:top w:val="single" w:sz="8" w:color="0000FF"/>
            </w:tcBorders>
            <w:gridSpan w:val="15"/>
          </w:tcPr>
          <w:p>
            <w:pPr>
              <w:spacing w:after="0" w:line="195" w:lineRule="exact"/>
              <w:rPr>
                <w:rFonts w:ascii="Times New Roman" w:cs="Times New Roman" w:eastAsia="Times New Roman" w:hAnsi="Times New Roman"/>
                <w:sz w:val="18"/>
                <w:szCs w:val="18"/>
                <w:color w:val="0000FF"/>
              </w:rPr>
            </w:pPr>
            <w:hyperlink r:id="rId752">
              <w:r>
                <w:rPr>
                  <w:rFonts w:ascii="Times New Roman" w:cs="Times New Roman" w:eastAsia="Times New Roman" w:hAnsi="Times New Roman"/>
                  <w:sz w:val="18"/>
                  <w:szCs w:val="18"/>
                  <w:color w:val="0000FF"/>
                </w:rPr>
                <w:t>reference, filed as Exhibit 10.1 to the Company’s Current Report on Form 8-K, filed December 10, 2018, File No. 1-1927).</w:t>
              </w:r>
            </w:hyperlink>
          </w:p>
        </w:tc>
        <w:tc>
          <w:tcPr>
            <w:tcW w:w="1040" w:type="dxa"/>
            <w:vAlign w:val="bottom"/>
            <w:gridSpan w:val="3"/>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1720" w:type="dxa"/>
            <w:vAlign w:val="bottom"/>
            <w:tcBorders>
              <w:right w:val="single" w:sz="8" w:color="0000FF"/>
            </w:tcBorders>
            <w:gridSpan w:val="7"/>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425"/>
        </w:trPr>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(u)*</w:t>
            </w:r>
          </w:p>
        </w:tc>
        <w:tc>
          <w:tcPr>
            <w:tcW w:w="91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753">
              <w:r>
                <w:rPr>
                  <w:rFonts w:ascii="Times New Roman" w:cs="Times New Roman" w:eastAsia="Times New Roman" w:hAnsi="Times New Roman"/>
                  <w:sz w:val="18"/>
                  <w:szCs w:val="18"/>
                  <w:color w:val="0000FF"/>
                </w:rPr>
                <w:t>Goodyear Supplementary Pension Plan (December 31, 2021 Restatement) (incorporated by reference, filed as Exhibit 10.1 to</w:t>
              </w:r>
            </w:hyperlink>
          </w:p>
        </w:tc>
        <w:tc>
          <w:tcPr>
            <w:tcW w:w="1040" w:type="dxa"/>
            <w:vAlign w:val="bottom"/>
            <w:gridSpan w:val="3"/>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160" w:type="dxa"/>
            <w:vAlign w:val="bottom"/>
            <w:gridSpan w:val="18"/>
          </w:tcPr>
          <w:p>
            <w:pPr>
              <w:spacing w:after="0" w:line="195" w:lineRule="exact"/>
              <w:rPr>
                <w:rFonts w:ascii="Times New Roman" w:cs="Times New Roman" w:eastAsia="Times New Roman" w:hAnsi="Times New Roman"/>
                <w:sz w:val="18"/>
                <w:szCs w:val="18"/>
                <w:color w:val="0000FF"/>
              </w:rPr>
            </w:pPr>
            <w:hyperlink r:id="rId753">
              <w:r>
                <w:rPr>
                  <w:rFonts w:ascii="Times New Roman" w:cs="Times New Roman" w:eastAsia="Times New Roman" w:hAnsi="Times New Roman"/>
                  <w:sz w:val="18"/>
                  <w:szCs w:val="18"/>
                  <w:color w:val="0000FF"/>
                </w:rPr>
                <w:t>the Company’s Current Report on Form 8-K, filed December 10, 2021, File No. 1-1927).</w:t>
              </w:r>
            </w:hyperlink>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1720" w:type="dxa"/>
            <w:vAlign w:val="bottom"/>
            <w:tcBorders>
              <w:right w:val="single" w:sz="8" w:color="0000EE"/>
            </w:tcBorders>
            <w:gridSpan w:val="7"/>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425"/>
        </w:trPr>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(v)*</w:t>
            </w:r>
          </w:p>
        </w:tc>
        <w:tc>
          <w:tcPr>
            <w:tcW w:w="10160" w:type="dxa"/>
            <w:vAlign w:val="bottom"/>
            <w:gridSpan w:val="18"/>
          </w:tcPr>
          <w:p>
            <w:pPr>
              <w:spacing w:after="0"/>
              <w:rPr>
                <w:rFonts w:ascii="Times New Roman" w:cs="Times New Roman" w:eastAsia="Times New Roman" w:hAnsi="Times New Roman"/>
                <w:sz w:val="18"/>
                <w:szCs w:val="18"/>
                <w:color w:val="0000FF"/>
              </w:rPr>
            </w:pPr>
            <w:hyperlink r:id="rId754">
              <w:r>
                <w:rPr>
                  <w:rFonts w:ascii="Times New Roman" w:cs="Times New Roman" w:eastAsia="Times New Roman" w:hAnsi="Times New Roman"/>
                  <w:sz w:val="18"/>
                  <w:szCs w:val="18"/>
                  <w:color w:val="0000FF"/>
                </w:rPr>
                <w:t>Defined Benefit Excess Benefit Plan of the Company, as amended and restated as of October 7, 2008, effective as of January</w:t>
              </w:r>
            </w:hyperlink>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3820" w:type="dxa"/>
            <w:vAlign w:val="bottom"/>
            <w:gridSpan w:val="8"/>
            <w:shd w:val="clear" w:color="auto" w:fill="0000FF"/>
          </w:tcPr>
          <w:p>
            <w:pPr>
              <w:spacing w:after="0" w:line="20" w:lineRule="exact"/>
              <w:rPr>
                <w:sz w:val="1"/>
                <w:szCs w:val="1"/>
                <w:color w:val="auto"/>
              </w:rPr>
            </w:pPr>
          </w:p>
        </w:tc>
        <w:tc>
          <w:tcPr>
            <w:tcW w:w="60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9140" w:type="dxa"/>
            <w:vAlign w:val="bottom"/>
            <w:tcBorders>
              <w:bottom w:val="single" w:sz="8" w:color="0000FF"/>
            </w:tcBorders>
            <w:gridSpan w:val="16"/>
          </w:tcPr>
          <w:p>
            <w:pPr>
              <w:spacing w:after="0" w:line="195" w:lineRule="exact"/>
              <w:rPr>
                <w:rFonts w:ascii="Times New Roman" w:cs="Times New Roman" w:eastAsia="Times New Roman" w:hAnsi="Times New Roman"/>
                <w:sz w:val="18"/>
                <w:szCs w:val="18"/>
                <w:color w:val="0000FF"/>
              </w:rPr>
            </w:pPr>
            <w:hyperlink r:id="rId754">
              <w:r>
                <w:rPr>
                  <w:rFonts w:ascii="Times New Roman" w:cs="Times New Roman" w:eastAsia="Times New Roman" w:hAnsi="Times New Roman"/>
                  <w:sz w:val="18"/>
                  <w:szCs w:val="18"/>
                  <w:color w:val="0000FF"/>
                </w:rPr>
                <w:t>1, 2005 (incorporated by reference, filed as Exhibit 10.11 to the Company’s Annual Report on Form 10-K for the year ended</w:t>
              </w:r>
            </w:hyperlink>
          </w:p>
        </w:tc>
        <w:tc>
          <w:tcPr>
            <w:tcW w:w="1020" w:type="dxa"/>
            <w:vAlign w:val="bottom"/>
            <w:gridSpan w:val="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160" w:type="dxa"/>
            <w:vAlign w:val="bottom"/>
            <w:gridSpan w:val="18"/>
          </w:tcPr>
          <w:p>
            <w:pPr>
              <w:spacing w:after="0" w:line="195" w:lineRule="exact"/>
              <w:rPr>
                <w:rFonts w:ascii="Times New Roman" w:cs="Times New Roman" w:eastAsia="Times New Roman" w:hAnsi="Times New Roman"/>
                <w:sz w:val="18"/>
                <w:szCs w:val="18"/>
                <w:color w:val="0000FF"/>
              </w:rPr>
            </w:pPr>
            <w:hyperlink r:id="rId754">
              <w:r>
                <w:rPr>
                  <w:rFonts w:ascii="Times New Roman" w:cs="Times New Roman" w:eastAsia="Times New Roman" w:hAnsi="Times New Roman"/>
                  <w:sz w:val="18"/>
                  <w:szCs w:val="18"/>
                  <w:color w:val="0000FF"/>
                </w:rPr>
                <w:t>December 31, 2008, File No. 1-1927).</w:t>
              </w:r>
            </w:hyperlink>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820" w:type="dxa"/>
            <w:vAlign w:val="bottom"/>
            <w:gridSpan w:val="8"/>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425"/>
        </w:trPr>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w:t>
            </w:r>
          </w:p>
        </w:tc>
        <w:tc>
          <w:tcPr>
            <w:tcW w:w="91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755">
              <w:r>
                <w:rPr>
                  <w:rFonts w:ascii="Times New Roman" w:cs="Times New Roman" w:eastAsia="Times New Roman" w:hAnsi="Times New Roman"/>
                  <w:sz w:val="18"/>
                  <w:szCs w:val="18"/>
                  <w:color w:val="0000FF"/>
                </w:rPr>
                <w:t>Defined Contribution Excess Benefit Plan of the Company, adopted October 7, 2008, effective as of January 1, 2005, as</w:t>
              </w:r>
            </w:hyperlink>
          </w:p>
        </w:tc>
        <w:tc>
          <w:tcPr>
            <w:tcW w:w="1020" w:type="dxa"/>
            <w:vAlign w:val="bottom"/>
            <w:gridSpan w:val="2"/>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9140" w:type="dxa"/>
            <w:vAlign w:val="bottom"/>
            <w:tcBorders>
              <w:bottom w:val="single" w:sz="8" w:color="0000FF"/>
            </w:tcBorders>
            <w:gridSpan w:val="16"/>
          </w:tcPr>
          <w:p>
            <w:pPr>
              <w:spacing w:after="0" w:line="195" w:lineRule="exact"/>
              <w:rPr>
                <w:rFonts w:ascii="Times New Roman" w:cs="Times New Roman" w:eastAsia="Times New Roman" w:hAnsi="Times New Roman"/>
                <w:sz w:val="18"/>
                <w:szCs w:val="18"/>
                <w:color w:val="0000FF"/>
              </w:rPr>
            </w:pPr>
            <w:hyperlink r:id="rId755">
              <w:r>
                <w:rPr>
                  <w:rFonts w:ascii="Times New Roman" w:cs="Times New Roman" w:eastAsia="Times New Roman" w:hAnsi="Times New Roman"/>
                  <w:sz w:val="18"/>
                  <w:szCs w:val="18"/>
                  <w:color w:val="0000FF"/>
                </w:rPr>
                <w:t>amended and restated effective January 1, 2022 (incorporated by reference, filed as Exhibit 10.2 to the Company's Current</w:t>
              </w:r>
            </w:hyperlink>
          </w:p>
        </w:tc>
        <w:tc>
          <w:tcPr>
            <w:tcW w:w="1020" w:type="dxa"/>
            <w:vAlign w:val="bottom"/>
            <w:gridSpan w:val="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160" w:type="dxa"/>
            <w:vAlign w:val="bottom"/>
            <w:gridSpan w:val="18"/>
          </w:tcPr>
          <w:p>
            <w:pPr>
              <w:spacing w:after="0" w:line="195" w:lineRule="exact"/>
              <w:rPr>
                <w:rFonts w:ascii="Times New Roman" w:cs="Times New Roman" w:eastAsia="Times New Roman" w:hAnsi="Times New Roman"/>
                <w:sz w:val="18"/>
                <w:szCs w:val="18"/>
                <w:color w:val="0000FF"/>
              </w:rPr>
            </w:pPr>
            <w:hyperlink r:id="rId755">
              <w:r>
                <w:rPr>
                  <w:rFonts w:ascii="Times New Roman" w:cs="Times New Roman" w:eastAsia="Times New Roman" w:hAnsi="Times New Roman"/>
                  <w:sz w:val="18"/>
                  <w:szCs w:val="18"/>
                  <w:color w:val="0000FF"/>
                </w:rPr>
                <w:t>Report on Form 8-K, filed December 10, 2021, File No. 1-1927).</w:t>
              </w:r>
            </w:hyperlink>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2720" w:type="dxa"/>
            <w:vAlign w:val="bottom"/>
            <w:tcBorders>
              <w:right w:val="single" w:sz="8" w:color="0000EE"/>
            </w:tcBorders>
            <w:gridSpan w:val="3"/>
            <w:shd w:val="clear" w:color="auto" w:fill="0000FF"/>
          </w:tcPr>
          <w:p>
            <w:pPr>
              <w:spacing w:after="0" w:line="20" w:lineRule="exact"/>
              <w:rPr>
                <w:sz w:val="1"/>
                <w:szCs w:val="1"/>
                <w:color w:val="auto"/>
              </w:rPr>
            </w:pPr>
          </w:p>
        </w:tc>
        <w:tc>
          <w:tcPr>
            <w:tcW w:w="3820" w:type="dxa"/>
            <w:vAlign w:val="bottom"/>
            <w:gridSpan w:val="8"/>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425"/>
        </w:trPr>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(x)*</w:t>
            </w:r>
          </w:p>
        </w:tc>
        <w:tc>
          <w:tcPr>
            <w:tcW w:w="10160" w:type="dxa"/>
            <w:vAlign w:val="bottom"/>
            <w:gridSpan w:val="18"/>
          </w:tcPr>
          <w:p>
            <w:pPr>
              <w:spacing w:after="0"/>
              <w:rPr>
                <w:rFonts w:ascii="Times New Roman" w:cs="Times New Roman" w:eastAsia="Times New Roman" w:hAnsi="Times New Roman"/>
                <w:sz w:val="18"/>
                <w:szCs w:val="18"/>
                <w:color w:val="0000FF"/>
              </w:rPr>
            </w:pPr>
            <w:hyperlink r:id="rId756">
              <w:r>
                <w:rPr>
                  <w:rFonts w:ascii="Times New Roman" w:cs="Times New Roman" w:eastAsia="Times New Roman" w:hAnsi="Times New Roman"/>
                  <w:sz w:val="18"/>
                  <w:szCs w:val="18"/>
                  <w:color w:val="0000FF"/>
                </w:rPr>
                <w:t>Deferred Compensation Plan for Executives, as amended and restated on October 12, 2020 (incorporated by reference, filed as</w:t>
              </w:r>
            </w:hyperlink>
          </w:p>
        </w:tc>
      </w:tr>
      <w:tr>
        <w:trPr>
          <w:trHeight w:val="196"/>
        </w:trPr>
        <w:tc>
          <w:tcPr>
            <w:tcW w:w="1080" w:type="dxa"/>
            <w:vAlign w:val="bottom"/>
          </w:tcPr>
          <w:p>
            <w:pPr>
              <w:spacing w:after="0"/>
              <w:rPr>
                <w:sz w:val="17"/>
                <w:szCs w:val="17"/>
                <w:color w:val="auto"/>
              </w:rPr>
            </w:pPr>
          </w:p>
        </w:tc>
        <w:tc>
          <w:tcPr>
            <w:tcW w:w="8520" w:type="dxa"/>
            <w:vAlign w:val="bottom"/>
            <w:tcBorders>
              <w:top w:val="single" w:sz="8" w:color="0000FF"/>
              <w:bottom w:val="single" w:sz="8" w:color="0000FF"/>
            </w:tcBorders>
            <w:gridSpan w:val="13"/>
          </w:tcPr>
          <w:p>
            <w:pPr>
              <w:spacing w:after="0" w:line="195" w:lineRule="exact"/>
              <w:rPr>
                <w:rFonts w:ascii="Times New Roman" w:cs="Times New Roman" w:eastAsia="Times New Roman" w:hAnsi="Times New Roman"/>
                <w:sz w:val="18"/>
                <w:szCs w:val="18"/>
                <w:color w:val="0000FF"/>
                <w:w w:val="99"/>
              </w:rPr>
            </w:pPr>
            <w:hyperlink r:id="rId756">
              <w:r>
                <w:rPr>
                  <w:rFonts w:ascii="Times New Roman" w:cs="Times New Roman" w:eastAsia="Times New Roman" w:hAnsi="Times New Roman"/>
                  <w:sz w:val="18"/>
                  <w:szCs w:val="18"/>
                  <w:color w:val="0000FF"/>
                  <w:w w:val="99"/>
                </w:rPr>
                <w:t>Exhibit 10.1 to the Company’s Annual Report on Form 10-K for the year ended December 31, 2020, File No. 1-1927).</w:t>
              </w:r>
            </w:hyperlink>
          </w:p>
        </w:tc>
        <w:tc>
          <w:tcPr>
            <w:tcW w:w="600" w:type="dxa"/>
            <w:vAlign w:val="bottom"/>
            <w:tcBorders>
              <w:top w:val="single" w:sz="8" w:color="0000FF"/>
            </w:tcBorders>
            <w:gridSpan w:val="2"/>
          </w:tcPr>
          <w:p>
            <w:pPr>
              <w:spacing w:after="0"/>
              <w:rPr>
                <w:sz w:val="17"/>
                <w:szCs w:val="17"/>
                <w:color w:val="auto"/>
              </w:rPr>
            </w:pPr>
          </w:p>
        </w:tc>
        <w:tc>
          <w:tcPr>
            <w:tcW w:w="1040" w:type="dxa"/>
            <w:vAlign w:val="bottom"/>
            <w:gridSpan w:val="3"/>
          </w:tcPr>
          <w:p>
            <w:pPr>
              <w:spacing w:after="0"/>
              <w:rPr>
                <w:sz w:val="17"/>
                <w:szCs w:val="17"/>
                <w:color w:val="auto"/>
              </w:rPr>
            </w:pPr>
          </w:p>
        </w:tc>
      </w:tr>
      <w:tr>
        <w:trPr>
          <w:trHeight w:val="425"/>
        </w:trPr>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(y)*</w:t>
            </w:r>
          </w:p>
        </w:tc>
        <w:tc>
          <w:tcPr>
            <w:tcW w:w="91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757">
              <w:r>
                <w:rPr>
                  <w:rFonts w:ascii="Times New Roman" w:cs="Times New Roman" w:eastAsia="Times New Roman" w:hAnsi="Times New Roman"/>
                  <w:sz w:val="18"/>
                  <w:szCs w:val="18"/>
                  <w:color w:val="0000FF"/>
                </w:rPr>
                <w:t>Outside Directors’ Equity Participation Plan, as adopted February 2, 1996 and last amended as of October 4, 2021</w:t>
              </w:r>
            </w:hyperlink>
          </w:p>
        </w:tc>
        <w:tc>
          <w:tcPr>
            <w:tcW w:w="1020" w:type="dxa"/>
            <w:vAlign w:val="bottom"/>
            <w:gridSpan w:val="2"/>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9120" w:type="dxa"/>
            <w:vAlign w:val="bottom"/>
            <w:tcBorders>
              <w:bottom w:val="single" w:sz="8" w:color="0000FF"/>
            </w:tcBorders>
            <w:gridSpan w:val="15"/>
          </w:tcPr>
          <w:p>
            <w:pPr>
              <w:spacing w:after="0" w:line="195" w:lineRule="exact"/>
              <w:rPr>
                <w:rFonts w:ascii="Times New Roman" w:cs="Times New Roman" w:eastAsia="Times New Roman" w:hAnsi="Times New Roman"/>
                <w:sz w:val="18"/>
                <w:szCs w:val="18"/>
                <w:color w:val="0000FF"/>
                <w:w w:val="99"/>
              </w:rPr>
            </w:pPr>
            <w:hyperlink r:id="rId757">
              <w:r>
                <w:rPr>
                  <w:rFonts w:ascii="Times New Roman" w:cs="Times New Roman" w:eastAsia="Times New Roman" w:hAnsi="Times New Roman"/>
                  <w:sz w:val="18"/>
                  <w:szCs w:val="18"/>
                  <w:color w:val="0000FF"/>
                  <w:w w:val="99"/>
                </w:rPr>
                <w:t>(incorporated by reference, filed as Exhibit 10.3 to the Company’s Annual Report on Form 10-K for the year ended December</w:t>
              </w:r>
            </w:hyperlink>
          </w:p>
        </w:tc>
        <w:tc>
          <w:tcPr>
            <w:tcW w:w="1040" w:type="dxa"/>
            <w:vAlign w:val="bottom"/>
            <w:gridSpan w:val="3"/>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160" w:type="dxa"/>
            <w:vAlign w:val="bottom"/>
            <w:gridSpan w:val="18"/>
          </w:tcPr>
          <w:p>
            <w:pPr>
              <w:spacing w:after="0" w:line="195" w:lineRule="exact"/>
              <w:rPr>
                <w:rFonts w:ascii="Times New Roman" w:cs="Times New Roman" w:eastAsia="Times New Roman" w:hAnsi="Times New Roman"/>
                <w:sz w:val="18"/>
                <w:szCs w:val="18"/>
                <w:color w:val="0000FF"/>
              </w:rPr>
            </w:pPr>
            <w:hyperlink r:id="rId757">
              <w:r>
                <w:rPr>
                  <w:rFonts w:ascii="Times New Roman" w:cs="Times New Roman" w:eastAsia="Times New Roman" w:hAnsi="Times New Roman"/>
                  <w:sz w:val="18"/>
                  <w:szCs w:val="18"/>
                  <w:color w:val="0000FF"/>
                </w:rPr>
                <w:t>31, 2021, File No. 1-1927).</w:t>
              </w:r>
            </w:hyperlink>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80" w:type="dxa"/>
            <w:vAlign w:val="bottom"/>
            <w:tcBorders>
              <w:right w:val="single" w:sz="8" w:color="0000EE"/>
            </w:tcBorders>
            <w:shd w:val="clear" w:color="auto" w:fill="0000FF"/>
          </w:tcPr>
          <w:p>
            <w:pPr>
              <w:spacing w:after="0" w:line="20" w:lineRule="exact"/>
              <w:rPr>
                <w:sz w:val="1"/>
                <w:szCs w:val="1"/>
                <w:color w:val="auto"/>
              </w:rPr>
            </w:pPr>
          </w:p>
        </w:tc>
        <w:tc>
          <w:tcPr>
            <w:tcW w:w="714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371"/>
        </w:trPr>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(z)*</w:t>
            </w:r>
          </w:p>
        </w:tc>
        <w:tc>
          <w:tcPr>
            <w:tcW w:w="91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758">
              <w:r>
                <w:rPr>
                  <w:rFonts w:ascii="Times New Roman" w:cs="Times New Roman" w:eastAsia="Times New Roman" w:hAnsi="Times New Roman"/>
                  <w:sz w:val="18"/>
                  <w:szCs w:val="18"/>
                  <w:color w:val="0000FF"/>
                </w:rPr>
                <w:t>The Goodyear Tire &amp; Rubber Company Executive Severance and Change in Control Plan, adopted February 28, 2013</w:t>
              </w:r>
            </w:hyperlink>
          </w:p>
        </w:tc>
        <w:tc>
          <w:tcPr>
            <w:tcW w:w="20" w:type="dxa"/>
            <w:vAlign w:val="bottom"/>
            <w:tcBorders>
              <w:bottom w:val="single" w:sz="8" w:color="0000EE"/>
            </w:tcBorders>
          </w:tcPr>
          <w:p>
            <w:pPr>
              <w:spacing w:after="0"/>
              <w:rPr>
                <w:sz w:val="24"/>
                <w:szCs w:val="24"/>
                <w:color w:val="auto"/>
              </w:rPr>
            </w:pPr>
          </w:p>
        </w:tc>
        <w:tc>
          <w:tcPr>
            <w:tcW w:w="1020" w:type="dxa"/>
            <w:vAlign w:val="bottom"/>
            <w:gridSpan w:val="2"/>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160" w:type="dxa"/>
            <w:vAlign w:val="bottom"/>
            <w:gridSpan w:val="18"/>
          </w:tcPr>
          <w:p>
            <w:pPr>
              <w:spacing w:after="0" w:line="195" w:lineRule="exact"/>
              <w:rPr>
                <w:rFonts w:ascii="Times New Roman" w:cs="Times New Roman" w:eastAsia="Times New Roman" w:hAnsi="Times New Roman"/>
                <w:sz w:val="18"/>
                <w:szCs w:val="18"/>
                <w:color w:val="0000FF"/>
              </w:rPr>
            </w:pPr>
            <w:hyperlink r:id="rId758">
              <w:r>
                <w:rPr>
                  <w:rFonts w:ascii="Times New Roman" w:cs="Times New Roman" w:eastAsia="Times New Roman" w:hAnsi="Times New Roman"/>
                  <w:sz w:val="18"/>
                  <w:szCs w:val="18"/>
                  <w:color w:val="0000FF"/>
                </w:rPr>
                <w:t>(incorporated by reference, filed as Exhibit 10.1 to the Company’s Current Report on Form 8-K, filed March 6, 2013, File No.</w:t>
              </w:r>
            </w:hyperlink>
          </w:p>
        </w:tc>
      </w:tr>
      <w:tr>
        <w:trPr>
          <w:trHeight w:val="196"/>
        </w:trPr>
        <w:tc>
          <w:tcPr>
            <w:tcW w:w="1080" w:type="dxa"/>
            <w:vAlign w:val="bottom"/>
          </w:tcPr>
          <w:p>
            <w:pPr>
              <w:spacing w:after="0"/>
              <w:rPr>
                <w:sz w:val="17"/>
                <w:szCs w:val="17"/>
                <w:color w:val="auto"/>
              </w:rPr>
            </w:pPr>
          </w:p>
        </w:tc>
        <w:tc>
          <w:tcPr>
            <w:tcW w:w="1980" w:type="dxa"/>
            <w:vAlign w:val="bottom"/>
            <w:tcBorders>
              <w:top w:val="single" w:sz="8" w:color="0000FF"/>
            </w:tcBorders>
            <w:gridSpan w:val="2"/>
          </w:tcPr>
          <w:p>
            <w:pPr>
              <w:spacing w:after="0" w:line="195" w:lineRule="exact"/>
              <w:rPr>
                <w:rFonts w:ascii="Times New Roman" w:cs="Times New Roman" w:eastAsia="Times New Roman" w:hAnsi="Times New Roman"/>
                <w:sz w:val="18"/>
                <w:szCs w:val="18"/>
                <w:color w:val="0000FF"/>
              </w:rPr>
            </w:pPr>
            <w:hyperlink r:id="rId758">
              <w:r>
                <w:rPr>
                  <w:rFonts w:ascii="Times New Roman" w:cs="Times New Roman" w:eastAsia="Times New Roman" w:hAnsi="Times New Roman"/>
                  <w:sz w:val="18"/>
                  <w:szCs w:val="18"/>
                  <w:color w:val="0000FF"/>
                </w:rPr>
                <w:t>1-1927).</w:t>
              </w:r>
            </w:hyperlink>
          </w:p>
        </w:tc>
        <w:tc>
          <w:tcPr>
            <w:tcW w:w="76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10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63"/>
        </w:trPr>
        <w:tc>
          <w:tcPr>
            <w:tcW w:w="1080" w:type="dxa"/>
            <w:vAlign w:val="bottom"/>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1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580" w:type="dxa"/>
            <w:vAlign w:val="bottom"/>
            <w:gridSpan w:val="14"/>
          </w:tcPr>
          <w:p>
            <w:pPr>
              <w:ind w:left="820"/>
              <w:spacing w:after="0"/>
              <w:rPr>
                <w:sz w:val="20"/>
                <w:szCs w:val="20"/>
                <w:color w:val="auto"/>
              </w:rPr>
            </w:pPr>
            <w:r>
              <w:rPr>
                <w:rFonts w:ascii="Times New Roman" w:cs="Times New Roman" w:eastAsia="Times New Roman" w:hAnsi="Times New Roman"/>
                <w:sz w:val="18"/>
                <w:szCs w:val="18"/>
                <w:color w:val="auto"/>
              </w:rPr>
              <w:t>X-4</w:t>
            </w:r>
          </w:p>
        </w:tc>
      </w:tr>
      <w:tr>
        <w:trPr>
          <w:trHeight w:val="115"/>
        </w:trPr>
        <w:tc>
          <w:tcPr>
            <w:tcW w:w="10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61">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(aa)*</w:t>
            </w:r>
          </w:p>
        </w:tc>
        <w:tc>
          <w:tcPr>
            <w:tcW w:w="91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rPr>
            </w:pPr>
            <w:hyperlink r:id="rId762">
              <w:r>
                <w:rPr>
                  <w:rFonts w:ascii="Times New Roman" w:cs="Times New Roman" w:eastAsia="Times New Roman" w:hAnsi="Times New Roman"/>
                  <w:sz w:val="18"/>
                  <w:szCs w:val="18"/>
                  <w:color w:val="0000FF"/>
                </w:rPr>
                <w:t>Retention Agreement, dated May 24, 2021, between the Company and Darren R. Wells (incorporated by reference, filed as</w:t>
              </w:r>
            </w:hyperlink>
          </w:p>
        </w:tc>
      </w:tr>
      <w:tr>
        <w:trPr>
          <w:trHeight w:val="196"/>
        </w:trPr>
        <w:tc>
          <w:tcPr>
            <w:tcW w:w="800" w:type="dxa"/>
            <w:vAlign w:val="bottom"/>
          </w:tcPr>
          <w:p>
            <w:pPr>
              <w:spacing w:after="0"/>
              <w:rPr>
                <w:sz w:val="17"/>
                <w:szCs w:val="17"/>
                <w:color w:val="auto"/>
              </w:rPr>
            </w:pPr>
          </w:p>
        </w:tc>
        <w:tc>
          <w:tcPr>
            <w:tcW w:w="7120" w:type="dxa"/>
            <w:vAlign w:val="bottom"/>
            <w:tcBorders>
              <w:bottom w:val="single" w:sz="8" w:color="0000FF"/>
            </w:tcBorders>
          </w:tcPr>
          <w:p>
            <w:pPr>
              <w:spacing w:after="0" w:line="195" w:lineRule="exact"/>
              <w:rPr>
                <w:rFonts w:ascii="Times New Roman" w:cs="Times New Roman" w:eastAsia="Times New Roman" w:hAnsi="Times New Roman"/>
                <w:sz w:val="18"/>
                <w:szCs w:val="18"/>
                <w:color w:val="0000FF"/>
                <w:w w:val="99"/>
              </w:rPr>
            </w:pPr>
            <w:hyperlink r:id="rId762">
              <w:r>
                <w:rPr>
                  <w:rFonts w:ascii="Times New Roman" w:cs="Times New Roman" w:eastAsia="Times New Roman" w:hAnsi="Times New Roman"/>
                  <w:sz w:val="18"/>
                  <w:szCs w:val="18"/>
                  <w:color w:val="0000FF"/>
                  <w:w w:val="99"/>
                </w:rPr>
                <w:t>Exhibit 10.1 to the Company’s Current Report on Form 8-K, filed May 27, 2021, File No. 1-1927).</w:t>
              </w:r>
            </w:hyperlink>
          </w:p>
        </w:tc>
        <w:tc>
          <w:tcPr>
            <w:tcW w:w="2000" w:type="dxa"/>
            <w:vAlign w:val="bottom"/>
            <w:gridSpan w:val="2"/>
          </w:tcPr>
          <w:p>
            <w:pPr>
              <w:spacing w:after="0"/>
              <w:rPr>
                <w:sz w:val="17"/>
                <w:szCs w:val="17"/>
                <w:color w:val="auto"/>
              </w:rPr>
            </w:pPr>
          </w:p>
        </w:tc>
      </w:tr>
      <w:tr>
        <w:trPr>
          <w:trHeight w:val="42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(bb)*</w:t>
            </w:r>
          </w:p>
        </w:tc>
        <w:tc>
          <w:tcPr>
            <w:tcW w:w="91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rPr>
            </w:pPr>
            <w:hyperlink r:id="rId763">
              <w:r>
                <w:rPr>
                  <w:rFonts w:ascii="Times New Roman" w:cs="Times New Roman" w:eastAsia="Times New Roman" w:hAnsi="Times New Roman"/>
                  <w:sz w:val="18"/>
                  <w:szCs w:val="18"/>
                  <w:color w:val="0000FF"/>
                </w:rPr>
                <w:t>Retention Agreement, dated May 24, 2021, between the Company and Richard J. Kramer (incorporated by reference, filed as</w:t>
              </w:r>
            </w:hyperlink>
          </w:p>
        </w:tc>
      </w:tr>
      <w:tr>
        <w:trPr>
          <w:trHeight w:val="196"/>
        </w:trPr>
        <w:tc>
          <w:tcPr>
            <w:tcW w:w="800" w:type="dxa"/>
            <w:vAlign w:val="bottom"/>
          </w:tcPr>
          <w:p>
            <w:pPr>
              <w:spacing w:after="0"/>
              <w:rPr>
                <w:sz w:val="17"/>
                <w:szCs w:val="17"/>
                <w:color w:val="auto"/>
              </w:rPr>
            </w:pPr>
          </w:p>
        </w:tc>
        <w:tc>
          <w:tcPr>
            <w:tcW w:w="7120" w:type="dxa"/>
            <w:vAlign w:val="bottom"/>
            <w:tcBorders>
              <w:bottom w:val="single" w:sz="8" w:color="0000FF"/>
            </w:tcBorders>
          </w:tcPr>
          <w:p>
            <w:pPr>
              <w:spacing w:after="0" w:line="195" w:lineRule="exact"/>
              <w:rPr>
                <w:rFonts w:ascii="Times New Roman" w:cs="Times New Roman" w:eastAsia="Times New Roman" w:hAnsi="Times New Roman"/>
                <w:sz w:val="18"/>
                <w:szCs w:val="18"/>
                <w:color w:val="0000FF"/>
                <w:w w:val="99"/>
              </w:rPr>
            </w:pPr>
            <w:hyperlink r:id="rId763">
              <w:r>
                <w:rPr>
                  <w:rFonts w:ascii="Times New Roman" w:cs="Times New Roman" w:eastAsia="Times New Roman" w:hAnsi="Times New Roman"/>
                  <w:sz w:val="18"/>
                  <w:szCs w:val="18"/>
                  <w:color w:val="0000FF"/>
                  <w:w w:val="99"/>
                </w:rPr>
                <w:t>Exhibit 10.2 to the Company’s Current Report on Form 8-K, filed May 27, 2021, File No. 1-1927).</w:t>
              </w:r>
            </w:hyperlink>
          </w:p>
        </w:tc>
        <w:tc>
          <w:tcPr>
            <w:tcW w:w="2000" w:type="dxa"/>
            <w:vAlign w:val="bottom"/>
            <w:gridSpan w:val="2"/>
          </w:tcPr>
          <w:p>
            <w:pPr>
              <w:spacing w:after="0"/>
              <w:rPr>
                <w:sz w:val="17"/>
                <w:szCs w:val="17"/>
                <w:color w:val="auto"/>
              </w:rPr>
            </w:pPr>
          </w:p>
        </w:tc>
      </w:tr>
      <w:tr>
        <w:trPr>
          <w:trHeight w:val="42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(cc)*</w:t>
            </w:r>
          </w:p>
        </w:tc>
        <w:tc>
          <w:tcPr>
            <w:tcW w:w="91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rPr>
            </w:pPr>
            <w:hyperlink r:id="rId764">
              <w:r>
                <w:rPr>
                  <w:rFonts w:ascii="Times New Roman" w:cs="Times New Roman" w:eastAsia="Times New Roman" w:hAnsi="Times New Roman"/>
                  <w:sz w:val="18"/>
                  <w:szCs w:val="18"/>
                  <w:color w:val="0000FF"/>
                </w:rPr>
                <w:t>Retention Agreement, dated May 24, 2021, between the Company and Stephen R. McClellan (incorporated by reference, filed</w:t>
              </w:r>
            </w:hyperlink>
          </w:p>
        </w:tc>
      </w:tr>
      <w:tr>
        <w:trPr>
          <w:trHeight w:val="196"/>
        </w:trPr>
        <w:tc>
          <w:tcPr>
            <w:tcW w:w="800" w:type="dxa"/>
            <w:vAlign w:val="bottom"/>
          </w:tcPr>
          <w:p>
            <w:pPr>
              <w:spacing w:after="0"/>
              <w:rPr>
                <w:sz w:val="17"/>
                <w:szCs w:val="17"/>
                <w:color w:val="auto"/>
              </w:rPr>
            </w:pPr>
          </w:p>
        </w:tc>
        <w:tc>
          <w:tcPr>
            <w:tcW w:w="9120" w:type="dxa"/>
            <w:vAlign w:val="bottom"/>
            <w:gridSpan w:val="3"/>
          </w:tcPr>
          <w:p>
            <w:pPr>
              <w:spacing w:after="0" w:line="195" w:lineRule="exact"/>
              <w:rPr>
                <w:rFonts w:ascii="Times New Roman" w:cs="Times New Roman" w:eastAsia="Times New Roman" w:hAnsi="Times New Roman"/>
                <w:sz w:val="18"/>
                <w:szCs w:val="18"/>
                <w:color w:val="0000FF"/>
              </w:rPr>
            </w:pPr>
            <w:hyperlink r:id="rId764">
              <w:r>
                <w:rPr>
                  <w:rFonts w:ascii="Times New Roman" w:cs="Times New Roman" w:eastAsia="Times New Roman" w:hAnsi="Times New Roman"/>
                  <w:sz w:val="18"/>
                  <w:szCs w:val="18"/>
                  <w:color w:val="0000FF"/>
                </w:rPr>
                <w:t>as Exhibit 10.3 to the Company’s Current Report on Form 8-K, filed May 27, 2021, File No. 1-1927).</w:t>
              </w:r>
            </w:hyperlink>
          </w:p>
        </w:tc>
      </w:tr>
      <w:tr>
        <w:trPr>
          <w:trHeight w:val="20"/>
        </w:trPr>
        <w:tc>
          <w:tcPr>
            <w:tcW w:w="800" w:type="dxa"/>
            <w:vAlign w:val="bottom"/>
          </w:tcPr>
          <w:p>
            <w:pPr>
              <w:spacing w:after="0" w:line="20" w:lineRule="exact"/>
              <w:rPr>
                <w:sz w:val="1"/>
                <w:szCs w:val="1"/>
                <w:color w:val="auto"/>
              </w:rPr>
            </w:pPr>
          </w:p>
        </w:tc>
        <w:tc>
          <w:tcPr>
            <w:tcW w:w="71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34" w:lineRule="exact"/>
        <w:rPr>
          <w:sz w:val="20"/>
          <w:szCs w:val="20"/>
          <w:color w:val="auto"/>
        </w:rPr>
      </w:pPr>
    </w:p>
    <w:p>
      <w:pPr>
        <w:ind w:left="1080" w:hanging="70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Subsidiaries</w:t>
      </w:r>
    </w:p>
    <w:p>
      <w:pPr>
        <w:spacing w:after="0" w:line="200" w:lineRule="exact"/>
        <w:rPr>
          <w:sz w:val="20"/>
          <w:szCs w:val="20"/>
          <w:color w:val="auto"/>
        </w:rPr>
      </w:pPr>
    </w:p>
    <w:p>
      <w:pPr>
        <w:spacing w:after="0" w:line="258" w:lineRule="exact"/>
        <w:rPr>
          <w:sz w:val="20"/>
          <w:szCs w:val="20"/>
          <w:color w:val="auto"/>
        </w:rPr>
      </w:pPr>
    </w:p>
    <w:p>
      <w:pPr>
        <w:ind w:left="360"/>
        <w:spacing w:after="0"/>
        <w:tabs>
          <w:tab w:leader="none" w:pos="1060" w:val="left"/>
          <w:tab w:leader="none" w:pos="106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0000FF"/>
        </w:rPr>
        <w:t>List of Subsidiaries of the Company at December 31, 2022.</w:t>
      </w:r>
      <w:r>
        <w:rPr>
          <w:sz w:val="20"/>
          <w:szCs w:val="20"/>
          <w:color w:val="auto"/>
        </w:rPr>
        <w:tab/>
      </w:r>
      <w:r>
        <w:rPr>
          <w:rFonts w:ascii="Times New Roman" w:cs="Times New Roman" w:eastAsia="Times New Roman" w:hAnsi="Times New Roman"/>
          <w:sz w:val="17"/>
          <w:szCs w:val="17"/>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-7620</wp:posOffset>
            </wp:positionV>
            <wp:extent cx="271589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65">
                      <a:extLst>
                        <a:ext uri="{28A0092B-C50C-407E-A947-70E740481C1C}"/>
                      </a:extLst>
                    </a:blip>
                    <a:srcRect/>
                    <a:stretch>
                      <a:fillRect/>
                    </a:stretch>
                  </pic:blipFill>
                  <pic:spPr bwMode="auto">
                    <a:xfrm>
                      <a:off x="0" y="0"/>
                      <a:ext cx="271589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080" w:hanging="70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Subsidiary Guarantors of Guaranteed Securities</w:t>
      </w:r>
    </w:p>
    <w:p>
      <w:pPr>
        <w:spacing w:after="0" w:line="200" w:lineRule="exact"/>
        <w:rPr>
          <w:sz w:val="20"/>
          <w:szCs w:val="20"/>
          <w:color w:val="auto"/>
        </w:rPr>
      </w:pPr>
    </w:p>
    <w:p>
      <w:pPr>
        <w:spacing w:after="0" w:line="258" w:lineRule="exact"/>
        <w:rPr>
          <w:sz w:val="20"/>
          <w:szCs w:val="20"/>
          <w:color w:val="auto"/>
        </w:rPr>
      </w:pPr>
    </w:p>
    <w:p>
      <w:pPr>
        <w:ind w:left="360"/>
        <w:spacing w:after="0"/>
        <w:tabs>
          <w:tab w:leader="none" w:pos="1060" w:val="left"/>
          <w:tab w:leader="none" w:pos="106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0000FF"/>
        </w:rPr>
        <w:t>List of Subsidiary Guarantors.</w:t>
      </w:r>
      <w:r>
        <w:rPr>
          <w:sz w:val="20"/>
          <w:szCs w:val="20"/>
          <w:color w:val="auto"/>
        </w:rPr>
        <w:tab/>
      </w:r>
      <w:r>
        <w:rPr>
          <w:rFonts w:ascii="Times New Roman" w:cs="Times New Roman" w:eastAsia="Times New Roman" w:hAnsi="Times New Roman"/>
          <w:sz w:val="17"/>
          <w:szCs w:val="17"/>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-7620</wp:posOffset>
            </wp:positionV>
            <wp:extent cx="138176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66">
                      <a:extLst>
                        <a:ext uri="{28A0092B-C50C-407E-A947-70E740481C1C}"/>
                      </a:extLst>
                    </a:blip>
                    <a:srcRect/>
                    <a:stretch>
                      <a:fillRect/>
                    </a:stretch>
                  </pic:blipFill>
                  <pic:spPr bwMode="auto">
                    <a:xfrm>
                      <a:off x="0" y="0"/>
                      <a:ext cx="13817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080" w:hanging="70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Consents</w:t>
      </w:r>
    </w:p>
    <w:p>
      <w:pPr>
        <w:spacing w:after="0" w:line="200" w:lineRule="exact"/>
        <w:rPr>
          <w:sz w:val="20"/>
          <w:szCs w:val="20"/>
          <w:color w:val="auto"/>
        </w:rPr>
      </w:pPr>
    </w:p>
    <w:p>
      <w:pPr>
        <w:spacing w:after="0" w:line="258" w:lineRule="exact"/>
        <w:rPr>
          <w:sz w:val="20"/>
          <w:szCs w:val="20"/>
          <w:color w:val="auto"/>
        </w:rPr>
      </w:pPr>
    </w:p>
    <w:p>
      <w:pPr>
        <w:ind w:left="360"/>
        <w:spacing w:after="0"/>
        <w:tabs>
          <w:tab w:leader="none" w:pos="1060" w:val="left"/>
          <w:tab w:leader="none" w:pos="106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0000FF"/>
        </w:rPr>
        <w:t>Consent of PricewaterhouseCoopers LLP.</w:t>
      </w:r>
      <w:r>
        <w:rPr>
          <w:sz w:val="20"/>
          <w:szCs w:val="20"/>
          <w:color w:val="auto"/>
        </w:rPr>
        <w:tab/>
      </w:r>
      <w:r>
        <w:rPr>
          <w:rFonts w:ascii="Times New Roman" w:cs="Times New Roman" w:eastAsia="Times New Roman" w:hAnsi="Times New Roman"/>
          <w:sz w:val="17"/>
          <w:szCs w:val="17"/>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-7620</wp:posOffset>
            </wp:positionV>
            <wp:extent cx="190817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67">
                      <a:extLst>
                        <a:ext uri="{28A0092B-C50C-407E-A947-70E740481C1C}"/>
                      </a:extLst>
                    </a:blip>
                    <a:srcRect/>
                    <a:stretch>
                      <a:fillRect/>
                    </a:stretch>
                  </pic:blipFill>
                  <pic:spPr bwMode="auto">
                    <a:xfrm>
                      <a:off x="0" y="0"/>
                      <a:ext cx="190817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080" w:hanging="70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Powers of Attorney</w:t>
      </w:r>
    </w:p>
    <w:p>
      <w:pPr>
        <w:spacing w:after="0" w:line="200" w:lineRule="exact"/>
        <w:rPr>
          <w:sz w:val="20"/>
          <w:szCs w:val="20"/>
          <w:color w:val="auto"/>
        </w:rPr>
      </w:pPr>
    </w:p>
    <w:p>
      <w:pPr>
        <w:spacing w:after="0" w:line="258" w:lineRule="exact"/>
        <w:rPr>
          <w:sz w:val="20"/>
          <w:szCs w:val="20"/>
          <w:color w:val="auto"/>
        </w:rPr>
      </w:pPr>
    </w:p>
    <w:p>
      <w:pPr>
        <w:ind w:left="360"/>
        <w:spacing w:after="0"/>
        <w:tabs>
          <w:tab w:leader="none" w:pos="1060" w:val="left"/>
          <w:tab w:leader="none" w:pos="106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0000FF"/>
        </w:rPr>
        <w:t>Power of Attorney of Officers and Directors signing this report.</w:t>
      </w:r>
      <w:r>
        <w:rPr>
          <w:sz w:val="20"/>
          <w:szCs w:val="20"/>
          <w:color w:val="auto"/>
        </w:rPr>
        <w:tab/>
      </w:r>
      <w:r>
        <w:rPr>
          <w:rFonts w:ascii="Times New Roman" w:cs="Times New Roman" w:eastAsia="Times New Roman" w:hAnsi="Times New Roman"/>
          <w:sz w:val="17"/>
          <w:szCs w:val="17"/>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-7620</wp:posOffset>
            </wp:positionV>
            <wp:extent cx="290703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68">
                      <a:extLst>
                        <a:ext uri="{28A0092B-C50C-407E-A947-70E740481C1C}"/>
                      </a:extLst>
                    </a:blip>
                    <a:srcRect/>
                    <a:stretch>
                      <a:fillRect/>
                    </a:stretch>
                  </pic:blipFill>
                  <pic:spPr bwMode="auto">
                    <a:xfrm>
                      <a:off x="0" y="0"/>
                      <a:ext cx="290703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080" w:hanging="70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Rule 13a-14(a) Certifications</w:t>
      </w:r>
    </w:p>
    <w:p>
      <w:pPr>
        <w:spacing w:after="0" w:line="200" w:lineRule="exact"/>
        <w:rPr>
          <w:sz w:val="20"/>
          <w:szCs w:val="20"/>
          <w:color w:val="auto"/>
        </w:rPr>
      </w:pPr>
    </w:p>
    <w:p>
      <w:pPr>
        <w:spacing w:after="0" w:line="244"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87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Certificate of Chief Executive Officer pursuant to Rule 13a-14(a) under the Securities Exchange Act of 1934.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64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78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Certificate of Chief Financial Officer pursuant to Rule 13a-14(a) under the Securities Exchange Act of 1934.</w:t>
            </w:r>
          </w:p>
        </w:tc>
        <w:tc>
          <w:tcPr>
            <w:tcW w:w="20" w:type="dxa"/>
            <w:vAlign w:val="bottom"/>
            <w:tcBorders>
              <w:top w:val="single" w:sz="8" w:color="0000FF"/>
              <w:bottom w:val="single" w:sz="8" w:color="0000EE"/>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bl>
    <w:p>
      <w:pPr>
        <w:spacing w:after="0" w:line="200" w:lineRule="exact"/>
        <w:rPr>
          <w:sz w:val="20"/>
          <w:szCs w:val="20"/>
          <w:color w:val="auto"/>
        </w:rPr>
      </w:pPr>
    </w:p>
    <w:p>
      <w:pPr>
        <w:spacing w:after="0" w:line="250" w:lineRule="exact"/>
        <w:rPr>
          <w:sz w:val="20"/>
          <w:szCs w:val="20"/>
          <w:color w:val="auto"/>
        </w:rPr>
      </w:pPr>
    </w:p>
    <w:p>
      <w:pPr>
        <w:ind w:left="1080" w:hanging="70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1350 Certifications</w:t>
      </w:r>
    </w:p>
    <w:p>
      <w:pPr>
        <w:spacing w:after="0" w:line="200" w:lineRule="exact"/>
        <w:rPr>
          <w:sz w:val="20"/>
          <w:szCs w:val="20"/>
          <w:color w:val="auto"/>
        </w:rPr>
      </w:pPr>
    </w:p>
    <w:p>
      <w:pPr>
        <w:spacing w:after="0" w:line="258" w:lineRule="exact"/>
        <w:rPr>
          <w:sz w:val="20"/>
          <w:szCs w:val="20"/>
          <w:color w:val="auto"/>
        </w:rPr>
      </w:pPr>
    </w:p>
    <w:p>
      <w:pPr>
        <w:ind w:left="360"/>
        <w:spacing w:after="0"/>
        <w:tabs>
          <w:tab w:leader="none" w:pos="1060" w:val="left"/>
          <w:tab w:leader="none" w:pos="106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0000FF"/>
        </w:rPr>
        <w:t>Certificate of Chief Executive Officer and Chief Financial Officer pursuant to Rule 13a-14(b) under the Securities Exchange</w:t>
      </w:r>
      <w:r>
        <w:rPr>
          <w:sz w:val="20"/>
          <w:szCs w:val="20"/>
          <w:color w:val="auto"/>
        </w:rPr>
        <w:tab/>
      </w:r>
      <w:r>
        <w:rPr>
          <w:rFonts w:ascii="Times New Roman" w:cs="Times New Roman" w:eastAsia="Times New Roman" w:hAnsi="Times New Roman"/>
          <w:sz w:val="17"/>
          <w:szCs w:val="17"/>
          <w:color w:val="auto"/>
        </w:rPr>
        <w:t>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-7620</wp:posOffset>
            </wp:positionV>
            <wp:extent cx="578993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69">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spacing w:after="0" w:line="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u w:val="single" w:color="auto"/>
          <w:color w:val="0000FF"/>
        </w:rPr>
        <w:t>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-19685</wp:posOffset>
            </wp:positionV>
            <wp:extent cx="57340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70">
                      <a:extLst>
                        <a:ext uri="{28A0092B-C50C-407E-A947-70E740481C1C}"/>
                      </a:extLst>
                    </a:blip>
                    <a:srcRect/>
                    <a:stretch>
                      <a:fillRect/>
                    </a:stretch>
                  </pic:blipFill>
                  <pic:spPr bwMode="auto">
                    <a:xfrm>
                      <a:off x="0" y="0"/>
                      <a:ext cx="573405"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X-5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18" w:right="6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72">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101</w:t>
            </w:r>
          </w:p>
        </w:tc>
        <w:tc>
          <w:tcPr>
            <w:tcW w:w="94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Interactive Data Files</w:t>
            </w:r>
          </w:p>
        </w:tc>
        <w:tc>
          <w:tcPr>
            <w:tcW w:w="800" w:type="dxa"/>
            <w:vAlign w:val="bottom"/>
          </w:tcPr>
          <w:p>
            <w:pPr>
              <w:spacing w:after="0"/>
              <w:rPr>
                <w:sz w:val="20"/>
                <w:szCs w:val="20"/>
                <w:color w:val="auto"/>
              </w:rPr>
            </w:pPr>
          </w:p>
        </w:tc>
      </w:tr>
      <w:tr>
        <w:trPr>
          <w:trHeight w:val="642"/>
        </w:trPr>
        <w:tc>
          <w:tcPr>
            <w:tcW w:w="500" w:type="dxa"/>
            <w:vAlign w:val="bottom"/>
          </w:tcPr>
          <w:p>
            <w:pPr>
              <w:spacing w:after="0"/>
              <w:rPr>
                <w:sz w:val="24"/>
                <w:szCs w:val="24"/>
                <w:color w:val="auto"/>
              </w:rPr>
            </w:pPr>
          </w:p>
        </w:tc>
        <w:tc>
          <w:tcPr>
            <w:tcW w:w="9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w:t>
            </w:r>
          </w:p>
        </w:tc>
        <w:tc>
          <w:tcPr>
            <w:tcW w:w="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101.INS</w:t>
            </w:r>
          </w:p>
        </w:tc>
      </w:tr>
      <w:tr>
        <w:trPr>
          <w:trHeight w:val="234"/>
        </w:trPr>
        <w:tc>
          <w:tcPr>
            <w:tcW w:w="500" w:type="dxa"/>
            <w:vAlign w:val="bottom"/>
          </w:tcPr>
          <w:p>
            <w:pPr>
              <w:spacing w:after="0"/>
              <w:rPr>
                <w:sz w:val="20"/>
                <w:szCs w:val="20"/>
                <w:color w:val="auto"/>
              </w:rPr>
            </w:pPr>
          </w:p>
        </w:tc>
        <w:tc>
          <w:tcPr>
            <w:tcW w:w="9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800" w:type="dxa"/>
            <w:vAlign w:val="bottom"/>
          </w:tcPr>
          <w:p>
            <w:pPr>
              <w:spacing w:after="0"/>
              <w:rPr>
                <w:sz w:val="20"/>
                <w:szCs w:val="20"/>
                <w:color w:val="auto"/>
              </w:rPr>
            </w:pPr>
          </w:p>
        </w:tc>
      </w:tr>
      <w:tr>
        <w:trPr>
          <w:trHeight w:val="445"/>
        </w:trPr>
        <w:tc>
          <w:tcPr>
            <w:tcW w:w="500" w:type="dxa"/>
            <w:vAlign w:val="bottom"/>
          </w:tcPr>
          <w:p>
            <w:pPr>
              <w:spacing w:after="0"/>
              <w:rPr>
                <w:sz w:val="24"/>
                <w:szCs w:val="24"/>
                <w:color w:val="auto"/>
              </w:rPr>
            </w:pPr>
          </w:p>
        </w:tc>
        <w:tc>
          <w:tcPr>
            <w:tcW w:w="9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101.SCH</w:t>
            </w:r>
          </w:p>
        </w:tc>
      </w:tr>
      <w:tr>
        <w:trPr>
          <w:trHeight w:val="661"/>
        </w:trPr>
        <w:tc>
          <w:tcPr>
            <w:tcW w:w="500" w:type="dxa"/>
            <w:vAlign w:val="bottom"/>
          </w:tcPr>
          <w:p>
            <w:pPr>
              <w:spacing w:after="0"/>
              <w:rPr>
                <w:sz w:val="24"/>
                <w:szCs w:val="24"/>
                <w:color w:val="auto"/>
              </w:rPr>
            </w:pPr>
          </w:p>
        </w:tc>
        <w:tc>
          <w:tcPr>
            <w:tcW w:w="9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101.CAL</w:t>
            </w:r>
          </w:p>
        </w:tc>
      </w:tr>
      <w:tr>
        <w:trPr>
          <w:trHeight w:val="661"/>
        </w:trPr>
        <w:tc>
          <w:tcPr>
            <w:tcW w:w="500" w:type="dxa"/>
            <w:vAlign w:val="bottom"/>
          </w:tcPr>
          <w:p>
            <w:pPr>
              <w:spacing w:after="0"/>
              <w:rPr>
                <w:sz w:val="24"/>
                <w:szCs w:val="24"/>
                <w:color w:val="auto"/>
              </w:rPr>
            </w:pPr>
          </w:p>
        </w:tc>
        <w:tc>
          <w:tcPr>
            <w:tcW w:w="9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101.DEF</w:t>
            </w:r>
          </w:p>
        </w:tc>
      </w:tr>
      <w:tr>
        <w:trPr>
          <w:trHeight w:val="661"/>
        </w:trPr>
        <w:tc>
          <w:tcPr>
            <w:tcW w:w="500" w:type="dxa"/>
            <w:vAlign w:val="bottom"/>
          </w:tcPr>
          <w:p>
            <w:pPr>
              <w:spacing w:after="0"/>
              <w:rPr>
                <w:sz w:val="24"/>
                <w:szCs w:val="24"/>
                <w:color w:val="auto"/>
              </w:rPr>
            </w:pPr>
          </w:p>
        </w:tc>
        <w:tc>
          <w:tcPr>
            <w:tcW w:w="9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101.LAB</w:t>
            </w:r>
          </w:p>
        </w:tc>
      </w:tr>
      <w:tr>
        <w:trPr>
          <w:trHeight w:val="661"/>
        </w:trPr>
        <w:tc>
          <w:tcPr>
            <w:tcW w:w="500" w:type="dxa"/>
            <w:vAlign w:val="bottom"/>
          </w:tcPr>
          <w:p>
            <w:pPr>
              <w:spacing w:after="0"/>
              <w:rPr>
                <w:sz w:val="24"/>
                <w:szCs w:val="24"/>
                <w:color w:val="auto"/>
              </w:rPr>
            </w:pPr>
          </w:p>
        </w:tc>
        <w:tc>
          <w:tcPr>
            <w:tcW w:w="9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101.PRE</w:t>
            </w:r>
          </w:p>
        </w:tc>
      </w:tr>
    </w:tbl>
    <w:p>
      <w:pPr>
        <w:spacing w:after="0" w:line="200" w:lineRule="exact"/>
        <w:rPr>
          <w:sz w:val="20"/>
          <w:szCs w:val="20"/>
          <w:color w:val="auto"/>
        </w:rPr>
      </w:pPr>
    </w:p>
    <w:p>
      <w:pPr>
        <w:spacing w:after="0" w:line="223" w:lineRule="exact"/>
        <w:rPr>
          <w:sz w:val="20"/>
          <w:szCs w:val="20"/>
          <w:color w:val="auto"/>
        </w:rPr>
      </w:pPr>
    </w:p>
    <w:p>
      <w:pPr>
        <w:ind w:left="1080" w:hanging="749"/>
        <w:spacing w:after="0"/>
        <w:tabs>
          <w:tab w:leader="none" w:pos="10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Cover Page Interactive Data File</w:t>
      </w: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1080" w:right="106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Annual Report on Form 10-K for the year ended December 31, 2022, formatted in Inline XBRL (included as Exhibit 101).</w:t>
      </w:r>
    </w:p>
    <w:p>
      <w:pPr>
        <w:spacing w:after="0" w:line="9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116" w:lineRule="exact"/>
        <w:rPr>
          <w:rFonts w:ascii="Times New Roman" w:cs="Times New Roman" w:eastAsia="Times New Roman" w:hAnsi="Times New Roman"/>
          <w:sz w:val="18"/>
          <w:szCs w:val="18"/>
          <w:color w:val="auto"/>
        </w:rPr>
      </w:pPr>
    </w:p>
    <w:p>
      <w:pPr>
        <w:ind w:firstLine="8"/>
        <w:spacing w:after="0" w:line="260" w:lineRule="auto"/>
        <w:tabs>
          <w:tab w:leader="none" w:pos="23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601(a)(5) of Regulation S-K, certain schedules and similar attachments have been omitted. The registrant hereby agrees to furnish a copy of any omitted schedule or similar attachment to the SEC upon request.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4706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74">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55"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7"/>
          <w:szCs w:val="17"/>
          <w:color w:val="auto"/>
        </w:rPr>
        <w:t>THE GOODYEAR TIRE &amp; RUBBER COMPANY</w:t>
      </w:r>
    </w:p>
    <w:p>
      <w:pPr>
        <w:spacing w:after="0" w:line="3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tabs>
          <w:tab w:leader="none" w:pos="680" w:val="left"/>
          <w:tab w:leader="none" w:pos="8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13, 2023</w:t>
      </w:r>
      <w:r>
        <w:rPr>
          <w:sz w:val="20"/>
          <w:szCs w:val="20"/>
          <w:color w:val="auto"/>
        </w:rPr>
        <w:tab/>
      </w:r>
      <w:r>
        <w:rPr>
          <w:rFonts w:ascii="Times New Roman" w:cs="Times New Roman" w:eastAsia="Times New Roman" w:hAnsi="Times New Roman"/>
          <w:sz w:val="18"/>
          <w:szCs w:val="18"/>
          <w:color w:val="auto"/>
        </w:rPr>
        <w:t>/s/ R</w:t>
      </w:r>
      <w:r>
        <w:rPr>
          <w:rFonts w:ascii="Times New Roman" w:cs="Times New Roman" w:eastAsia="Times New Roman" w:hAnsi="Times New Roman"/>
          <w:sz w:val="14"/>
          <w:szCs w:val="14"/>
          <w:color w:val="auto"/>
        </w:rPr>
        <w:t>ICHARD</w:t>
      </w:r>
      <w:r>
        <w:rPr>
          <w:rFonts w:ascii="Times New Roman" w:cs="Times New Roman" w:eastAsia="Times New Roman" w:hAnsi="Times New Roman"/>
          <w:sz w:val="18"/>
          <w:szCs w:val="18"/>
          <w:color w:val="auto"/>
        </w:rPr>
        <w:t xml:space="preserve"> J. K</w:t>
      </w:r>
      <w:r>
        <w:rPr>
          <w:rFonts w:ascii="Times New Roman" w:cs="Times New Roman" w:eastAsia="Times New Roman" w:hAnsi="Times New Roman"/>
          <w:sz w:val="14"/>
          <w:szCs w:val="14"/>
          <w:color w:val="auto"/>
        </w:rPr>
        <w:t>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34290</wp:posOffset>
            </wp:positionV>
            <wp:extent cx="277431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75">
                      <a:extLst>
                        <a:ext uri="{28A0092B-C50C-407E-A947-70E740481C1C}"/>
                      </a:extLst>
                    </a:blip>
                    <a:srcRect/>
                    <a:stretch>
                      <a:fillRect/>
                    </a:stretch>
                  </pic:blipFill>
                  <pic:spPr bwMode="auto">
                    <a:xfrm>
                      <a:off x="0" y="0"/>
                      <a:ext cx="2774315" cy="8255"/>
                    </a:xfrm>
                    <a:prstGeom prst="rect">
                      <a:avLst/>
                    </a:prstGeom>
                    <a:noFill/>
                  </pic:spPr>
                </pic:pic>
              </a:graphicData>
            </a:graphic>
          </wp:anchor>
        </w:drawing>
      </w:r>
    </w:p>
    <w:p>
      <w:pPr>
        <w:spacing w:after="0" w:line="52"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4"/>
          <w:szCs w:val="14"/>
          <w:color w:val="auto"/>
        </w:rPr>
        <w:t>Richard J. Kramer, Chairman,</w:t>
      </w:r>
    </w:p>
    <w:p>
      <w:pPr>
        <w:spacing w:after="0" w:line="3"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4"/>
          <w:szCs w:val="14"/>
          <w:color w:val="auto"/>
        </w:rPr>
        <w:t>Chief Executive Officer and President</w:t>
      </w:r>
    </w:p>
    <w:p>
      <w:pPr>
        <w:spacing w:after="0" w:line="124"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has been signed below by the following persons on behalf of the registrant and in the capacities and on the dates indicated.</w:t>
      </w:r>
    </w:p>
    <w:p>
      <w:pPr>
        <w:sectPr>
          <w:pgSz w:w="11900" w:h="16838" w:orient="portrait"/>
          <w:cols w:equalWidth="0" w:num="1">
            <w:col w:w="11240"/>
          </w:cols>
          <w:pgMar w:left="320" w:top="118" w:right="339" w:bottom="1440" w:gutter="0" w:footer="0" w:header="0"/>
        </w:sectPr>
      </w:pPr>
    </w:p>
    <w:p>
      <w:pPr>
        <w:spacing w:after="0" w:line="82"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February 13, 2023</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February 13, 2023</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February 13,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February 13,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NORMA B. CLAYTON, </w:t>
      </w:r>
      <w:r>
        <w:rPr>
          <w:rFonts w:ascii="Times New Roman" w:cs="Times New Roman" w:eastAsia="Times New Roman" w:hAnsi="Times New Roman"/>
          <w:sz w:val="14"/>
          <w:szCs w:val="14"/>
          <w:i w:val="1"/>
          <w:iCs w:val="1"/>
          <w:color w:val="auto"/>
        </w:rPr>
        <w:t>Director</w:t>
      </w:r>
    </w:p>
    <w:p>
      <w:pPr>
        <w:spacing w:after="0" w:line="229" w:lineRule="auto"/>
        <w:rPr>
          <w:sz w:val="20"/>
          <w:szCs w:val="20"/>
          <w:color w:val="auto"/>
        </w:rPr>
      </w:pPr>
      <w:r>
        <w:rPr>
          <w:rFonts w:ascii="Times New Roman" w:cs="Times New Roman" w:eastAsia="Times New Roman" w:hAnsi="Times New Roman"/>
          <w:sz w:val="14"/>
          <w:szCs w:val="14"/>
          <w:color w:val="auto"/>
        </w:rPr>
        <w:t xml:space="preserve">JAMES A. FIRESTONE, </w:t>
      </w:r>
      <w:r>
        <w:rPr>
          <w:rFonts w:ascii="Times New Roman" w:cs="Times New Roman" w:eastAsia="Times New Roman" w:hAnsi="Times New Roman"/>
          <w:sz w:val="14"/>
          <w:szCs w:val="14"/>
          <w:i w:val="1"/>
          <w:iCs w:val="1"/>
          <w:color w:val="auto"/>
        </w:rPr>
        <w:t>Director</w:t>
      </w:r>
    </w:p>
    <w:p>
      <w:pPr>
        <w:spacing w:after="0" w:line="221" w:lineRule="auto"/>
        <w:rPr>
          <w:sz w:val="20"/>
          <w:szCs w:val="20"/>
          <w:color w:val="auto"/>
        </w:rPr>
      </w:pPr>
      <w:r>
        <w:rPr>
          <w:rFonts w:ascii="Times New Roman" w:cs="Times New Roman" w:eastAsia="Times New Roman" w:hAnsi="Times New Roman"/>
          <w:sz w:val="14"/>
          <w:szCs w:val="14"/>
          <w:color w:val="auto"/>
        </w:rPr>
        <w:t xml:space="preserve">WERNER GEISSLER, </w:t>
      </w:r>
      <w:r>
        <w:rPr>
          <w:rFonts w:ascii="Times New Roman" w:cs="Times New Roman" w:eastAsia="Times New Roman" w:hAnsi="Times New Roman"/>
          <w:sz w:val="14"/>
          <w:szCs w:val="14"/>
          <w:i w:val="1"/>
          <w:iCs w:val="1"/>
          <w:color w:val="auto"/>
        </w:rPr>
        <w:t>Director</w:t>
      </w:r>
    </w:p>
    <w:p>
      <w:pPr>
        <w:spacing w:after="0" w:line="221" w:lineRule="auto"/>
        <w:rPr>
          <w:sz w:val="20"/>
          <w:szCs w:val="20"/>
          <w:color w:val="auto"/>
        </w:rPr>
      </w:pPr>
      <w:r>
        <w:rPr>
          <w:rFonts w:ascii="Times New Roman" w:cs="Times New Roman" w:eastAsia="Times New Roman" w:hAnsi="Times New Roman"/>
          <w:sz w:val="14"/>
          <w:szCs w:val="14"/>
          <w:color w:val="auto"/>
        </w:rPr>
        <w:t xml:space="preserve">LAURETTE T. KOELLNER, </w:t>
      </w:r>
      <w:r>
        <w:rPr>
          <w:rFonts w:ascii="Times New Roman" w:cs="Times New Roman" w:eastAsia="Times New Roman" w:hAnsi="Times New Roman"/>
          <w:sz w:val="14"/>
          <w:szCs w:val="14"/>
          <w:i w:val="1"/>
          <w:iCs w:val="1"/>
          <w:color w:val="auto"/>
        </w:rPr>
        <w:t>Director</w:t>
      </w:r>
    </w:p>
    <w:p>
      <w:pPr>
        <w:spacing w:after="0"/>
        <w:rPr>
          <w:sz w:val="20"/>
          <w:szCs w:val="20"/>
          <w:color w:val="auto"/>
        </w:rPr>
      </w:pPr>
      <w:r>
        <w:rPr>
          <w:rFonts w:ascii="Times New Roman" w:cs="Times New Roman" w:eastAsia="Times New Roman" w:hAnsi="Times New Roman"/>
          <w:sz w:val="14"/>
          <w:szCs w:val="14"/>
          <w:color w:val="auto"/>
        </w:rPr>
        <w:t xml:space="preserve">KARLA R. LEWIS, </w:t>
      </w:r>
      <w:r>
        <w:rPr>
          <w:rFonts w:ascii="Times New Roman" w:cs="Times New Roman" w:eastAsia="Times New Roman" w:hAnsi="Times New Roman"/>
          <w:sz w:val="14"/>
          <w:szCs w:val="14"/>
          <w:i w:val="1"/>
          <w:iCs w:val="1"/>
          <w:color w:val="auto"/>
        </w:rPr>
        <w:t>Director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PRASHANTH MAHENDRA-RAJAH, </w:t>
      </w:r>
      <w:r>
        <w:rPr>
          <w:rFonts w:ascii="Times New Roman" w:cs="Times New Roman" w:eastAsia="Times New Roman" w:hAnsi="Times New Roman"/>
          <w:sz w:val="14"/>
          <w:szCs w:val="14"/>
          <w:i w:val="1"/>
          <w:iCs w:val="1"/>
          <w:color w:val="auto"/>
        </w:rPr>
        <w:t>Director</w:t>
      </w:r>
    </w:p>
    <w:p>
      <w:pPr>
        <w:spacing w:after="0" w:line="221" w:lineRule="auto"/>
        <w:rPr>
          <w:sz w:val="20"/>
          <w:szCs w:val="20"/>
          <w:color w:val="auto"/>
        </w:rPr>
      </w:pPr>
      <w:r>
        <w:rPr>
          <w:rFonts w:ascii="Times New Roman" w:cs="Times New Roman" w:eastAsia="Times New Roman" w:hAnsi="Times New Roman"/>
          <w:sz w:val="14"/>
          <w:szCs w:val="14"/>
          <w:color w:val="auto"/>
        </w:rPr>
        <w:t xml:space="preserve">JOHN E. McGLADE, </w:t>
      </w:r>
      <w:r>
        <w:rPr>
          <w:rFonts w:ascii="Times New Roman" w:cs="Times New Roman" w:eastAsia="Times New Roman" w:hAnsi="Times New Roman"/>
          <w:sz w:val="14"/>
          <w:szCs w:val="14"/>
          <w:i w:val="1"/>
          <w:iCs w:val="1"/>
          <w:color w:val="auto"/>
        </w:rPr>
        <w:t>Director</w:t>
      </w:r>
    </w:p>
    <w:p>
      <w:pPr>
        <w:spacing w:after="0" w:line="221" w:lineRule="auto"/>
        <w:rPr>
          <w:sz w:val="20"/>
          <w:szCs w:val="20"/>
          <w:color w:val="auto"/>
        </w:rPr>
      </w:pPr>
      <w:r>
        <w:rPr>
          <w:rFonts w:ascii="Times New Roman" w:cs="Times New Roman" w:eastAsia="Times New Roman" w:hAnsi="Times New Roman"/>
          <w:sz w:val="14"/>
          <w:szCs w:val="14"/>
          <w:color w:val="auto"/>
        </w:rPr>
        <w:t xml:space="preserve">RODERICK A. PALMORE, </w:t>
      </w:r>
      <w:r>
        <w:rPr>
          <w:rFonts w:ascii="Times New Roman" w:cs="Times New Roman" w:eastAsia="Times New Roman" w:hAnsi="Times New Roman"/>
          <w:sz w:val="14"/>
          <w:szCs w:val="14"/>
          <w:i w:val="1"/>
          <w:iCs w:val="1"/>
          <w:color w:val="auto"/>
        </w:rPr>
        <w:t>Director</w:t>
      </w:r>
    </w:p>
    <w:p>
      <w:pPr>
        <w:spacing w:after="0" w:line="221" w:lineRule="auto"/>
        <w:rPr>
          <w:sz w:val="20"/>
          <w:szCs w:val="20"/>
          <w:color w:val="auto"/>
        </w:rPr>
      </w:pPr>
      <w:r>
        <w:rPr>
          <w:rFonts w:ascii="Times New Roman" w:cs="Times New Roman" w:eastAsia="Times New Roman" w:hAnsi="Times New Roman"/>
          <w:sz w:val="14"/>
          <w:szCs w:val="14"/>
          <w:color w:val="auto"/>
        </w:rPr>
        <w:t xml:space="preserve">HERA SIU, </w:t>
      </w:r>
      <w:r>
        <w:rPr>
          <w:rFonts w:ascii="Times New Roman" w:cs="Times New Roman" w:eastAsia="Times New Roman" w:hAnsi="Times New Roman"/>
          <w:sz w:val="14"/>
          <w:szCs w:val="14"/>
          <w:i w:val="1"/>
          <w:iCs w:val="1"/>
          <w:color w:val="auto"/>
        </w:rPr>
        <w:t>Director</w:t>
      </w:r>
    </w:p>
    <w:p>
      <w:pPr>
        <w:spacing w:after="0" w:line="221" w:lineRule="auto"/>
        <w:rPr>
          <w:sz w:val="20"/>
          <w:szCs w:val="20"/>
          <w:color w:val="auto"/>
        </w:rPr>
      </w:pPr>
      <w:r>
        <w:rPr>
          <w:rFonts w:ascii="Times New Roman" w:cs="Times New Roman" w:eastAsia="Times New Roman" w:hAnsi="Times New Roman"/>
          <w:sz w:val="14"/>
          <w:szCs w:val="14"/>
          <w:color w:val="auto"/>
        </w:rPr>
        <w:t xml:space="preserve">MICHAEL R. WESSEL, </w:t>
      </w:r>
      <w:r>
        <w:rPr>
          <w:rFonts w:ascii="Times New Roman" w:cs="Times New Roman" w:eastAsia="Times New Roman" w:hAnsi="Times New Roman"/>
          <w:sz w:val="14"/>
          <w:szCs w:val="14"/>
          <w:i w:val="1"/>
          <w:iCs w:val="1"/>
          <w:color w:val="auto"/>
        </w:rPr>
        <w:t>Director</w:t>
      </w:r>
    </w:p>
    <w:p>
      <w:pPr>
        <w:spacing w:after="0"/>
        <w:rPr>
          <w:sz w:val="20"/>
          <w:szCs w:val="20"/>
          <w:color w:val="auto"/>
        </w:rPr>
      </w:pPr>
      <w:r>
        <w:rPr>
          <w:rFonts w:ascii="Times New Roman" w:cs="Times New Roman" w:eastAsia="Times New Roman" w:hAnsi="Times New Roman"/>
          <w:sz w:val="14"/>
          <w:szCs w:val="14"/>
          <w:color w:val="auto"/>
        </w:rPr>
        <w:t xml:space="preserve">THOMAS L. WILLIAMS, </w:t>
      </w:r>
      <w:r>
        <w:rPr>
          <w:rFonts w:ascii="Times New Roman" w:cs="Times New Roman" w:eastAsia="Times New Roman" w:hAnsi="Times New Roman"/>
          <w:sz w:val="14"/>
          <w:szCs w:val="14"/>
          <w:i w:val="1"/>
          <w:iCs w:val="1"/>
          <w:color w:val="auto"/>
        </w:rPr>
        <w:t>Director</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4"/>
          <w:szCs w:val="14"/>
          <w:color w:val="auto"/>
        </w:rPr>
        <w:t>ICHARD</w:t>
      </w:r>
      <w:r>
        <w:rPr>
          <w:rFonts w:ascii="Times New Roman" w:cs="Times New Roman" w:eastAsia="Times New Roman" w:hAnsi="Times New Roman"/>
          <w:sz w:val="18"/>
          <w:szCs w:val="18"/>
          <w:color w:val="auto"/>
        </w:rPr>
        <w:t xml:space="preserve"> J. K</w:t>
      </w:r>
      <w:r>
        <w:rPr>
          <w:rFonts w:ascii="Times New Roman" w:cs="Times New Roman" w:eastAsia="Times New Roman" w:hAnsi="Times New Roman"/>
          <w:sz w:val="14"/>
          <w:szCs w:val="14"/>
          <w:color w:val="auto"/>
        </w:rPr>
        <w:t>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26035</wp:posOffset>
            </wp:positionV>
            <wp:extent cx="277431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76">
                      <a:extLst>
                        <a:ext uri="{28A0092B-C50C-407E-A947-70E740481C1C}"/>
                      </a:extLst>
                    </a:blip>
                    <a:srcRect/>
                    <a:stretch>
                      <a:fillRect/>
                    </a:stretch>
                  </pic:blipFill>
                  <pic:spPr bwMode="auto">
                    <a:xfrm>
                      <a:off x="0" y="0"/>
                      <a:ext cx="2774315" cy="8255"/>
                    </a:xfrm>
                    <a:prstGeom prst="rect">
                      <a:avLst/>
                    </a:prstGeom>
                    <a:noFill/>
                  </pic:spPr>
                </pic:pic>
              </a:graphicData>
            </a:graphic>
          </wp:anchor>
        </w:drawing>
      </w:r>
    </w:p>
    <w:p>
      <w:pPr>
        <w:spacing w:after="0" w:line="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Richard J. Kramer, Chairman,</w:t>
      </w:r>
    </w:p>
    <w:p>
      <w:pPr>
        <w:jc w:val="center"/>
        <w:ind w:right="820"/>
        <w:spacing w:after="0" w:line="226" w:lineRule="auto"/>
        <w:rPr>
          <w:sz w:val="20"/>
          <w:szCs w:val="20"/>
          <w:color w:val="auto"/>
        </w:rPr>
      </w:pPr>
      <w:r>
        <w:rPr>
          <w:rFonts w:ascii="Times New Roman" w:cs="Times New Roman" w:eastAsia="Times New Roman" w:hAnsi="Times New Roman"/>
          <w:sz w:val="14"/>
          <w:szCs w:val="14"/>
          <w:color w:val="auto"/>
        </w:rPr>
        <w:t>Chief Executive Officer, President and Director</w:t>
      </w:r>
    </w:p>
    <w:p>
      <w:pPr>
        <w:jc w:val="center"/>
        <w:ind w:right="82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2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4"/>
          <w:szCs w:val="14"/>
          <w:color w:val="auto"/>
        </w:rPr>
        <w:t>HRISTINA</w:t>
      </w:r>
      <w:r>
        <w:rPr>
          <w:rFonts w:ascii="Times New Roman" w:cs="Times New Roman" w:eastAsia="Times New Roman" w:hAnsi="Times New Roman"/>
          <w:sz w:val="18"/>
          <w:szCs w:val="18"/>
          <w:color w:val="auto"/>
        </w:rPr>
        <w:t xml:space="preserve"> L. Z</w:t>
      </w:r>
      <w:r>
        <w:rPr>
          <w:rFonts w:ascii="Times New Roman" w:cs="Times New Roman" w:eastAsia="Times New Roman" w:hAnsi="Times New Roman"/>
          <w:sz w:val="14"/>
          <w:szCs w:val="14"/>
          <w:color w:val="auto"/>
        </w:rPr>
        <w:t>AMARRO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26035</wp:posOffset>
            </wp:positionV>
            <wp:extent cx="277431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77">
                      <a:extLst>
                        <a:ext uri="{28A0092B-C50C-407E-A947-70E740481C1C}"/>
                      </a:extLst>
                    </a:blip>
                    <a:srcRect/>
                    <a:stretch>
                      <a:fillRect/>
                    </a:stretch>
                  </pic:blipFill>
                  <pic:spPr bwMode="auto">
                    <a:xfrm>
                      <a:off x="0" y="0"/>
                      <a:ext cx="2774315" cy="825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Christina L. Zamarro, Executive Vice President</w:t>
      </w:r>
    </w:p>
    <w:p>
      <w:pPr>
        <w:ind w:left="580"/>
        <w:spacing w:after="0" w:line="226" w:lineRule="auto"/>
        <w:rPr>
          <w:sz w:val="20"/>
          <w:szCs w:val="20"/>
          <w:color w:val="auto"/>
        </w:rPr>
      </w:pPr>
      <w:r>
        <w:rPr>
          <w:rFonts w:ascii="Times New Roman" w:cs="Times New Roman" w:eastAsia="Times New Roman" w:hAnsi="Times New Roman"/>
          <w:sz w:val="14"/>
          <w:szCs w:val="14"/>
          <w:color w:val="auto"/>
        </w:rPr>
        <w:t>and Chief Financial Officer</w:t>
      </w:r>
    </w:p>
    <w:p>
      <w:pPr>
        <w:ind w:left="560"/>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2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 E</w:t>
      </w:r>
      <w:r>
        <w:rPr>
          <w:rFonts w:ascii="Times New Roman" w:cs="Times New Roman" w:eastAsia="Times New Roman" w:hAnsi="Times New Roman"/>
          <w:sz w:val="14"/>
          <w:szCs w:val="14"/>
          <w:color w:val="auto"/>
        </w:rPr>
        <w:t>VAN</w:t>
      </w:r>
      <w:r>
        <w:rPr>
          <w:rFonts w:ascii="Times New Roman" w:cs="Times New Roman" w:eastAsia="Times New Roman" w:hAnsi="Times New Roman"/>
          <w:sz w:val="18"/>
          <w:szCs w:val="18"/>
          <w:color w:val="auto"/>
        </w:rPr>
        <w:t xml:space="preserve"> M. S</w:t>
      </w:r>
      <w:r>
        <w:rPr>
          <w:rFonts w:ascii="Times New Roman" w:cs="Times New Roman" w:eastAsia="Times New Roman" w:hAnsi="Times New Roman"/>
          <w:sz w:val="14"/>
          <w:szCs w:val="14"/>
          <w:color w:val="auto"/>
        </w:rPr>
        <w:t>COCOS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26035</wp:posOffset>
            </wp:positionV>
            <wp:extent cx="277431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78">
                      <a:extLst>
                        <a:ext uri="{28A0092B-C50C-407E-A947-70E740481C1C}"/>
                      </a:extLst>
                    </a:blip>
                    <a:srcRect/>
                    <a:stretch>
                      <a:fillRect/>
                    </a:stretch>
                  </pic:blipFill>
                  <pic:spPr bwMode="auto">
                    <a:xfrm>
                      <a:off x="0" y="0"/>
                      <a:ext cx="2774315" cy="825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Evan M. Scocos, Vice President and Controller</w:t>
      </w:r>
    </w:p>
    <w:p>
      <w:pPr>
        <w:spacing w:after="0" w:line="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4"/>
          <w:szCs w:val="14"/>
          <w:color w:val="auto"/>
        </w:rPr>
        <w:t>ANIEL</w:t>
      </w:r>
      <w:r>
        <w:rPr>
          <w:rFonts w:ascii="Times New Roman" w:cs="Times New Roman" w:eastAsia="Times New Roman" w:hAnsi="Times New Roman"/>
          <w:sz w:val="18"/>
          <w:szCs w:val="18"/>
          <w:color w:val="auto"/>
        </w:rPr>
        <w:t xml:space="preserve"> T. Y</w:t>
      </w:r>
      <w:r>
        <w:rPr>
          <w:rFonts w:ascii="Times New Roman" w:cs="Times New Roman" w:eastAsia="Times New Roman" w:hAnsi="Times New Roman"/>
          <w:sz w:val="14"/>
          <w:szCs w:val="14"/>
          <w:color w:val="auto"/>
        </w:rPr>
        <w:t>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26035</wp:posOffset>
            </wp:positionV>
            <wp:extent cx="277431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79">
                      <a:extLst>
                        <a:ext uri="{28A0092B-C50C-407E-A947-70E740481C1C}"/>
                      </a:extLst>
                    </a:blip>
                    <a:srcRect/>
                    <a:stretch>
                      <a:fillRect/>
                    </a:stretch>
                  </pic:blipFill>
                  <pic:spPr bwMode="auto">
                    <a:xfrm>
                      <a:off x="0" y="0"/>
                      <a:ext cx="2774315" cy="8255"/>
                    </a:xfrm>
                    <a:prstGeom prst="rect">
                      <a:avLst/>
                    </a:prstGeom>
                    <a:noFill/>
                  </pic:spPr>
                </pic:pic>
              </a:graphicData>
            </a:graphic>
          </wp:anchor>
        </w:drawing>
      </w:r>
    </w:p>
    <w:p>
      <w:pPr>
        <w:spacing w:after="0" w:line="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Daniel T. Young, Signing as</w:t>
      </w:r>
    </w:p>
    <w:p>
      <w:pPr>
        <w:spacing w:after="0" w:line="18"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4"/>
          <w:szCs w:val="14"/>
          <w:color w:val="auto"/>
        </w:rPr>
        <w:t>Attorney-in-Fact for the Directors</w:t>
      </w:r>
    </w:p>
    <w:p>
      <w:pPr>
        <w:jc w:val="center"/>
        <w:ind w:right="820"/>
        <w:spacing w:after="0"/>
        <w:rPr>
          <w:sz w:val="20"/>
          <w:szCs w:val="20"/>
          <w:color w:val="auto"/>
        </w:rPr>
      </w:pPr>
      <w:r>
        <w:rPr>
          <w:rFonts w:ascii="Times New Roman" w:cs="Times New Roman" w:eastAsia="Times New Roman" w:hAnsi="Times New Roman"/>
          <w:sz w:val="14"/>
          <w:szCs w:val="14"/>
          <w:color w:val="auto"/>
        </w:rPr>
        <w:t>whose names appear opposite.</w:t>
      </w:r>
    </w:p>
    <w:p>
      <w:pPr>
        <w:spacing w:after="0" w:line="577" w:lineRule="exact"/>
        <w:rPr>
          <w:sz w:val="20"/>
          <w:szCs w:val="20"/>
          <w:color w:val="auto"/>
        </w:rPr>
      </w:pPr>
    </w:p>
    <w:p>
      <w:pPr>
        <w:sectPr>
          <w:pgSz w:w="11900" w:h="16838" w:orient="portrait"/>
          <w:cols w:equalWidth="0" w:num="3">
            <w:col w:w="2460" w:space="720"/>
            <w:col w:w="3780" w:space="720"/>
            <w:col w:w="3560"/>
          </w:cols>
          <w:pgMar w:left="320" w:top="118" w:right="339" w:bottom="1440" w:gutter="0" w:footer="0" w:header="0"/>
          <w:type w:val="continuous"/>
        </w:sect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6" w:name="page127"/>
    <w:bookmarkEnd w:id="126"/>
    <w:p>
      <w:pPr>
        <w:ind w:left="10100"/>
        <w:spacing w:after="0"/>
        <w:rPr>
          <w:sz w:val="20"/>
          <w:szCs w:val="20"/>
          <w:color w:val="auto"/>
        </w:rPr>
      </w:pPr>
      <w:r>
        <w:rPr>
          <w:rFonts w:ascii="Times New Roman" w:cs="Times New Roman" w:eastAsia="Times New Roman" w:hAnsi="Times New Roman"/>
          <w:sz w:val="19"/>
          <w:szCs w:val="19"/>
          <w:b w:val="1"/>
          <w:bCs w:val="1"/>
          <w:color w:val="auto"/>
        </w:rPr>
        <w:t>EXHIBIT 4.1</w:t>
      </w:r>
    </w:p>
    <w:p>
      <w:pPr>
        <w:spacing w:after="0" w:line="231" w:lineRule="exact"/>
        <w:rPr>
          <w:sz w:val="20"/>
          <w:szCs w:val="20"/>
          <w:color w:val="auto"/>
        </w:rPr>
      </w:pPr>
    </w:p>
    <w:p>
      <w:pPr>
        <w:ind w:right="80" w:firstLine="749"/>
        <w:spacing w:after="0" w:line="263" w:lineRule="auto"/>
        <w:rPr>
          <w:sz w:val="20"/>
          <w:szCs w:val="20"/>
          <w:color w:val="auto"/>
        </w:rPr>
      </w:pPr>
      <w:r>
        <w:rPr>
          <w:rFonts w:ascii="Times New Roman" w:cs="Times New Roman" w:eastAsia="Times New Roman" w:hAnsi="Times New Roman"/>
          <w:sz w:val="19"/>
          <w:szCs w:val="19"/>
          <w:color w:val="auto"/>
        </w:rPr>
        <w:t>This FIRST SUPPLEMENTAL INDENTURE (this “Supplemental Indenture”), dated as of November 25, 2022 (the “Effective Date”), is among The Bank of New York Mellon (as successor to The Chase Manhattan Bank), as trustee (the “Trustee”), The Goodyear Tire</w:t>
      </w:r>
    </w:p>
    <w:p>
      <w:pPr>
        <w:spacing w:after="0" w:line="2" w:lineRule="exact"/>
        <w:rPr>
          <w:sz w:val="20"/>
          <w:szCs w:val="20"/>
          <w:color w:val="auto"/>
        </w:rPr>
      </w:pPr>
    </w:p>
    <w:p>
      <w:pPr>
        <w:ind w:right="660" w:firstLine="8"/>
        <w:spacing w:after="0" w:line="245" w:lineRule="auto"/>
        <w:tabs>
          <w:tab w:leader="none" w:pos="203"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Rubber Company, an Ohio corporation (the “Successor Issuer”), and Cooper Tire &amp; Rubber Company, a Delaware corporation (the “Existing Issuer”), as the “Company” under the Indenture (as defined below).</w:t>
      </w:r>
    </w:p>
    <w:p>
      <w:pPr>
        <w:spacing w:after="0" w:line="17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b w:val="1"/>
          <w:bCs w:val="1"/>
          <w:u w:val="single" w:color="auto"/>
          <w:color w:val="auto"/>
        </w:rPr>
        <w:t>RECITALS</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WHEREAS, the Existing Issuer and the Trustee are parties to that certain Indenture, dated as of March 17, 1997 (the “Indenture”);</w:t>
      </w:r>
    </w:p>
    <w:p>
      <w:pPr>
        <w:spacing w:after="0" w:line="161" w:lineRule="exact"/>
        <w:rPr>
          <w:sz w:val="20"/>
          <w:szCs w:val="20"/>
          <w:color w:val="auto"/>
        </w:rPr>
      </w:pPr>
    </w:p>
    <w:p>
      <w:pPr>
        <w:ind w:right="500" w:firstLine="749"/>
        <w:spacing w:after="0" w:line="268" w:lineRule="auto"/>
        <w:rPr>
          <w:sz w:val="20"/>
          <w:szCs w:val="20"/>
          <w:color w:val="auto"/>
        </w:rPr>
      </w:pPr>
      <w:r>
        <w:rPr>
          <w:rFonts w:ascii="Times New Roman" w:cs="Times New Roman" w:eastAsia="Times New Roman" w:hAnsi="Times New Roman"/>
          <w:sz w:val="20"/>
          <w:szCs w:val="20"/>
          <w:color w:val="auto"/>
        </w:rPr>
        <w:t>WHEREAS, the Existing Issuer’s 7.625% Senior Notes due 2027 (the “Notes”) were issued under the Indenture and under the Prospectus Supplement dated March 20, 1997;</w:t>
      </w:r>
    </w:p>
    <w:p>
      <w:pPr>
        <w:spacing w:after="0" w:line="1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WHEREAS, the Existing Issuer is a direct, wholly-owned subsidiary of the Successor Issuer;</w:t>
      </w:r>
    </w:p>
    <w:p>
      <w:pPr>
        <w:spacing w:after="0" w:line="161" w:lineRule="exact"/>
        <w:rPr>
          <w:sz w:val="20"/>
          <w:szCs w:val="20"/>
          <w:color w:val="auto"/>
        </w:rPr>
      </w:pPr>
    </w:p>
    <w:p>
      <w:pPr>
        <w:jc w:val="both"/>
        <w:ind w:right="180" w:firstLine="749"/>
        <w:spacing w:after="0" w:line="253" w:lineRule="auto"/>
        <w:rPr>
          <w:sz w:val="20"/>
          <w:szCs w:val="20"/>
          <w:color w:val="auto"/>
        </w:rPr>
      </w:pPr>
      <w:r>
        <w:rPr>
          <w:rFonts w:ascii="Times New Roman" w:cs="Times New Roman" w:eastAsia="Times New Roman" w:hAnsi="Times New Roman"/>
          <w:sz w:val="20"/>
          <w:szCs w:val="20"/>
          <w:color w:val="auto"/>
        </w:rPr>
        <w:t>WHEREAS, the Existing Issuer will transfer substantially all of its assets to the Successor Issuer on the Effective Date pursuant to that certain Asset Transfer Agreement, dated as of November 22, 2022 and effective as of November 25, 2022, by and between the Existing Issuer, as transferor, and the Successor Issuer, as transferee (the “Transfer”);</w:t>
      </w:r>
    </w:p>
    <w:p>
      <w:pPr>
        <w:spacing w:after="0" w:line="122" w:lineRule="exact"/>
        <w:rPr>
          <w:sz w:val="20"/>
          <w:szCs w:val="20"/>
          <w:color w:val="auto"/>
        </w:rPr>
      </w:pPr>
    </w:p>
    <w:p>
      <w:pPr>
        <w:ind w:right="180" w:firstLine="749"/>
        <w:spacing w:after="0" w:line="253" w:lineRule="auto"/>
        <w:rPr>
          <w:sz w:val="20"/>
          <w:szCs w:val="20"/>
          <w:color w:val="auto"/>
        </w:rPr>
      </w:pPr>
      <w:r>
        <w:rPr>
          <w:rFonts w:ascii="Times New Roman" w:cs="Times New Roman" w:eastAsia="Times New Roman" w:hAnsi="Times New Roman"/>
          <w:sz w:val="20"/>
          <w:szCs w:val="20"/>
          <w:color w:val="auto"/>
        </w:rPr>
        <w:t>WHEREAS, the terms of the Indenture require that, upon such Transfer, the Successor Issuer execute and deliver a supplemental indenture to the Trustee pursuant to which the Successor Issuer assumes all of the obligations of the Existing Issuer under the Indenture and the Notes; and</w:t>
      </w:r>
    </w:p>
    <w:p>
      <w:pPr>
        <w:spacing w:after="0" w:line="122" w:lineRule="exact"/>
        <w:rPr>
          <w:sz w:val="20"/>
          <w:szCs w:val="20"/>
          <w:color w:val="auto"/>
        </w:rPr>
      </w:pPr>
    </w:p>
    <w:p>
      <w:pPr>
        <w:ind w:right="100" w:firstLine="749"/>
        <w:spacing w:after="0" w:line="268" w:lineRule="auto"/>
        <w:rPr>
          <w:sz w:val="20"/>
          <w:szCs w:val="20"/>
          <w:color w:val="auto"/>
        </w:rPr>
      </w:pPr>
      <w:r>
        <w:rPr>
          <w:rFonts w:ascii="Times New Roman" w:cs="Times New Roman" w:eastAsia="Times New Roman" w:hAnsi="Times New Roman"/>
          <w:sz w:val="20"/>
          <w:szCs w:val="20"/>
          <w:color w:val="auto"/>
        </w:rPr>
        <w:t>WHEREAS, the parties hereto are entering into this Supplemental Indenture pursuant to, and in accordance with, Section 9.1 of the Indenture.</w:t>
      </w:r>
    </w:p>
    <w:p>
      <w:pPr>
        <w:spacing w:after="0" w:line="1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NOW, THEREFORE, in consideration of the premises, the Successor Issuer, the Existing Issuer and the Trustee agree as follows: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DEFINITIONS AND OTHER PROVISIONS OF GENERAL APPLICATION</w:t>
      </w:r>
    </w:p>
    <w:p>
      <w:pPr>
        <w:spacing w:after="0" w:line="139" w:lineRule="exact"/>
        <w:rPr>
          <w:sz w:val="20"/>
          <w:szCs w:val="20"/>
          <w:color w:val="auto"/>
        </w:rPr>
      </w:pPr>
    </w:p>
    <w:p>
      <w:pPr>
        <w:ind w:right="200" w:firstLine="749"/>
        <w:spacing w:after="0" w:line="253" w:lineRule="auto"/>
        <w:rPr>
          <w:sz w:val="20"/>
          <w:szCs w:val="20"/>
          <w:color w:val="auto"/>
        </w:rPr>
      </w:pPr>
      <w:r>
        <w:rPr>
          <w:rFonts w:ascii="Times New Roman" w:cs="Times New Roman" w:eastAsia="Times New Roman" w:hAnsi="Times New Roman"/>
          <w:sz w:val="20"/>
          <w:szCs w:val="20"/>
          <w:color w:val="auto"/>
        </w:rPr>
        <w:t xml:space="preserve">Section 1.01 </w:t>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Capitalized terms used but not otherwise defined herein shall have the meanings ascribed thereto in the Indenture. The words “herein”, “hereof” and “hereby” and other words of similar import used in this Supplemental Indenture refer to this Supplemental Indenture as a whole and not to any particular section hereof.</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ASSUMPTION</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Section 2.01  </w:t>
      </w:r>
      <w:r>
        <w:rPr>
          <w:rFonts w:ascii="Times New Roman" w:cs="Times New Roman" w:eastAsia="Times New Roman" w:hAnsi="Times New Roman"/>
          <w:sz w:val="20"/>
          <w:szCs w:val="20"/>
          <w:u w:val="single" w:color="auto"/>
          <w:color w:val="auto"/>
        </w:rPr>
        <w:t>Assumption</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right="80" w:firstLine="749"/>
        <w:spacing w:after="0" w:line="242" w:lineRule="auto"/>
        <w:rPr>
          <w:sz w:val="20"/>
          <w:szCs w:val="20"/>
          <w:color w:val="auto"/>
        </w:rPr>
      </w:pPr>
      <w:r>
        <w:rPr>
          <w:rFonts w:ascii="Times New Roman" w:cs="Times New Roman" w:eastAsia="Times New Roman" w:hAnsi="Times New Roman"/>
          <w:sz w:val="20"/>
          <w:szCs w:val="20"/>
          <w:color w:val="auto"/>
        </w:rPr>
        <w:t>Pursuant to, and in compliance and accordance with, Article IX of the Indenture, commencing on the Effective Date, the Successor Issuer expressly assumes the due and punctual payment of the principal of and interest on all the Securities and Coupons, if any, according to their tenor (including the Notes), and the due and punctual performance and observance of all of the covenants and conditions of the Indenture to be performed or observed by the “Company” under the Indenture. The Successor Issuer hereby agrees to be bound by all the terms, provisions and conditions of the Indenture and the Securities (including the Notes) and agrees that it shall succeed to, and be substituted for, and may exercise every right and power of, the Existing Issuer under the Indenture with the same effect as if the Successor Issuer had been named as the “Company” under the Indenture and the Securities (including the Notes).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7" w:name="page128"/>
    <w:bookmarkEnd w:id="127"/>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Pursuant to Section 9.2 of the Indenture, the parties hereto acknowledge that, upon the Effective Date, (a) the Successor Issuer shall succeed to and be substituted for the “Company” under the Indenture and the Securities (including the Notes), with the same effect as if it had been named therein, and (b) the Existing Issuer shall be discharged from all obligations and covenants under the Indenture and the Securities (including the Notes).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REPRESENTATIONS AND WARRANTIES</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Section 3.01  </w:t>
      </w: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The Successor Issuer represents and warrants that:</w:t>
      </w:r>
    </w:p>
    <w:p>
      <w:pPr>
        <w:spacing w:after="0" w:line="107" w:lineRule="exact"/>
        <w:rPr>
          <w:sz w:val="20"/>
          <w:szCs w:val="20"/>
          <w:color w:val="auto"/>
        </w:rPr>
      </w:pPr>
    </w:p>
    <w:p>
      <w:pPr>
        <w:ind w:left="1020" w:right="320" w:hanging="504"/>
        <w:spacing w:after="0" w:line="268" w:lineRule="auto"/>
        <w:tabs>
          <w:tab w:leader="none" w:pos="102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all necessary power and authority to execute and deliver this Supplemental Indenture and to perform the covenants and conditions of the Indenture;</w:t>
      </w:r>
    </w:p>
    <w:p>
      <w:pPr>
        <w:spacing w:after="0" w:line="52"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authorized this Supplemental Indenture by or in accordance with a resolution of its Board of Directors;</w:t>
      </w:r>
    </w:p>
    <w:p>
      <w:pPr>
        <w:spacing w:after="0" w:line="107"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 has occurred substantially concurrently herewith;</w:t>
      </w:r>
    </w:p>
    <w:p>
      <w:pPr>
        <w:spacing w:after="0" w:line="107"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a corporation organized and existing under the laws of the State of Ohio,</w:t>
      </w:r>
    </w:p>
    <w:p>
      <w:pPr>
        <w:spacing w:after="0" w:line="107" w:lineRule="exact"/>
        <w:rPr>
          <w:rFonts w:ascii="Times New Roman" w:cs="Times New Roman" w:eastAsia="Times New Roman" w:hAnsi="Times New Roman"/>
          <w:sz w:val="20"/>
          <w:szCs w:val="20"/>
          <w:color w:val="auto"/>
        </w:rPr>
      </w:pPr>
    </w:p>
    <w:p>
      <w:pPr>
        <w:ind w:left="1020" w:right="160" w:hanging="504"/>
        <w:spacing w:after="0" w:line="268" w:lineRule="auto"/>
        <w:tabs>
          <w:tab w:leader="none" w:pos="102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the Transfer and this Supplemental Indenture, it will not be in default in the performance or observance of any covenant or condition under the Indenture to be performed or observed by the “Company” thereunder; and</w:t>
      </w:r>
    </w:p>
    <w:p>
      <w:pPr>
        <w:spacing w:after="0" w:line="52" w:lineRule="exact"/>
        <w:rPr>
          <w:rFonts w:ascii="Times New Roman" w:cs="Times New Roman" w:eastAsia="Times New Roman" w:hAnsi="Times New Roman"/>
          <w:sz w:val="20"/>
          <w:szCs w:val="20"/>
          <w:color w:val="auto"/>
        </w:rPr>
      </w:pPr>
    </w:p>
    <w:p>
      <w:pPr>
        <w:ind w:left="1020" w:right="120" w:hanging="504"/>
        <w:spacing w:after="0" w:line="268" w:lineRule="auto"/>
        <w:tabs>
          <w:tab w:leader="none" w:pos="102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Supplemental Indenture is executed and delivered pursuant to Section 9.1 of the Indenture and does not require the consent of any Securityholders in accordance with Section 8.1 of the Indenture.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39" w:lineRule="exact"/>
        <w:rPr>
          <w:sz w:val="20"/>
          <w:szCs w:val="20"/>
          <w:color w:val="auto"/>
        </w:rPr>
      </w:pPr>
    </w:p>
    <w:p>
      <w:pPr>
        <w:ind w:right="500" w:firstLine="749"/>
        <w:spacing w:after="0" w:line="268" w:lineRule="auto"/>
        <w:rPr>
          <w:sz w:val="20"/>
          <w:szCs w:val="20"/>
          <w:color w:val="auto"/>
        </w:rPr>
      </w:pPr>
      <w:r>
        <w:rPr>
          <w:rFonts w:ascii="Times New Roman" w:cs="Times New Roman" w:eastAsia="Times New Roman" w:hAnsi="Times New Roman"/>
          <w:sz w:val="20"/>
          <w:szCs w:val="20"/>
          <w:color w:val="auto"/>
        </w:rPr>
        <w:t xml:space="preserve">Section 4.01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From and after the date hereof, the Successor Issuer hereby designates the below address for notices or communications to the Successor Issuer contemplated by Section 11.4 of the Indenture:</w:t>
      </w:r>
    </w:p>
    <w:p>
      <w:pPr>
        <w:spacing w:after="0" w:line="1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Goodyear Tire &amp; Rubber Company</w:t>
      </w:r>
    </w:p>
    <w:p>
      <w:pPr>
        <w:spacing w:after="0" w:line="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200 Innovation Way</w:t>
      </w:r>
    </w:p>
    <w:p>
      <w:pPr>
        <w:ind w:left="760"/>
        <w:spacing w:after="0"/>
        <w:rPr>
          <w:sz w:val="20"/>
          <w:szCs w:val="20"/>
          <w:color w:val="auto"/>
        </w:rPr>
      </w:pPr>
      <w:r>
        <w:rPr>
          <w:rFonts w:ascii="Times New Roman" w:cs="Times New Roman" w:eastAsia="Times New Roman" w:hAnsi="Times New Roman"/>
          <w:sz w:val="20"/>
          <w:szCs w:val="20"/>
          <w:color w:val="auto"/>
        </w:rPr>
        <w:t>Akron, Ohio 44316-0001</w:t>
      </w:r>
    </w:p>
    <w:p>
      <w:pPr>
        <w:ind w:left="760"/>
        <w:spacing w:after="0"/>
        <w:rPr>
          <w:sz w:val="20"/>
          <w:szCs w:val="20"/>
          <w:color w:val="auto"/>
        </w:rPr>
      </w:pPr>
      <w:r>
        <w:rPr>
          <w:rFonts w:ascii="Times New Roman" w:cs="Times New Roman" w:eastAsia="Times New Roman" w:hAnsi="Times New Roman"/>
          <w:sz w:val="20"/>
          <w:szCs w:val="20"/>
          <w:color w:val="auto"/>
        </w:rPr>
        <w:t>Attention: Treasurer</w:t>
      </w:r>
    </w:p>
    <w:p>
      <w:pPr>
        <w:spacing w:after="0" w:line="139" w:lineRule="exact"/>
        <w:rPr>
          <w:sz w:val="20"/>
          <w:szCs w:val="20"/>
          <w:color w:val="auto"/>
        </w:rPr>
      </w:pPr>
    </w:p>
    <w:p>
      <w:pPr>
        <w:ind w:right="180" w:firstLine="749"/>
        <w:spacing w:after="0" w:line="268" w:lineRule="auto"/>
        <w:rPr>
          <w:sz w:val="20"/>
          <w:szCs w:val="20"/>
          <w:color w:val="auto"/>
        </w:rPr>
      </w:pPr>
      <w:r>
        <w:rPr>
          <w:rFonts w:ascii="Times New Roman" w:cs="Times New Roman" w:eastAsia="Times New Roman" w:hAnsi="Times New Roman"/>
          <w:sz w:val="20"/>
          <w:szCs w:val="20"/>
          <w:color w:val="auto"/>
        </w:rPr>
        <w:t xml:space="preserve">Section 4.02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Supplemental Indenture may be executed in any number of counterparts, each of which shall be an original; but such counterparts shall together constitute but one and the same instrument.</w:t>
      </w:r>
    </w:p>
    <w:p>
      <w:pPr>
        <w:spacing w:after="0" w:line="107" w:lineRule="exact"/>
        <w:rPr>
          <w:sz w:val="20"/>
          <w:szCs w:val="20"/>
          <w:color w:val="auto"/>
        </w:rPr>
      </w:pPr>
    </w:p>
    <w:p>
      <w:pPr>
        <w:jc w:val="both"/>
        <w:ind w:right="100" w:firstLine="749"/>
        <w:spacing w:after="0" w:line="253" w:lineRule="auto"/>
        <w:rPr>
          <w:sz w:val="20"/>
          <w:szCs w:val="20"/>
          <w:color w:val="auto"/>
        </w:rPr>
      </w:pPr>
      <w:r>
        <w:rPr>
          <w:rFonts w:ascii="Times New Roman" w:cs="Times New Roman" w:eastAsia="Times New Roman" w:hAnsi="Times New Roman"/>
          <w:sz w:val="20"/>
          <w:szCs w:val="20"/>
          <w:color w:val="auto"/>
        </w:rPr>
        <w:t xml:space="preserve">Section 4.03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All the covenants, stipulations, promises and agreements in the Indenture, as supplemented and amended by this Supplemental Indenture, contained by or on behalf of the Successor Issuer, the Existing Issuer or the Trustee shall bind its respective successors and assigns, whether so expressed or not.</w:t>
      </w:r>
    </w:p>
    <w:p>
      <w:pPr>
        <w:spacing w:after="0" w:line="122"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20"/>
          <w:szCs w:val="20"/>
          <w:color w:val="auto"/>
        </w:rPr>
        <w:t xml:space="preserve">Section 4.04 </w:t>
      </w:r>
      <w:r>
        <w:rPr>
          <w:rFonts w:ascii="Times New Roman" w:cs="Times New Roman" w:eastAsia="Times New Roman" w:hAnsi="Times New Roman"/>
          <w:sz w:val="20"/>
          <w:szCs w:val="20"/>
          <w:u w:val="single" w:color="auto"/>
          <w:color w:val="auto"/>
        </w:rPr>
        <w:t>Effect of Headings; Gender</w:t>
      </w:r>
      <w:r>
        <w:rPr>
          <w:rFonts w:ascii="Times New Roman" w:cs="Times New Roman" w:eastAsia="Times New Roman" w:hAnsi="Times New Roman"/>
          <w:sz w:val="20"/>
          <w:szCs w:val="20"/>
          <w:color w:val="auto"/>
        </w:rPr>
        <w:t>. The Article and Section headings herein are for convenience only and shall not affect the construction hereof. The use of the masculine, feminine or neuter gender herein shall not limit in any way the applicability of any term or provision hereof.</w:t>
      </w:r>
    </w:p>
    <w:p>
      <w:pPr>
        <w:spacing w:after="0" w:line="122" w:lineRule="exact"/>
        <w:rPr>
          <w:sz w:val="20"/>
          <w:szCs w:val="20"/>
          <w:color w:val="auto"/>
        </w:rPr>
      </w:pPr>
    </w:p>
    <w:p>
      <w:pPr>
        <w:jc w:val="both"/>
        <w:ind w:right="400" w:firstLine="749"/>
        <w:spacing w:after="0" w:line="253" w:lineRule="auto"/>
        <w:rPr>
          <w:sz w:val="20"/>
          <w:szCs w:val="20"/>
          <w:color w:val="auto"/>
        </w:rPr>
      </w:pPr>
      <w:r>
        <w:rPr>
          <w:rFonts w:ascii="Times New Roman" w:cs="Times New Roman" w:eastAsia="Times New Roman" w:hAnsi="Times New Roman"/>
          <w:sz w:val="20"/>
          <w:szCs w:val="20"/>
          <w:color w:val="auto"/>
        </w:rPr>
        <w:t xml:space="preserve">Section 4.05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case any provision in this Supplemental Indenture shall be invalid, illegal or unenforceable, the validity, legality and enforceability of the remaining provisions shall not, to the fullest extent permitted by law, in any way be affected or impaired thereby.</w:t>
      </w:r>
    </w:p>
    <w:p>
      <w:pPr>
        <w:spacing w:after="0" w:line="122" w:lineRule="exact"/>
        <w:rPr>
          <w:sz w:val="20"/>
          <w:szCs w:val="20"/>
          <w:color w:val="auto"/>
        </w:rPr>
      </w:pPr>
    </w:p>
    <w:p>
      <w:pPr>
        <w:jc w:val="both"/>
        <w:ind w:right="480" w:firstLine="749"/>
        <w:spacing w:after="0" w:line="245" w:lineRule="auto"/>
        <w:rPr>
          <w:sz w:val="20"/>
          <w:szCs w:val="20"/>
          <w:color w:val="auto"/>
        </w:rPr>
      </w:pPr>
      <w:r>
        <w:rPr>
          <w:rFonts w:ascii="Times New Roman" w:cs="Times New Roman" w:eastAsia="Times New Roman" w:hAnsi="Times New Roman"/>
          <w:sz w:val="20"/>
          <w:szCs w:val="20"/>
          <w:color w:val="auto"/>
        </w:rPr>
        <w:t xml:space="preserve">Section 4.06 </w:t>
      </w:r>
      <w:r>
        <w:rPr>
          <w:rFonts w:ascii="Times New Roman" w:cs="Times New Roman" w:eastAsia="Times New Roman" w:hAnsi="Times New Roman"/>
          <w:sz w:val="20"/>
          <w:szCs w:val="20"/>
          <w:u w:val="single" w:color="auto"/>
          <w:color w:val="auto"/>
        </w:rPr>
        <w:t>Ratification of the Indenture</w:t>
      </w:r>
      <w:r>
        <w:rPr>
          <w:rFonts w:ascii="Times New Roman" w:cs="Times New Roman" w:eastAsia="Times New Roman" w:hAnsi="Times New Roman"/>
          <w:sz w:val="20"/>
          <w:szCs w:val="20"/>
          <w:color w:val="auto"/>
        </w:rPr>
        <w:t>. The Indenture, as supplemented by this Supplemental Indenture, is in all respects ratified and confirmed, and this Supplemental Indenture will be deemed part of the Indenture in the manner and to the extent herein and therein provided.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1" w:right="359" w:bottom="1440" w:gutter="0" w:footer="0" w:header="0"/>
        </w:sectPr>
      </w:pPr>
    </w:p>
    <w:bookmarkStart w:id="128" w:name="page129"/>
    <w:bookmarkEnd w:id="128"/>
    <w:p>
      <w:pPr>
        <w:ind w:firstLine="749"/>
        <w:spacing w:after="0" w:line="268" w:lineRule="auto"/>
        <w:rPr>
          <w:sz w:val="20"/>
          <w:szCs w:val="20"/>
          <w:color w:val="auto"/>
        </w:rPr>
      </w:pPr>
      <w:r>
        <w:rPr>
          <w:rFonts w:ascii="Times New Roman" w:cs="Times New Roman" w:eastAsia="Times New Roman" w:hAnsi="Times New Roman"/>
          <w:sz w:val="20"/>
          <w:szCs w:val="20"/>
          <w:color w:val="auto"/>
        </w:rPr>
        <w:t xml:space="preserve">Section 4.07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Supplemental Indenture shall be deemed to be a contract under the laws of the State of New York and for all purposes shall be construed in accordance with the laws of such State.</w:t>
      </w:r>
    </w:p>
    <w:p>
      <w:pPr>
        <w:spacing w:after="0" w:line="10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20"/>
          <w:szCs w:val="20"/>
          <w:color w:val="auto"/>
        </w:rPr>
        <w:t xml:space="preserve">Section 4.08 </w:t>
      </w:r>
      <w:r>
        <w:rPr>
          <w:rFonts w:ascii="Times New Roman" w:cs="Times New Roman" w:eastAsia="Times New Roman" w:hAnsi="Times New Roman"/>
          <w:sz w:val="20"/>
          <w:szCs w:val="20"/>
          <w:u w:val="single" w:color="auto"/>
          <w:color w:val="auto"/>
        </w:rPr>
        <w:t>Recitals</w:t>
      </w:r>
      <w:r>
        <w:rPr>
          <w:rFonts w:ascii="Times New Roman" w:cs="Times New Roman" w:eastAsia="Times New Roman" w:hAnsi="Times New Roman"/>
          <w:sz w:val="20"/>
          <w:szCs w:val="20"/>
          <w:color w:val="auto"/>
        </w:rPr>
        <w:t>. The Trustee shall not be responsible in any manner whatsoever for or in respect of the validity or sufficiency of this Supplemental Indenture or the due execution hereof by the Successor Issuer or the Existing Issuer or for or in respect of the recitals contained herein, all of which recitals are made by the Successor Issuer and Existing Issuer.</w:t>
      </w:r>
    </w:p>
    <w:p>
      <w:pPr>
        <w:spacing w:after="0" w:line="17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521" w:right="619" w:bottom="1440" w:gutter="0" w:footer="0" w:header="0"/>
        </w:sectPr>
      </w:pPr>
    </w:p>
    <w:bookmarkStart w:id="129" w:name="page130"/>
    <w:bookmarkEnd w:id="129"/>
    <w:p>
      <w:pPr>
        <w:ind w:left="760"/>
        <w:spacing w:after="0"/>
        <w:rPr>
          <w:sz w:val="20"/>
          <w:szCs w:val="20"/>
          <w:color w:val="auto"/>
        </w:rPr>
      </w:pPr>
      <w:r>
        <w:rPr>
          <w:rFonts w:ascii="Times New Roman" w:cs="Times New Roman" w:eastAsia="Times New Roman" w:hAnsi="Times New Roman"/>
          <w:sz w:val="19"/>
          <w:szCs w:val="19"/>
          <w:color w:val="auto"/>
        </w:rPr>
        <w:t>IN WITNESS WHEREOF, the parties hereto have caused this Supplemental Indenture to be duly signed as of the date first written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THE GOODYEAR TIRE &amp; RUBBER COMPANY,</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as Successor Issuer</w:t>
      </w:r>
    </w:p>
    <w:p>
      <w:pPr>
        <w:spacing w:after="0" w:line="200" w:lineRule="exact"/>
        <w:rPr>
          <w:sz w:val="20"/>
          <w:szCs w:val="20"/>
          <w:color w:val="auto"/>
        </w:rPr>
      </w:pP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/s/ Christina L. Zamarro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3070225</wp:posOffset>
            </wp:positionH>
            <wp:positionV relativeFrom="paragraph">
              <wp:posOffset>-10795</wp:posOffset>
            </wp:positionV>
            <wp:extent cx="179514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84">
                      <a:extLst>
                        <a:ext uri="{28A0092B-C50C-407E-A947-70E740481C1C}"/>
                      </a:extLst>
                    </a:blip>
                    <a:srcRect/>
                    <a:stretch>
                      <a:fillRect/>
                    </a:stretch>
                  </pic:blipFill>
                  <pic:spPr bwMode="auto">
                    <a:xfrm>
                      <a:off x="0" y="0"/>
                      <a:ext cx="179514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Christina L. Zamarro</w:t>
      </w:r>
    </w:p>
    <w:p>
      <w:pPr>
        <w:ind w:left="4500"/>
        <w:spacing w:after="0"/>
        <w:rPr>
          <w:sz w:val="20"/>
          <w:szCs w:val="20"/>
          <w:color w:val="auto"/>
        </w:rPr>
      </w:pPr>
      <w:r>
        <w:rPr>
          <w:rFonts w:ascii="Times New Roman" w:cs="Times New Roman" w:eastAsia="Times New Roman" w:hAnsi="Times New Roman"/>
          <w:sz w:val="20"/>
          <w:szCs w:val="20"/>
          <w:color w:val="auto"/>
        </w:rPr>
        <w:t>Title: Vice President, Finance and Treasurer</w:t>
      </w:r>
    </w:p>
    <w:p>
      <w:pPr>
        <w:spacing w:after="0" w:line="200" w:lineRule="exact"/>
        <w:rPr>
          <w:sz w:val="20"/>
          <w:szCs w:val="20"/>
          <w:color w:val="auto"/>
        </w:rPr>
      </w:pPr>
    </w:p>
    <w:p>
      <w:pPr>
        <w:spacing w:after="0" w:line="2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COOPER TIRE &amp; RUBBER COMPANY,</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as Existing Issuer</w:t>
      </w:r>
    </w:p>
    <w:p>
      <w:pPr>
        <w:spacing w:after="0" w:line="200" w:lineRule="exact"/>
        <w:rPr>
          <w:sz w:val="20"/>
          <w:szCs w:val="20"/>
          <w:color w:val="auto"/>
        </w:rPr>
      </w:pPr>
    </w:p>
    <w:p>
      <w:pPr>
        <w:spacing w:after="0" w:line="2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/s/ Christina L. Zamarro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3070225</wp:posOffset>
            </wp:positionH>
            <wp:positionV relativeFrom="paragraph">
              <wp:posOffset>-10795</wp:posOffset>
            </wp:positionV>
            <wp:extent cx="179514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85">
                      <a:extLst>
                        <a:ext uri="{28A0092B-C50C-407E-A947-70E740481C1C}"/>
                      </a:extLst>
                    </a:blip>
                    <a:srcRect/>
                    <a:stretch>
                      <a:fillRect/>
                    </a:stretch>
                  </pic:blipFill>
                  <pic:spPr bwMode="auto">
                    <a:xfrm>
                      <a:off x="0" y="0"/>
                      <a:ext cx="179514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Christina L. Zamarro</w:t>
      </w:r>
    </w:p>
    <w:p>
      <w:pPr>
        <w:ind w:left="4500"/>
        <w:spacing w:after="0"/>
        <w:rPr>
          <w:sz w:val="20"/>
          <w:szCs w:val="20"/>
          <w:color w:val="auto"/>
        </w:rPr>
      </w:pPr>
      <w:r>
        <w:rPr>
          <w:rFonts w:ascii="Times New Roman" w:cs="Times New Roman" w:eastAsia="Times New Roman" w:hAnsi="Times New Roman"/>
          <w:sz w:val="20"/>
          <w:szCs w:val="20"/>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THE BANK OF NEW YORK MELLON,</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as Trustee</w:t>
      </w:r>
    </w:p>
    <w:p>
      <w:pPr>
        <w:spacing w:after="0" w:line="200" w:lineRule="exact"/>
        <w:rPr>
          <w:sz w:val="20"/>
          <w:szCs w:val="20"/>
          <w:color w:val="auto"/>
        </w:rPr>
      </w:pP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/s/ Francine Kincaid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-10795</wp:posOffset>
            </wp:positionV>
            <wp:extent cx="182626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86">
                      <a:extLst>
                        <a:ext uri="{28A0092B-C50C-407E-A947-70E740481C1C}"/>
                      </a:extLst>
                    </a:blip>
                    <a:srcRect/>
                    <a:stretch>
                      <a:fillRect/>
                    </a:stretch>
                  </pic:blipFill>
                  <pic:spPr bwMode="auto">
                    <a:xfrm>
                      <a:off x="0" y="0"/>
                      <a:ext cx="1826260"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Francine Kincaid</w:t>
      </w:r>
    </w:p>
    <w:p>
      <w:pPr>
        <w:ind w:left="450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7157720"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59" w:right="499" w:bottom="1440" w:gutter="0" w:footer="0" w:header="0"/>
        </w:sectPr>
      </w:pPr>
    </w:p>
    <w:bookmarkStart w:id="130" w:name="page131"/>
    <w:bookmarkEnd w:id="130"/>
    <w:p>
      <w:pPr>
        <w:ind w:left="10120"/>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SUBSIDIARIES OF THE REGISTRANT (1) (2) (3)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subsidiary companies of The Goodyear Tire &amp; Rubber Company at December 31, 2022, and the places of incorporation or organization thereof, are:</w:t>
      </w:r>
    </w:p>
    <w:p>
      <w:pPr>
        <w:spacing w:after="0" w:line="200" w:lineRule="exact"/>
        <w:rPr>
          <w:sz w:val="20"/>
          <w:szCs w:val="20"/>
          <w:color w:val="auto"/>
        </w:rPr>
      </w:pP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8160" w:type="dxa"/>
            <w:vAlign w:val="bottom"/>
          </w:tcPr>
          <w:p>
            <w:pPr>
              <w:spacing w:after="0"/>
              <w:rPr>
                <w:sz w:val="17"/>
                <w:szCs w:val="17"/>
                <w:color w:val="auto"/>
              </w:rPr>
            </w:pPr>
          </w:p>
        </w:tc>
        <w:tc>
          <w:tcPr>
            <w:tcW w:w="30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PLACE OF</w:t>
            </w:r>
          </w:p>
        </w:tc>
      </w:tr>
      <w:tr>
        <w:trPr>
          <w:trHeight w:val="202"/>
        </w:trPr>
        <w:tc>
          <w:tcPr>
            <w:tcW w:w="8160" w:type="dxa"/>
            <w:vAlign w:val="bottom"/>
          </w:tcPr>
          <w:p>
            <w:pPr>
              <w:spacing w:after="0"/>
              <w:rPr>
                <w:sz w:val="17"/>
                <w:szCs w:val="17"/>
                <w:color w:val="auto"/>
              </w:rPr>
            </w:pPr>
          </w:p>
        </w:tc>
        <w:tc>
          <w:tcPr>
            <w:tcW w:w="30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INCORPORATION</w:t>
            </w:r>
          </w:p>
        </w:tc>
      </w:tr>
      <w:tr>
        <w:trPr>
          <w:trHeight w:val="202"/>
        </w:trPr>
        <w:tc>
          <w:tcPr>
            <w:tcW w:w="8160" w:type="dxa"/>
            <w:vAlign w:val="bottom"/>
          </w:tcPr>
          <w:p>
            <w:pPr>
              <w:ind w:left="1220"/>
              <w:spacing w:after="0"/>
              <w:rPr>
                <w:sz w:val="20"/>
                <w:szCs w:val="20"/>
                <w:color w:val="auto"/>
              </w:rPr>
            </w:pPr>
            <w:r>
              <w:rPr>
                <w:rFonts w:ascii="Times New Roman" w:cs="Times New Roman" w:eastAsia="Times New Roman" w:hAnsi="Times New Roman"/>
                <w:sz w:val="16"/>
                <w:szCs w:val="16"/>
                <w:b w:val="1"/>
                <w:bCs w:val="1"/>
                <w:color w:val="auto"/>
              </w:rPr>
              <w:t>NAME OF SUBSIDIARY</w:t>
            </w:r>
          </w:p>
        </w:tc>
        <w:tc>
          <w:tcPr>
            <w:tcW w:w="30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OR ORGANIZATION</w:t>
            </w:r>
          </w:p>
        </w:tc>
      </w:tr>
      <w:tr>
        <w:trPr>
          <w:trHeight w:val="212"/>
        </w:trPr>
        <w:tc>
          <w:tcPr>
            <w:tcW w:w="8160" w:type="dxa"/>
            <w:vAlign w:val="bottom"/>
          </w:tcPr>
          <w:p>
            <w:pPr>
              <w:ind w:left="1220"/>
              <w:spacing w:after="0"/>
              <w:rPr>
                <w:sz w:val="20"/>
                <w:szCs w:val="20"/>
                <w:color w:val="auto"/>
              </w:rPr>
            </w:pPr>
            <w:r>
              <w:rPr>
                <w:rFonts w:ascii="Times New Roman" w:cs="Times New Roman" w:eastAsia="Times New Roman" w:hAnsi="Times New Roman"/>
                <w:sz w:val="16"/>
                <w:szCs w:val="16"/>
                <w:b w:val="1"/>
                <w:bCs w:val="1"/>
                <w:color w:val="auto"/>
              </w:rPr>
              <w:t>---------------------------------</w:t>
            </w:r>
          </w:p>
        </w:tc>
        <w:tc>
          <w:tcPr>
            <w:tcW w:w="30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30"/>
        </w:trPr>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3080" w:type="dxa"/>
            <w:vAlign w:val="bottom"/>
          </w:tcPr>
          <w:p>
            <w:pPr>
              <w:spacing w:after="0"/>
              <w:rPr>
                <w:sz w:val="24"/>
                <w:szCs w:val="24"/>
                <w:color w:val="auto"/>
              </w:rPr>
            </w:pPr>
          </w:p>
        </w:tc>
      </w:tr>
      <w:tr>
        <w:trPr>
          <w:trHeight w:val="94"/>
        </w:trPr>
        <w:tc>
          <w:tcPr>
            <w:tcW w:w="8160" w:type="dxa"/>
            <w:vAlign w:val="bottom"/>
            <w:tcBorders>
              <w:bottom w:val="single" w:sz="8" w:color="auto"/>
            </w:tcBorders>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r>
      <w:tr>
        <w:trPr>
          <w:trHeight w:val="232"/>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Celeron Corporation</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International Holding Corporation</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Tire Holding Company</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Ohio</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Tire &amp; Rubber Company LLC</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Tire &amp; Rubber Company Vietnam Holding, LLC</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Divested Atomic Corporation</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Divested Companies Holding Company</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Divested Litchfield Park Properties, Inc.</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Arizona</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Export Inc.</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Farms, Inc.</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Arizona</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International Corporation</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Western Hemisphere Corporation</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Laurelwood Properties, Inc.</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Max-Trac Tire Co., Inc.</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Ohio</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Raben Tire Co., LLC</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Indiana</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Retreading L, Inc.</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Retreading L, Inc. of Oregon</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Oregon</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Ridge Property NC, LLC</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T&amp;WA, Inc.</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Kentucky</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Wingfoot Brands LLC</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Wingfoot Corporation</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1" w:name="page132"/>
    <w:bookmarkEnd w:id="131"/>
    <w:tbl>
      <w:tblPr>
        <w:tblLayout w:type="fixed"/>
        <w:tblInd w:w="10" w:type="dxa"/>
        <w:tblCellMar>
          <w:top w:w="0" w:type="dxa"/>
          <w:left w:w="0" w:type="dxa"/>
          <w:bottom w:w="0" w:type="dxa"/>
          <w:right w:w="0" w:type="dxa"/>
        </w:tblCellMar>
      </w:tblPr>
      <w:tr>
        <w:trPr>
          <w:trHeight w:val="202"/>
        </w:trPr>
        <w:tc>
          <w:tcPr>
            <w:tcW w:w="7920" w:type="dxa"/>
            <w:vAlign w:val="bottom"/>
          </w:tcPr>
          <w:p>
            <w:pPr>
              <w:spacing w:after="0"/>
              <w:rPr>
                <w:sz w:val="17"/>
                <w:szCs w:val="17"/>
                <w:color w:val="auto"/>
              </w:rPr>
            </w:pPr>
          </w:p>
        </w:tc>
        <w:tc>
          <w:tcPr>
            <w:tcW w:w="29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PLACE OF</w:t>
            </w:r>
          </w:p>
        </w:tc>
      </w:tr>
      <w:tr>
        <w:trPr>
          <w:trHeight w:val="202"/>
        </w:trPr>
        <w:tc>
          <w:tcPr>
            <w:tcW w:w="7920" w:type="dxa"/>
            <w:vAlign w:val="bottom"/>
          </w:tcPr>
          <w:p>
            <w:pPr>
              <w:spacing w:after="0"/>
              <w:rPr>
                <w:sz w:val="17"/>
                <w:szCs w:val="17"/>
                <w:color w:val="auto"/>
              </w:rPr>
            </w:pPr>
          </w:p>
        </w:tc>
        <w:tc>
          <w:tcPr>
            <w:tcW w:w="29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INCORPORATION</w:t>
            </w:r>
          </w:p>
        </w:tc>
      </w:tr>
      <w:tr>
        <w:trPr>
          <w:trHeight w:val="202"/>
        </w:trPr>
        <w:tc>
          <w:tcPr>
            <w:tcW w:w="7920" w:type="dxa"/>
            <w:vAlign w:val="bottom"/>
          </w:tcPr>
          <w:p>
            <w:pPr>
              <w:ind w:left="1220"/>
              <w:spacing w:after="0"/>
              <w:rPr>
                <w:sz w:val="20"/>
                <w:szCs w:val="20"/>
                <w:color w:val="auto"/>
              </w:rPr>
            </w:pPr>
            <w:r>
              <w:rPr>
                <w:rFonts w:ascii="Times New Roman" w:cs="Times New Roman" w:eastAsia="Times New Roman" w:hAnsi="Times New Roman"/>
                <w:sz w:val="16"/>
                <w:szCs w:val="16"/>
                <w:b w:val="1"/>
                <w:bCs w:val="1"/>
                <w:color w:val="auto"/>
              </w:rPr>
              <w:t>NAME OF SUBSIDIARY</w:t>
            </w:r>
          </w:p>
        </w:tc>
        <w:tc>
          <w:tcPr>
            <w:tcW w:w="29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OR ORGANIZATION</w:t>
            </w:r>
          </w:p>
        </w:tc>
      </w:tr>
      <w:tr>
        <w:trPr>
          <w:trHeight w:val="226"/>
        </w:trPr>
        <w:tc>
          <w:tcPr>
            <w:tcW w:w="7920" w:type="dxa"/>
            <w:vAlign w:val="bottom"/>
          </w:tcPr>
          <w:p>
            <w:pPr>
              <w:ind w:left="1220"/>
              <w:spacing w:after="0"/>
              <w:rPr>
                <w:sz w:val="20"/>
                <w:szCs w:val="20"/>
                <w:color w:val="auto"/>
              </w:rPr>
            </w:pPr>
            <w:r>
              <w:rPr>
                <w:rFonts w:ascii="Times New Roman" w:cs="Times New Roman" w:eastAsia="Times New Roman" w:hAnsi="Times New Roman"/>
                <w:sz w:val="16"/>
                <w:szCs w:val="16"/>
                <w:b w:val="1"/>
                <w:bCs w:val="1"/>
                <w:color w:val="auto"/>
              </w:rPr>
              <w:t>---------------------------------</w:t>
            </w:r>
          </w:p>
        </w:tc>
        <w:tc>
          <w:tcPr>
            <w:tcW w:w="29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30"/>
        </w:trPr>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980" w:type="dxa"/>
            <w:vAlign w:val="bottom"/>
          </w:tcPr>
          <w:p>
            <w:pPr>
              <w:spacing w:after="0"/>
              <w:rPr>
                <w:sz w:val="24"/>
                <w:szCs w:val="24"/>
                <w:color w:val="auto"/>
              </w:rPr>
            </w:pPr>
          </w:p>
        </w:tc>
      </w:tr>
      <w:tr>
        <w:trPr>
          <w:trHeight w:val="94"/>
        </w:trPr>
        <w:tc>
          <w:tcPr>
            <w:tcW w:w="792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r>
      <w:tr>
        <w:trPr>
          <w:trHeight w:val="232"/>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Airship Comercio de Produtos de Borracha e Participacoes Societarias Ltda</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Burkhardt GmbH</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Germany</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 Goodyear de Venezuela</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Venezuela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+Compania Goodyear del Peru, S.A.</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Peru</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Global Holding Co., Ltd.</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Barbados</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International Rubber, Limited</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Jamaica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(Kunshan) Tire Co., Ltd.</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Tire Asia-Pacific (Shanghai) Trading Co.</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Tire (China) Investment Co., Ltd.</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Tire International Trading Company</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Tire &amp; Rubber Company (Barbados) Ltd.</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Barbados</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Tire &amp; Rubber Company Brazil Ltda.</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Tire &amp; Rubber Company de Mexico S.A. de CV</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Mexico</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Tire &amp; Rubber Company Europe Ltd.</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England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Tire &amp; Rubber Company Italia S.r.l.</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Italy</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Tire &amp; Rubber Company Serbia d.o.o.</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Serbia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Tire &amp; Rubber Company Slovakia s.r.o.</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Slovakia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Tire &amp; Rubber Company Suisse S.A.</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Switzerland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Tire &amp; Rubber International Trading Limited</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Tyre &amp; Rubber Company UK Limited</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England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Corporacion de Occidente SA de CV</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Mexico</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+DNA (Housemarks) Limited</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England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Dunglaide Limited</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England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Dunlop Tyres Limited</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England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Easy Autocentres Limited</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England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Fonds de Pension Goodyear ASBL</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Luxembourg</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G.I.E. Goodyear Mireval</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France</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Amiens SAS</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France</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Australia Pty Limited</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Australia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Austria GmbH</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Austria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Baltic OU</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Estonia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Belgium N.V.</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Belgium</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Canada Inc.</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Canada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Czech s.r.o.</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Czech Republic</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Dalian Tire Company Ltd.</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Danmark A/S</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Denmark</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de Chile S.A.I.C.</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Chile</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de Colombia S.A.</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Colombia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do Brasil Produtos de Borracha Ltda</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&amp; Dunlop Tyres (Australia) Pty Ltd</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Australia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&amp; Dunlop Tyres (NZ)</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New Zealand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Dunlop Tires Ireland (Pension Trustees) Ltd.</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Ireland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Dunlop Tyres UK (Pension Trustees) Limited</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England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Earthmover Pty Ltd</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Australia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Egypt L.L.C.</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Egypt</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Europe B.V.</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Netherlands</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Finland OY</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Finland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380" w:right="679" w:bottom="1440" w:gutter="0" w:footer="0" w:header="0"/>
        </w:sectPr>
      </w:pPr>
    </w:p>
    <w:bookmarkStart w:id="132" w:name="page133"/>
    <w:bookmarkEnd w:id="132"/>
    <w:tbl>
      <w:tblPr>
        <w:tblLayout w:type="fixed"/>
        <w:tblInd w:w="10" w:type="dxa"/>
        <w:tblCellMar>
          <w:top w:w="0" w:type="dxa"/>
          <w:left w:w="0" w:type="dxa"/>
          <w:bottom w:w="0" w:type="dxa"/>
          <w:right w:w="0" w:type="dxa"/>
        </w:tblCellMar>
      </w:tblPr>
      <w:tr>
        <w:trPr>
          <w:trHeight w:val="202"/>
        </w:trPr>
        <w:tc>
          <w:tcPr>
            <w:tcW w:w="7920" w:type="dxa"/>
            <w:vAlign w:val="bottom"/>
          </w:tcPr>
          <w:p>
            <w:pPr>
              <w:spacing w:after="0"/>
              <w:rPr>
                <w:sz w:val="17"/>
                <w:szCs w:val="17"/>
                <w:color w:val="auto"/>
              </w:rPr>
            </w:pPr>
          </w:p>
        </w:tc>
        <w:tc>
          <w:tcPr>
            <w:tcW w:w="29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PLACE OF</w:t>
            </w:r>
          </w:p>
        </w:tc>
      </w:tr>
      <w:tr>
        <w:trPr>
          <w:trHeight w:val="202"/>
        </w:trPr>
        <w:tc>
          <w:tcPr>
            <w:tcW w:w="7920" w:type="dxa"/>
            <w:vAlign w:val="bottom"/>
          </w:tcPr>
          <w:p>
            <w:pPr>
              <w:spacing w:after="0"/>
              <w:rPr>
                <w:sz w:val="17"/>
                <w:szCs w:val="17"/>
                <w:color w:val="auto"/>
              </w:rPr>
            </w:pPr>
          </w:p>
        </w:tc>
        <w:tc>
          <w:tcPr>
            <w:tcW w:w="29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INCORPORATION</w:t>
            </w:r>
          </w:p>
        </w:tc>
      </w:tr>
      <w:tr>
        <w:trPr>
          <w:trHeight w:val="202"/>
        </w:trPr>
        <w:tc>
          <w:tcPr>
            <w:tcW w:w="7920" w:type="dxa"/>
            <w:vAlign w:val="bottom"/>
          </w:tcPr>
          <w:p>
            <w:pPr>
              <w:ind w:left="1220"/>
              <w:spacing w:after="0"/>
              <w:rPr>
                <w:sz w:val="20"/>
                <w:szCs w:val="20"/>
                <w:color w:val="auto"/>
              </w:rPr>
            </w:pPr>
            <w:r>
              <w:rPr>
                <w:rFonts w:ascii="Times New Roman" w:cs="Times New Roman" w:eastAsia="Times New Roman" w:hAnsi="Times New Roman"/>
                <w:sz w:val="16"/>
                <w:szCs w:val="16"/>
                <w:b w:val="1"/>
                <w:bCs w:val="1"/>
                <w:color w:val="auto"/>
              </w:rPr>
              <w:t>NAME OF SUBSIDIARY</w:t>
            </w:r>
          </w:p>
        </w:tc>
        <w:tc>
          <w:tcPr>
            <w:tcW w:w="29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OR ORGANIZATION</w:t>
            </w:r>
          </w:p>
        </w:tc>
      </w:tr>
      <w:tr>
        <w:trPr>
          <w:trHeight w:val="226"/>
        </w:trPr>
        <w:tc>
          <w:tcPr>
            <w:tcW w:w="7920" w:type="dxa"/>
            <w:vAlign w:val="bottom"/>
          </w:tcPr>
          <w:p>
            <w:pPr>
              <w:ind w:left="1220"/>
              <w:spacing w:after="0"/>
              <w:rPr>
                <w:sz w:val="20"/>
                <w:szCs w:val="20"/>
                <w:color w:val="auto"/>
              </w:rPr>
            </w:pPr>
            <w:r>
              <w:rPr>
                <w:rFonts w:ascii="Times New Roman" w:cs="Times New Roman" w:eastAsia="Times New Roman" w:hAnsi="Times New Roman"/>
                <w:sz w:val="16"/>
                <w:szCs w:val="16"/>
                <w:b w:val="1"/>
                <w:bCs w:val="1"/>
                <w:color w:val="auto"/>
              </w:rPr>
              <w:t>---------------------------------</w:t>
            </w:r>
          </w:p>
        </w:tc>
        <w:tc>
          <w:tcPr>
            <w:tcW w:w="29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89"/>
        </w:trPr>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980" w:type="dxa"/>
            <w:vAlign w:val="bottom"/>
          </w:tcPr>
          <w:p>
            <w:pPr>
              <w:spacing w:after="0"/>
              <w:rPr>
                <w:sz w:val="24"/>
                <w:szCs w:val="24"/>
                <w:color w:val="auto"/>
              </w:rPr>
            </w:pPr>
          </w:p>
        </w:tc>
      </w:tr>
      <w:tr>
        <w:trPr>
          <w:trHeight w:val="54"/>
        </w:trPr>
        <w:tc>
          <w:tcPr>
            <w:tcW w:w="7920" w:type="dxa"/>
            <w:vAlign w:val="bottom"/>
            <w:tcBorders>
              <w:bottom w:val="single" w:sz="8" w:color="auto"/>
            </w:tcBorders>
          </w:tcPr>
          <w:p>
            <w:pPr>
              <w:spacing w:after="0"/>
              <w:rPr>
                <w:sz w:val="4"/>
                <w:szCs w:val="4"/>
                <w:color w:val="auto"/>
              </w:rPr>
            </w:pPr>
          </w:p>
        </w:tc>
        <w:tc>
          <w:tcPr>
            <w:tcW w:w="2980" w:type="dxa"/>
            <w:vAlign w:val="bottom"/>
            <w:tcBorders>
              <w:bottom w:val="single" w:sz="8" w:color="auto"/>
            </w:tcBorders>
          </w:tcPr>
          <w:p>
            <w:pPr>
              <w:spacing w:after="0"/>
              <w:rPr>
                <w:sz w:val="4"/>
                <w:szCs w:val="4"/>
                <w:color w:val="auto"/>
              </w:rPr>
            </w:pPr>
          </w:p>
        </w:tc>
      </w:tr>
      <w:tr>
        <w:trPr>
          <w:trHeight w:val="232"/>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France SAS</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France</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Germany GmbH</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Germany Manufacturing GmbH &amp; Co. KG</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Grund und Service Verwaltungs GmbH</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Hanau Manufacturing GmbH &amp; Co. KG</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Hellas Single Member Industrial and Commercial Societe Anonyme</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Greece</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Holdings Sarl</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Luxembourg</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Hrvatska d.o.o.</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Croatia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Hungary Kft.</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Hungary</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India Ltd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Industrial Rubber Products Ltd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England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Italiana S.p.A.</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Italy</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Jamaica Limited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Jamaica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Korea Company</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South Korea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Lastikleri TAS</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Turkey</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Malaysia Berhad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Malaysia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Middle East FZE</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Dubai</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Mounting Solutions S.A.</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Luxembourg</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Nederland B.V.</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Netherlands</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Norge A/S</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Norway</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Operations S.A.</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Luxembourg</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Operations Romania SrL</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Romania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Orient Company Private Limited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Singapore</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Philippines, Inc.</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Philippines</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Polska Sp. z.o.o.</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Poland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Portugal Unipessoal, Ltda</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Portugal</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Regional Business Services Inc.</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Philippines</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Retail Systems GmbH</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Romania S.r.L.</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Romania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Russia LLC</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Russia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S.A.</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Luxembourg</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Servicios Comerciales S. de R.L. de C.V.</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Mexico</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(Shanghai) Trading Company Limited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Slovakia s.r.o.</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Slovakia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Slovenija d.o.o.</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Slovenia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Goodyear-SLP, S. de R.L. de C.V.</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Mexico</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South Africa (Pty) Ltd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South Africa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South Asia Tyres Private Limited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Suisse S.A.</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Switzerland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Sverige A.B.</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Sweden</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Taiwan Limited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Taiwan</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(Thailand) Public Company Limited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Thailand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Tire Management Company (Shanghai) Ltd.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Tires Espana S.A.</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Spain</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Tires Italia SpA</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Italy</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Tyre and Rubber Holdings (Pty) Ltd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South Africa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Tyres Ireland Ltd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Ireland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Tyres Pty Ltd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Australia</w:t>
            </w:r>
          </w:p>
        </w:tc>
      </w:tr>
    </w:tbl>
    <w:p>
      <w:pPr>
        <w:spacing w:after="0" w:line="200" w:lineRule="exact"/>
        <w:rPr>
          <w:sz w:val="20"/>
          <w:szCs w:val="20"/>
          <w:color w:val="auto"/>
        </w:rPr>
      </w:pPr>
    </w:p>
    <w:p>
      <w:pPr>
        <w:spacing w:after="0" w:line="20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380" w:right="679" w:bottom="1440" w:gutter="0" w:footer="0" w:header="0"/>
        </w:sectPr>
      </w:pPr>
    </w:p>
    <w:bookmarkStart w:id="133" w:name="page134"/>
    <w:bookmarkEnd w:id="133"/>
    <w:tbl>
      <w:tblPr>
        <w:tblLayout w:type="fixed"/>
        <w:tblInd w:w="10" w:type="dxa"/>
        <w:tblCellMar>
          <w:top w:w="0" w:type="dxa"/>
          <w:left w:w="0" w:type="dxa"/>
          <w:bottom w:w="0" w:type="dxa"/>
          <w:right w:w="0" w:type="dxa"/>
        </w:tblCellMar>
      </w:tblPr>
      <w:tr>
        <w:trPr>
          <w:trHeight w:val="202"/>
        </w:trPr>
        <w:tc>
          <w:tcPr>
            <w:tcW w:w="7920" w:type="dxa"/>
            <w:vAlign w:val="bottom"/>
          </w:tcPr>
          <w:p>
            <w:pPr>
              <w:spacing w:after="0"/>
              <w:rPr>
                <w:sz w:val="17"/>
                <w:szCs w:val="17"/>
                <w:color w:val="auto"/>
              </w:rPr>
            </w:pPr>
          </w:p>
        </w:tc>
        <w:tc>
          <w:tcPr>
            <w:tcW w:w="29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PLACE OF</w:t>
            </w:r>
          </w:p>
        </w:tc>
      </w:tr>
      <w:tr>
        <w:trPr>
          <w:trHeight w:val="202"/>
        </w:trPr>
        <w:tc>
          <w:tcPr>
            <w:tcW w:w="7920" w:type="dxa"/>
            <w:vAlign w:val="bottom"/>
          </w:tcPr>
          <w:p>
            <w:pPr>
              <w:spacing w:after="0"/>
              <w:rPr>
                <w:sz w:val="17"/>
                <w:szCs w:val="17"/>
                <w:color w:val="auto"/>
              </w:rPr>
            </w:pPr>
          </w:p>
        </w:tc>
        <w:tc>
          <w:tcPr>
            <w:tcW w:w="29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INCORPORATION</w:t>
            </w:r>
          </w:p>
        </w:tc>
      </w:tr>
      <w:tr>
        <w:trPr>
          <w:trHeight w:val="202"/>
        </w:trPr>
        <w:tc>
          <w:tcPr>
            <w:tcW w:w="7920" w:type="dxa"/>
            <w:vAlign w:val="bottom"/>
          </w:tcPr>
          <w:p>
            <w:pPr>
              <w:ind w:left="1220"/>
              <w:spacing w:after="0"/>
              <w:rPr>
                <w:sz w:val="20"/>
                <w:szCs w:val="20"/>
                <w:color w:val="auto"/>
              </w:rPr>
            </w:pPr>
            <w:r>
              <w:rPr>
                <w:rFonts w:ascii="Times New Roman" w:cs="Times New Roman" w:eastAsia="Times New Roman" w:hAnsi="Times New Roman"/>
                <w:sz w:val="16"/>
                <w:szCs w:val="16"/>
                <w:b w:val="1"/>
                <w:bCs w:val="1"/>
                <w:color w:val="auto"/>
              </w:rPr>
              <w:t>NAME OF SUBSIDIARY</w:t>
            </w:r>
          </w:p>
        </w:tc>
        <w:tc>
          <w:tcPr>
            <w:tcW w:w="29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OR ORGANIZATION</w:t>
            </w:r>
          </w:p>
        </w:tc>
      </w:tr>
      <w:tr>
        <w:trPr>
          <w:trHeight w:val="226"/>
        </w:trPr>
        <w:tc>
          <w:tcPr>
            <w:tcW w:w="7920" w:type="dxa"/>
            <w:vAlign w:val="bottom"/>
          </w:tcPr>
          <w:p>
            <w:pPr>
              <w:ind w:left="1220"/>
              <w:spacing w:after="0"/>
              <w:rPr>
                <w:sz w:val="20"/>
                <w:szCs w:val="20"/>
                <w:color w:val="auto"/>
              </w:rPr>
            </w:pPr>
            <w:r>
              <w:rPr>
                <w:rFonts w:ascii="Times New Roman" w:cs="Times New Roman" w:eastAsia="Times New Roman" w:hAnsi="Times New Roman"/>
                <w:sz w:val="16"/>
                <w:szCs w:val="16"/>
                <w:b w:val="1"/>
                <w:bCs w:val="1"/>
                <w:color w:val="auto"/>
              </w:rPr>
              <w:t>---------------------------------</w:t>
            </w:r>
          </w:p>
        </w:tc>
        <w:tc>
          <w:tcPr>
            <w:tcW w:w="29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89"/>
        </w:trPr>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980" w:type="dxa"/>
            <w:vAlign w:val="bottom"/>
          </w:tcPr>
          <w:p>
            <w:pPr>
              <w:spacing w:after="0"/>
              <w:rPr>
                <w:sz w:val="24"/>
                <w:szCs w:val="24"/>
                <w:color w:val="auto"/>
              </w:rPr>
            </w:pPr>
          </w:p>
        </w:tc>
      </w:tr>
      <w:tr>
        <w:trPr>
          <w:trHeight w:val="54"/>
        </w:trPr>
        <w:tc>
          <w:tcPr>
            <w:tcW w:w="7920" w:type="dxa"/>
            <w:vAlign w:val="bottom"/>
            <w:tcBorders>
              <w:bottom w:val="single" w:sz="8" w:color="auto"/>
            </w:tcBorders>
          </w:tcPr>
          <w:p>
            <w:pPr>
              <w:spacing w:after="0"/>
              <w:rPr>
                <w:sz w:val="4"/>
                <w:szCs w:val="4"/>
                <w:color w:val="auto"/>
              </w:rPr>
            </w:pPr>
          </w:p>
        </w:tc>
        <w:tc>
          <w:tcPr>
            <w:tcW w:w="2980" w:type="dxa"/>
            <w:vAlign w:val="bottom"/>
            <w:tcBorders>
              <w:bottom w:val="single" w:sz="8" w:color="auto"/>
            </w:tcBorders>
          </w:tcPr>
          <w:p>
            <w:pPr>
              <w:spacing w:after="0"/>
              <w:rPr>
                <w:sz w:val="4"/>
                <w:szCs w:val="4"/>
                <w:color w:val="auto"/>
              </w:rPr>
            </w:pPr>
          </w:p>
        </w:tc>
      </w:tr>
      <w:tr>
        <w:trPr>
          <w:trHeight w:val="232"/>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Tyres UK Limited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England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Tyres Vietnam LLC</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Vietnam</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Ukraine LLC</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Ukraine</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Ventech GmbH</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Versicherungsservice GmbH</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GY Tire Kitakanto Kabushiki Kaisha</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Hi-Q Automotive (Pty) Ltd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South Africa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HiQ Holdings Limited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England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Kabushiki Kaisha Goodyear Aviation Japan</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Kabushiki Kaisha Tohoku GY</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Kelly-Springfield Tyre Company Ltd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England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Kettering Tyres Ltd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England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Motorway Tyres &amp; Accessories (UK) Limited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England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Neumaticos Goodyear S.r.L.</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Argentina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Nippon Giant Tire Kabushiki Kaisha</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Nippon Goodyear Kabushiki Kaisha</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+P.T. Goodyear Indonesia Tbk</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+Qingdao Ge Rui Da Rubber Co., Ltd.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Reifen Baierlacher GmbH</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Reifen Burkhardt GmbH</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Saudi Goodyear Management Consulting Co.</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Saudi Arabia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Snella Auto SAS</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France</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SP Brand Holding EEIG</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Belgium</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+Tire Company Debica S.A.</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Poland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Tyres Australia Pty Ltd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Australia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Tren Tyre Holdings (Pty) Ltd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South Africa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+Trentyre (Lesotho) (Pty) Ltd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Lesotho</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+Trentyre (Pty) Ltd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South Africa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Tyre Services Great Britain Limited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England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UK Tyres Lubricants Limited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England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Vulco Developpement</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France</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Vulco Truck Services</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France</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Weeting Tyres Limited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England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Wingfoot Insurance Company Limited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Bermuda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WTL Suffolk Limited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England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 Fleet Group GmbH</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r>
    </w:tbl>
    <w:p>
      <w:pPr>
        <w:spacing w:after="0" w:line="224" w:lineRule="exact"/>
        <w:rPr>
          <w:sz w:val="20"/>
          <w:szCs w:val="20"/>
          <w:color w:val="auto"/>
        </w:rPr>
      </w:pPr>
    </w:p>
    <w:p>
      <w:pPr>
        <w:ind w:right="20" w:firstLine="8"/>
        <w:spacing w:after="0" w:line="281" w:lineRule="auto"/>
        <w:tabs>
          <w:tab w:leader="none" w:pos="3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subsidiaries named in the foregoing list conducts its business under its corporate name and, in a few instances, under a shortened form of its corporate name or in combination with a trade name.</w:t>
      </w:r>
    </w:p>
    <w:p>
      <w:pPr>
        <w:spacing w:after="0" w:line="162" w:lineRule="exact"/>
        <w:rPr>
          <w:rFonts w:ascii="Times New Roman" w:cs="Times New Roman" w:eastAsia="Times New Roman" w:hAnsi="Times New Roman"/>
          <w:sz w:val="18"/>
          <w:szCs w:val="18"/>
          <w:color w:val="auto"/>
        </w:rPr>
      </w:pPr>
    </w:p>
    <w:p>
      <w:pPr>
        <w:jc w:val="both"/>
        <w:ind w:firstLine="8"/>
        <w:spacing w:after="0" w:line="256" w:lineRule="auto"/>
        <w:tabs>
          <w:tab w:leader="none" w:pos="3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subsidiaries named in the foregoing list is directly or indirectly wholly-owned by the Registrant, except that in respect of each of the following subsidiaries (marked by a plus preceding its name) the Registrant directly or indirectly owns the indicated percentage of such subsidiary’s equity capital: Compania Goodyear del Peru, S.A., 99.54%; DNA (Housemarks) Limited, 98%; Goodyear India Ltd., 74%; Goodyear Jamaica Limited, 60%; Goodyear Lastikleri TAS, 74.6%; Goodyear Malaysia Berhad, 51%; Goodyear Philippines, Inc., 88.54%; Goodyear Taiwan Limited, 94.22%; Goodyear (Thailand) Public Company Limited, 66.87%; P.T. Goodyear Indonesia Tbk, 85%; Qingdao Ge Rui Da Rubber Co., Ltd., 65%, Tire Company Debica S.A., 87.25%; Trentyre (Lesotho) (Pty) Ltd, 69.93%; and Trentyre (Pty) Ltd, 69.93%.</w:t>
      </w:r>
    </w:p>
    <w:p>
      <w:pPr>
        <w:spacing w:after="0" w:line="185" w:lineRule="exact"/>
        <w:rPr>
          <w:rFonts w:ascii="Times New Roman" w:cs="Times New Roman" w:eastAsia="Times New Roman" w:hAnsi="Times New Roman"/>
          <w:sz w:val="18"/>
          <w:szCs w:val="18"/>
          <w:color w:val="auto"/>
        </w:rPr>
      </w:pPr>
    </w:p>
    <w:p>
      <w:pPr>
        <w:ind w:right="40" w:firstLine="8"/>
        <w:spacing w:after="0" w:line="258" w:lineRule="auto"/>
        <w:tabs>
          <w:tab w:leader="none" w:pos="3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C.A. Goodyear de Venezuela and Wingfoot Corporation, at December 31, 2022, the Registrant did not have any majority owned subsidiaries that were not consolidated.</w:t>
      </w:r>
    </w:p>
    <w:p>
      <w:pPr>
        <w:spacing w:after="0" w:line="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80" w:right="51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SUBSIDIARY GUARANTORS</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following subsidiaries of The Goodyear Tire &amp; Rubber Company (the "Parent Company") were, as of December 31, 2022, guarantors of the Company's 9.5% senior notes due 2025, 5% senior notes due 2026, 4.875% senior notes due 2027, 5% senior notes due 2029, 5.25% senior notes due April 2031, 5.25% senior notes due July 2031 and 5.625% senior notes due 2033: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PLACE OF</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INCORPORATION</w:t>
            </w:r>
          </w:p>
        </w:tc>
      </w:tr>
      <w:tr>
        <w:trPr>
          <w:trHeight w:val="198"/>
        </w:trPr>
        <w:tc>
          <w:tcPr>
            <w:tcW w:w="20" w:type="dxa"/>
            <w:vAlign w:val="bottom"/>
          </w:tcPr>
          <w:p>
            <w:pPr>
              <w:spacing w:after="0"/>
              <w:rPr>
                <w:sz w:val="17"/>
                <w:szCs w:val="17"/>
                <w:color w:val="auto"/>
              </w:rPr>
            </w:pPr>
          </w:p>
        </w:tc>
        <w:tc>
          <w:tcPr>
            <w:tcW w:w="200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NAME OF SUBSIDIARY</w:t>
            </w:r>
          </w:p>
        </w:tc>
        <w:tc>
          <w:tcPr>
            <w:tcW w:w="6420" w:type="dxa"/>
            <w:vAlign w:val="bottom"/>
          </w:tcPr>
          <w:p>
            <w:pPr>
              <w:spacing w:after="0"/>
              <w:rPr>
                <w:sz w:val="17"/>
                <w:szCs w:val="17"/>
                <w:color w:val="auto"/>
              </w:rPr>
            </w:pPr>
          </w:p>
        </w:tc>
        <w:tc>
          <w:tcPr>
            <w:tcW w:w="176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OR ORGANIZATION</w:t>
            </w:r>
          </w:p>
        </w:tc>
        <w:tc>
          <w:tcPr>
            <w:tcW w:w="1040" w:type="dxa"/>
            <w:vAlign w:val="bottom"/>
          </w:tcPr>
          <w:p>
            <w:pPr>
              <w:spacing w:after="0"/>
              <w:rPr>
                <w:sz w:val="17"/>
                <w:szCs w:val="17"/>
                <w:color w:val="auto"/>
              </w:rPr>
            </w:pPr>
          </w:p>
        </w:tc>
      </w:tr>
      <w:tr>
        <w:trPr>
          <w:trHeight w:val="245"/>
        </w:trPr>
        <w:tc>
          <w:tcPr>
            <w:tcW w:w="20" w:type="dxa"/>
            <w:vAlign w:val="bottom"/>
          </w:tcPr>
          <w:p>
            <w:pPr>
              <w:spacing w:after="0"/>
              <w:rPr>
                <w:sz w:val="21"/>
                <w:szCs w:val="21"/>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Celeron Corporation</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 International Holding Corporation</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 Tire &amp; Rubber Company LLC</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 Tire &amp; Rubber Company Vietnam Holding, LLC</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 Tire Holding Company</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Ohio</w:t>
            </w:r>
          </w:p>
        </w:tc>
      </w:tr>
      <w:tr>
        <w:trPr>
          <w:trHeight w:val="229"/>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Divested Companies Holding Company</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Divested Litchfield Park Properties, Inc.</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Arizona</w:t>
            </w:r>
          </w:p>
        </w:tc>
      </w:tr>
      <w:tr>
        <w:trPr>
          <w:trHeight w:val="229"/>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Canada Inc.</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29"/>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Export Inc.</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Farms, Inc.</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Arizona</w:t>
            </w:r>
          </w:p>
        </w:tc>
      </w:tr>
      <w:tr>
        <w:trPr>
          <w:trHeight w:val="229"/>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International Corporation</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Western Hemisphere Corporation</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Max-Trac Tire Co., Inc.</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Ohio</w:t>
            </w:r>
          </w:p>
        </w:tc>
      </w:tr>
      <w:tr>
        <w:trPr>
          <w:trHeight w:val="229"/>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Raben Tire Co., LLC</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Indiana</w:t>
            </w:r>
          </w:p>
        </w:tc>
      </w:tr>
      <w:tr>
        <w:trPr>
          <w:trHeight w:val="229"/>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T&amp;WA, Inc.</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Kentucky</w:t>
            </w:r>
          </w:p>
        </w:tc>
      </w:tr>
      <w:tr>
        <w:trPr>
          <w:trHeight w:val="234"/>
        </w:trPr>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Wingfoot Brands LLC</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344"/>
        </w:trPr>
        <w:tc>
          <w:tcPr>
            <w:tcW w:w="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64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4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333-266570, 333-219603, 333-190252, 333-177752, 333-150405, 333-141468, 333-126566, and 333-126565) and Form S-3 (No. 333-238212) of The Goodyear Tire &amp; Rubber Company of our report dated February 13, 2023 relating to the financial statements, financial statement schedule and the effectiveness of internal control over financial reporting, which appears in this Form 10-K.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Cleveland, Ohio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6" w:name="page137"/>
    <w:bookmarkEnd w:id="136"/>
    <w:p>
      <w:pPr>
        <w:ind w:left="10060"/>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GOODYEAR TIRE &amp; RUBBER COMPANY</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111" w:lineRule="exact"/>
        <w:rPr>
          <w:sz w:val="20"/>
          <w:szCs w:val="20"/>
          <w:color w:val="auto"/>
        </w:rPr>
      </w:pPr>
    </w:p>
    <w:p>
      <w:pPr>
        <w:jc w:val="both"/>
        <w:ind w:firstLine="850"/>
        <w:spacing w:after="0" w:line="234" w:lineRule="auto"/>
        <w:rPr>
          <w:sz w:val="20"/>
          <w:szCs w:val="20"/>
          <w:color w:val="auto"/>
        </w:rPr>
      </w:pPr>
      <w:r>
        <w:rPr>
          <w:rFonts w:ascii="Times New Roman" w:cs="Times New Roman" w:eastAsia="Times New Roman" w:hAnsi="Times New Roman"/>
          <w:sz w:val="22"/>
          <w:szCs w:val="22"/>
          <w:b w:val="1"/>
          <w:bCs w:val="1"/>
          <w:color w:val="auto"/>
        </w:rPr>
        <w:t>KNOW ALL PERSONS BY THESE PRESENTS</w:t>
      </w:r>
      <w:r>
        <w:rPr>
          <w:rFonts w:ascii="Times New Roman" w:cs="Times New Roman" w:eastAsia="Times New Roman" w:hAnsi="Times New Roman"/>
          <w:sz w:val="22"/>
          <w:szCs w:val="22"/>
          <w:color w:val="auto"/>
        </w:rPr>
        <w:t>, that the undersigned directors of THE GOODYEAR TIRE &amp;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RUBBER COMPANY, a corporation organized and existing under the laws of the State of Ohio (the “Company”), hereby constitute and appoint DARREN R. WELLS, EVAN M. SCOCOS and DANIEL T. YOUNG, and each of them, their true and lawful attorneys-in-fact and agents, each one of them with full power and authority to sign the names of the undersigned directors to the Company’s Annual Report to the Securities and Exchange Commission on Form 10-K for its fiscal year ended December 31, 2022, and to any and all amendments, supplements and exhibits thereto and any other instruments filed in connection therewith; provided, however, that said attorneys-in-fact shall not sign the name of any director unless and until the Annual Report shall have been duly executed by the officers of the Company then serving as the chief executive officer of the Company, the principal financial officer of the Company and the principal accounting officer of the Company; and each of the undersigned hereby ratifies and confirms all that the said attorneys-in-fact and agents, or any one or more of them, shall do or cause to be done by virtue hereof.</w:t>
      </w:r>
    </w:p>
    <w:p>
      <w:pPr>
        <w:spacing w:after="0" w:line="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IN WITNESS WHEREOF, the undersigned have subscribed these presents this 6th day of December, 2022.</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22"/>
          <w:szCs w:val="22"/>
          <w:color w:val="auto"/>
        </w:rPr>
        <w:t>/s/ Norma B. Clayton</w:t>
      </w:r>
    </w:p>
    <w:p>
      <w:pPr>
        <w:spacing w:after="0" w:line="29"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22"/>
          <w:szCs w:val="22"/>
          <w:color w:val="auto"/>
        </w:rPr>
        <w:t>Norma B. Clayton,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329628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95">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200"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22"/>
          <w:szCs w:val="22"/>
          <w:color w:val="auto"/>
        </w:rPr>
        <w:t>/s/ Werner Geissler</w:t>
      </w:r>
    </w:p>
    <w:p>
      <w:pPr>
        <w:spacing w:after="0" w:line="29"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22"/>
          <w:szCs w:val="22"/>
          <w:color w:val="auto"/>
        </w:rPr>
        <w:t>Werner Geissler,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329628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96">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200"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22"/>
          <w:szCs w:val="22"/>
          <w:color w:val="auto"/>
        </w:rPr>
        <w:t>/s/ Richard J. Kramer</w:t>
      </w:r>
    </w:p>
    <w:p>
      <w:pPr>
        <w:spacing w:after="0" w:line="29"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22"/>
          <w:szCs w:val="22"/>
          <w:color w:val="auto"/>
        </w:rPr>
        <w:t>Richard J. Kramer,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329628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97">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200"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22"/>
          <w:szCs w:val="22"/>
          <w:color w:val="auto"/>
        </w:rPr>
        <w:t>/s/ Prashanth Mahendra-Rajah</w:t>
      </w:r>
    </w:p>
    <w:p>
      <w:pPr>
        <w:spacing w:after="0" w:line="29"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20"/>
          <w:szCs w:val="20"/>
          <w:color w:val="auto"/>
        </w:rPr>
        <w:t>Prashanth Mahendra-Rajah,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329628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98">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223"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22"/>
          <w:szCs w:val="22"/>
          <w:color w:val="auto"/>
        </w:rPr>
        <w:t>/s/ Roderick A. Palmore</w:t>
      </w:r>
    </w:p>
    <w:p>
      <w:pPr>
        <w:spacing w:after="0" w:line="29"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22"/>
          <w:szCs w:val="22"/>
          <w:color w:val="auto"/>
        </w:rPr>
        <w:t>Roderick A. Palmore,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329628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99">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200"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22"/>
          <w:szCs w:val="22"/>
          <w:color w:val="auto"/>
        </w:rPr>
        <w:t>/s/ Michael R. Wessel</w:t>
      </w:r>
    </w:p>
    <w:p>
      <w:pPr>
        <w:spacing w:after="0" w:line="29"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22"/>
          <w:szCs w:val="22"/>
          <w:color w:val="auto"/>
        </w:rPr>
        <w:t>Michael R. Wessel,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329628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800">
                      <a:extLst>
                        <a:ext uri="{28A0092B-C50C-407E-A947-70E740481C1C}"/>
                      </a:extLst>
                    </a:blip>
                    <a:srcRect/>
                    <a:stretch>
                      <a:fillRect/>
                    </a:stretch>
                  </pic:blipFill>
                  <pic:spPr bwMode="auto">
                    <a:xfrm>
                      <a:off x="0" y="0"/>
                      <a:ext cx="329628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204470</wp:posOffset>
            </wp:positionV>
            <wp:extent cx="7157720"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8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22"/>
          <w:szCs w:val="22"/>
          <w:color w:val="auto"/>
        </w:rPr>
        <w:t>/s/ James A. Firestone</w:t>
      </w:r>
    </w:p>
    <w:p>
      <w:pPr>
        <w:spacing w:after="0" w:line="29"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22"/>
          <w:szCs w:val="22"/>
          <w:color w:val="auto"/>
        </w:rPr>
        <w:t>James A. Firestone,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-159385</wp:posOffset>
            </wp:positionV>
            <wp:extent cx="328803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802">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spacing w:after="0" w:line="200"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22"/>
          <w:szCs w:val="22"/>
          <w:color w:val="auto"/>
        </w:rPr>
        <w:t>/s/ Laurette T. Koellner</w:t>
      </w:r>
    </w:p>
    <w:p>
      <w:pPr>
        <w:spacing w:after="0" w:line="29"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20"/>
          <w:szCs w:val="20"/>
          <w:color w:val="auto"/>
        </w:rPr>
        <w:t>Laurette T. Koellner,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-144780</wp:posOffset>
            </wp:positionV>
            <wp:extent cx="328803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803">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spacing w:after="0" w:line="223"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22"/>
          <w:szCs w:val="22"/>
          <w:color w:val="auto"/>
        </w:rPr>
        <w:t>/s/ Karla R. Lewis</w:t>
      </w:r>
    </w:p>
    <w:p>
      <w:pPr>
        <w:spacing w:after="0" w:line="29"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22"/>
          <w:szCs w:val="22"/>
          <w:color w:val="auto"/>
        </w:rPr>
        <w:t>Karla R. Lewis,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-159385</wp:posOffset>
            </wp:positionV>
            <wp:extent cx="328803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804">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spacing w:after="0" w:line="200"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22"/>
          <w:szCs w:val="22"/>
          <w:color w:val="auto"/>
        </w:rPr>
        <w:t>/s/ John E. McGlade</w:t>
      </w:r>
    </w:p>
    <w:p>
      <w:pPr>
        <w:spacing w:after="0" w:line="29"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22"/>
          <w:szCs w:val="22"/>
          <w:color w:val="auto"/>
        </w:rPr>
        <w:t>John E. McGlade,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-159385</wp:posOffset>
            </wp:positionV>
            <wp:extent cx="328803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805">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spacing w:after="0" w:line="200"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22"/>
          <w:szCs w:val="22"/>
          <w:color w:val="auto"/>
        </w:rPr>
        <w:t>/s/ Hera Siu</w:t>
      </w:r>
    </w:p>
    <w:p>
      <w:pPr>
        <w:spacing w:after="0" w:line="29"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22"/>
          <w:szCs w:val="22"/>
          <w:color w:val="auto"/>
        </w:rPr>
        <w:t>Hera Siu,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-159385</wp:posOffset>
            </wp:positionV>
            <wp:extent cx="328803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806">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spacing w:after="0" w:line="200"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22"/>
          <w:szCs w:val="22"/>
          <w:color w:val="auto"/>
        </w:rPr>
        <w:t>/s/ Thomas L. Williams</w:t>
      </w:r>
    </w:p>
    <w:p>
      <w:pPr>
        <w:spacing w:after="0" w:line="29"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20"/>
          <w:szCs w:val="20"/>
          <w:color w:val="auto"/>
        </w:rPr>
        <w:t>Thomas L. Williams,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-144780</wp:posOffset>
            </wp:positionV>
            <wp:extent cx="328803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807">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sectPr>
          <w:pgSz w:w="11900" w:h="16838" w:orient="portrait"/>
          <w:cols w:equalWidth="0" w:num="2">
            <w:col w:w="6640" w:space="720"/>
            <w:col w:w="3880"/>
          </w:cols>
          <w:pgMar w:left="320" w:top="117" w:right="339" w:bottom="1440" w:gutter="0" w:footer="0" w:header="0"/>
          <w:type w:val="continuous"/>
        </w:sectPr>
      </w:pPr>
    </w:p>
    <w:bookmarkStart w:id="137" w:name="page138"/>
    <w:bookmarkEnd w:id="137"/>
    <w:p>
      <w:pPr>
        <w:ind w:left="1004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J. Kramer, certify that:</w:t>
      </w:r>
    </w:p>
    <w:p>
      <w:pPr>
        <w:spacing w:after="0" w:line="139" w:lineRule="exact"/>
        <w:rPr>
          <w:sz w:val="20"/>
          <w:szCs w:val="20"/>
          <w:color w:val="auto"/>
        </w:rPr>
      </w:pPr>
    </w:p>
    <w:p>
      <w:pPr>
        <w:ind w:left="560" w:hanging="559"/>
        <w:spacing w:after="0"/>
        <w:tabs>
          <w:tab w:leader="none" w:pos="5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Goodyear Tire &amp; Rubber Company;</w:t>
      </w:r>
    </w:p>
    <w:p>
      <w:pPr>
        <w:spacing w:after="0" w:line="157" w:lineRule="exact"/>
        <w:rPr>
          <w:rFonts w:ascii="Times New Roman" w:cs="Times New Roman" w:eastAsia="Times New Roman" w:hAnsi="Times New Roman"/>
          <w:sz w:val="18"/>
          <w:szCs w:val="18"/>
          <w:color w:val="auto"/>
        </w:rPr>
      </w:pPr>
    </w:p>
    <w:p>
      <w:pPr>
        <w:jc w:val="both"/>
        <w:ind w:left="560" w:hanging="559"/>
        <w:spacing w:after="0" w:line="265" w:lineRule="auto"/>
        <w:tabs>
          <w:tab w:leader="none" w:pos="5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560" w:hanging="559"/>
        <w:spacing w:after="0" w:line="281" w:lineRule="auto"/>
        <w:tabs>
          <w:tab w:leader="none" w:pos="5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Times New Roman" w:cs="Times New Roman" w:eastAsia="Times New Roman" w:hAnsi="Times New Roman"/>
          <w:sz w:val="18"/>
          <w:szCs w:val="18"/>
          <w:color w:val="auto"/>
        </w:rPr>
      </w:pPr>
    </w:p>
    <w:p>
      <w:pPr>
        <w:jc w:val="both"/>
        <w:ind w:left="560" w:hanging="559"/>
        <w:spacing w:after="0" w:line="265" w:lineRule="auto"/>
        <w:tabs>
          <w:tab w:leader="none" w:pos="5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Times New Roman" w:cs="Times New Roman" w:eastAsia="Times New Roman" w:hAnsi="Times New Roman"/>
          <w:sz w:val="18"/>
          <w:szCs w:val="18"/>
          <w:color w:val="auto"/>
        </w:rPr>
      </w:pPr>
    </w:p>
    <w:p>
      <w:pPr>
        <w:jc w:val="both"/>
        <w:ind w:left="1140" w:hanging="572"/>
        <w:spacing w:after="0" w:line="265" w:lineRule="auto"/>
        <w:tabs>
          <w:tab w:leader="none" w:pos="11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Times New Roman" w:cs="Times New Roman" w:eastAsia="Times New Roman" w:hAnsi="Times New Roman"/>
          <w:sz w:val="18"/>
          <w:szCs w:val="18"/>
          <w:color w:val="auto"/>
        </w:rPr>
      </w:pPr>
    </w:p>
    <w:p>
      <w:pPr>
        <w:jc w:val="both"/>
        <w:ind w:left="1140" w:hanging="572"/>
        <w:spacing w:after="0" w:line="265" w:lineRule="auto"/>
        <w:tabs>
          <w:tab w:leader="none" w:pos="11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8"/>
          <w:szCs w:val="18"/>
          <w:color w:val="auto"/>
        </w:rPr>
      </w:pPr>
    </w:p>
    <w:p>
      <w:pPr>
        <w:ind w:left="1140" w:hanging="572"/>
        <w:spacing w:after="0" w:line="281" w:lineRule="auto"/>
        <w:tabs>
          <w:tab w:leader="none" w:pos="11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Times New Roman" w:cs="Times New Roman" w:eastAsia="Times New Roman" w:hAnsi="Times New Roman"/>
          <w:sz w:val="18"/>
          <w:szCs w:val="18"/>
          <w:color w:val="auto"/>
        </w:rPr>
      </w:pPr>
    </w:p>
    <w:p>
      <w:pPr>
        <w:jc w:val="both"/>
        <w:ind w:left="1140" w:hanging="572"/>
        <w:spacing w:after="0" w:line="265" w:lineRule="auto"/>
        <w:tabs>
          <w:tab w:leader="none" w:pos="11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Times New Roman" w:cs="Times New Roman" w:eastAsia="Times New Roman" w:hAnsi="Times New Roman"/>
          <w:sz w:val="18"/>
          <w:szCs w:val="18"/>
          <w:color w:val="auto"/>
        </w:rPr>
      </w:pPr>
    </w:p>
    <w:p>
      <w:pPr>
        <w:ind w:left="560" w:hanging="559"/>
        <w:spacing w:after="0" w:line="281" w:lineRule="auto"/>
        <w:tabs>
          <w:tab w:leader="none" w:pos="5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Times New Roman" w:cs="Times New Roman" w:eastAsia="Times New Roman" w:hAnsi="Times New Roman"/>
          <w:sz w:val="18"/>
          <w:szCs w:val="18"/>
          <w:color w:val="auto"/>
        </w:rPr>
      </w:pPr>
    </w:p>
    <w:p>
      <w:pPr>
        <w:ind w:left="1140" w:hanging="572"/>
        <w:spacing w:after="0" w:line="281" w:lineRule="auto"/>
        <w:tabs>
          <w:tab w:leader="none" w:pos="11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Times New Roman" w:cs="Times New Roman" w:eastAsia="Times New Roman" w:hAnsi="Times New Roman"/>
          <w:sz w:val="18"/>
          <w:szCs w:val="18"/>
          <w:color w:val="auto"/>
        </w:rPr>
      </w:pPr>
    </w:p>
    <w:p>
      <w:pPr>
        <w:ind w:left="1140" w:hanging="572"/>
        <w:spacing w:after="0" w:line="281" w:lineRule="auto"/>
        <w:tabs>
          <w:tab w:leader="none" w:pos="11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13, 2023</w:t>
      </w:r>
    </w:p>
    <w:p>
      <w:pPr>
        <w:spacing w:after="0" w:line="305"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4"/>
          <w:szCs w:val="14"/>
          <w:color w:val="auto"/>
        </w:rPr>
        <w:t>ICHARD</w:t>
      </w:r>
      <w:r>
        <w:rPr>
          <w:rFonts w:ascii="Times New Roman" w:cs="Times New Roman" w:eastAsia="Times New Roman" w:hAnsi="Times New Roman"/>
          <w:sz w:val="18"/>
          <w:szCs w:val="18"/>
          <w:color w:val="auto"/>
        </w:rPr>
        <w:t xml:space="preserve"> J. K</w:t>
      </w:r>
      <w:r>
        <w:rPr>
          <w:rFonts w:ascii="Times New Roman" w:cs="Times New Roman" w:eastAsia="Times New Roman" w:hAnsi="Times New Roman"/>
          <w:sz w:val="14"/>
          <w:szCs w:val="14"/>
          <w:color w:val="auto"/>
        </w:rPr>
        <w:t>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34290</wp:posOffset>
            </wp:positionV>
            <wp:extent cx="427291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808">
                      <a:extLst>
                        <a:ext uri="{28A0092B-C50C-407E-A947-70E740481C1C}"/>
                      </a:extLst>
                    </a:blip>
                    <a:srcRect/>
                    <a:stretch>
                      <a:fillRect/>
                    </a:stretch>
                  </pic:blipFill>
                  <pic:spPr bwMode="auto">
                    <a:xfrm>
                      <a:off x="0" y="0"/>
                      <a:ext cx="4272915" cy="8255"/>
                    </a:xfrm>
                    <a:prstGeom prst="rect">
                      <a:avLst/>
                    </a:prstGeom>
                    <a:noFill/>
                  </pic:spPr>
                </pic:pic>
              </a:graphicData>
            </a:graphic>
          </wp:anchor>
        </w:drawing>
      </w:r>
    </w:p>
    <w:p>
      <w:pPr>
        <w:spacing w:after="0" w:line="5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Richard J. Kramer</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369570</wp:posOffset>
            </wp:positionV>
            <wp:extent cx="7157720"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8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0" w:right="35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Christina L. Zamarro, certify that:</w:t>
      </w:r>
    </w:p>
    <w:p>
      <w:pPr>
        <w:spacing w:after="0" w:line="139" w:lineRule="exact"/>
        <w:rPr>
          <w:sz w:val="20"/>
          <w:szCs w:val="20"/>
          <w:color w:val="auto"/>
        </w:rPr>
      </w:pPr>
    </w:p>
    <w:p>
      <w:pPr>
        <w:ind w:left="560" w:hanging="559"/>
        <w:spacing w:after="0"/>
        <w:tabs>
          <w:tab w:leader="none" w:pos="5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Goodyear Tire &amp; Rubber Company;</w:t>
      </w:r>
    </w:p>
    <w:p>
      <w:pPr>
        <w:spacing w:after="0" w:line="157" w:lineRule="exact"/>
        <w:rPr>
          <w:rFonts w:ascii="Times New Roman" w:cs="Times New Roman" w:eastAsia="Times New Roman" w:hAnsi="Times New Roman"/>
          <w:sz w:val="18"/>
          <w:szCs w:val="18"/>
          <w:color w:val="auto"/>
        </w:rPr>
      </w:pPr>
    </w:p>
    <w:p>
      <w:pPr>
        <w:jc w:val="both"/>
        <w:ind w:left="560" w:right="20" w:hanging="559"/>
        <w:spacing w:after="0" w:line="265" w:lineRule="auto"/>
        <w:tabs>
          <w:tab w:leader="none" w:pos="5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560" w:right="20" w:hanging="559"/>
        <w:spacing w:after="0" w:line="281" w:lineRule="auto"/>
        <w:tabs>
          <w:tab w:leader="none" w:pos="5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Times New Roman" w:cs="Times New Roman" w:eastAsia="Times New Roman" w:hAnsi="Times New Roman"/>
          <w:sz w:val="18"/>
          <w:szCs w:val="18"/>
          <w:color w:val="auto"/>
        </w:rPr>
      </w:pPr>
    </w:p>
    <w:p>
      <w:pPr>
        <w:jc w:val="both"/>
        <w:ind w:left="560" w:right="20" w:hanging="559"/>
        <w:spacing w:after="0" w:line="265" w:lineRule="auto"/>
        <w:tabs>
          <w:tab w:leader="none" w:pos="5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Times New Roman" w:cs="Times New Roman" w:eastAsia="Times New Roman" w:hAnsi="Times New Roman"/>
          <w:sz w:val="18"/>
          <w:szCs w:val="18"/>
          <w:color w:val="auto"/>
        </w:rPr>
      </w:pPr>
    </w:p>
    <w:p>
      <w:pPr>
        <w:jc w:val="both"/>
        <w:ind w:left="1140" w:right="20" w:hanging="572"/>
        <w:spacing w:after="0" w:line="265" w:lineRule="auto"/>
        <w:tabs>
          <w:tab w:leader="none" w:pos="11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Times New Roman" w:cs="Times New Roman" w:eastAsia="Times New Roman" w:hAnsi="Times New Roman"/>
          <w:sz w:val="18"/>
          <w:szCs w:val="18"/>
          <w:color w:val="auto"/>
        </w:rPr>
      </w:pPr>
    </w:p>
    <w:p>
      <w:pPr>
        <w:jc w:val="both"/>
        <w:ind w:left="1140" w:right="20" w:hanging="572"/>
        <w:spacing w:after="0" w:line="265" w:lineRule="auto"/>
        <w:tabs>
          <w:tab w:leader="none" w:pos="11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8"/>
          <w:szCs w:val="18"/>
          <w:color w:val="auto"/>
        </w:rPr>
      </w:pPr>
    </w:p>
    <w:p>
      <w:pPr>
        <w:ind w:left="1140" w:right="20" w:hanging="572"/>
        <w:spacing w:after="0" w:line="281" w:lineRule="auto"/>
        <w:tabs>
          <w:tab w:leader="none" w:pos="11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Times New Roman" w:cs="Times New Roman" w:eastAsia="Times New Roman" w:hAnsi="Times New Roman"/>
          <w:sz w:val="18"/>
          <w:szCs w:val="18"/>
          <w:color w:val="auto"/>
        </w:rPr>
      </w:pPr>
    </w:p>
    <w:p>
      <w:pPr>
        <w:jc w:val="both"/>
        <w:ind w:left="1140" w:right="20" w:hanging="572"/>
        <w:spacing w:after="0" w:line="265" w:lineRule="auto"/>
        <w:tabs>
          <w:tab w:leader="none" w:pos="11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Times New Roman" w:cs="Times New Roman" w:eastAsia="Times New Roman" w:hAnsi="Times New Roman"/>
          <w:sz w:val="18"/>
          <w:szCs w:val="18"/>
          <w:color w:val="auto"/>
        </w:rPr>
      </w:pPr>
    </w:p>
    <w:p>
      <w:pPr>
        <w:ind w:left="560" w:right="20" w:hanging="559"/>
        <w:spacing w:after="0" w:line="281" w:lineRule="auto"/>
        <w:tabs>
          <w:tab w:leader="none" w:pos="5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Times New Roman" w:cs="Times New Roman" w:eastAsia="Times New Roman" w:hAnsi="Times New Roman"/>
          <w:sz w:val="18"/>
          <w:szCs w:val="18"/>
          <w:color w:val="auto"/>
        </w:rPr>
      </w:pPr>
    </w:p>
    <w:p>
      <w:pPr>
        <w:ind w:left="1140" w:right="20" w:hanging="572"/>
        <w:spacing w:after="0" w:line="281" w:lineRule="auto"/>
        <w:tabs>
          <w:tab w:leader="none" w:pos="11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Times New Roman" w:cs="Times New Roman" w:eastAsia="Times New Roman" w:hAnsi="Times New Roman"/>
          <w:sz w:val="18"/>
          <w:szCs w:val="18"/>
          <w:color w:val="auto"/>
        </w:rPr>
      </w:pPr>
    </w:p>
    <w:p>
      <w:pPr>
        <w:ind w:left="1140" w:right="20" w:hanging="572"/>
        <w:spacing w:after="0" w:line="281" w:lineRule="auto"/>
        <w:tabs>
          <w:tab w:leader="none" w:pos="11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13, 2023</w:t>
      </w:r>
    </w:p>
    <w:p>
      <w:pPr>
        <w:spacing w:after="0" w:line="30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4"/>
          <w:szCs w:val="14"/>
          <w:color w:val="auto"/>
        </w:rPr>
        <w:t>HRISTINA</w:t>
      </w:r>
      <w:r>
        <w:rPr>
          <w:rFonts w:ascii="Times New Roman" w:cs="Times New Roman" w:eastAsia="Times New Roman" w:hAnsi="Times New Roman"/>
          <w:sz w:val="18"/>
          <w:szCs w:val="18"/>
          <w:color w:val="auto"/>
        </w:rPr>
        <w:t xml:space="preserve"> L. Z</w:t>
      </w:r>
      <w:r>
        <w:rPr>
          <w:rFonts w:ascii="Times New Roman" w:cs="Times New Roman" w:eastAsia="Times New Roman" w:hAnsi="Times New Roman"/>
          <w:sz w:val="14"/>
          <w:szCs w:val="14"/>
          <w:color w:val="auto"/>
        </w:rPr>
        <w:t>AMARRO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34290</wp:posOffset>
            </wp:positionV>
            <wp:extent cx="427291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810">
                      <a:extLst>
                        <a:ext uri="{28A0092B-C50C-407E-A947-70E740481C1C}"/>
                      </a:extLst>
                    </a:blip>
                    <a:srcRect/>
                    <a:stretch>
                      <a:fillRect/>
                    </a:stretch>
                  </pic:blipFill>
                  <pic:spPr bwMode="auto">
                    <a:xfrm>
                      <a:off x="0" y="0"/>
                      <a:ext cx="4272915" cy="8255"/>
                    </a:xfrm>
                    <a:prstGeom prst="rect">
                      <a:avLst/>
                    </a:prstGeom>
                    <a:noFill/>
                  </pic:spPr>
                </pic:pic>
              </a:graphicData>
            </a:graphic>
          </wp:anchor>
        </w:drawing>
      </w:r>
    </w:p>
    <w:p>
      <w:pPr>
        <w:spacing w:after="0" w:line="5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Christina L. Zamarro</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369570</wp:posOffset>
            </wp:positionV>
            <wp:extent cx="7157720" cy="425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8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0" w:right="339" w:bottom="1440" w:gutter="0" w:footer="0" w:header="0"/>
        </w:sectPr>
      </w:pPr>
    </w:p>
    <w:bookmarkStart w:id="139" w:name="page140"/>
    <w:bookmarkEnd w:id="139"/>
    <w:p>
      <w:pPr>
        <w:ind w:left="100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(Subsections (a) and (b) of Section 1350, Chapter 63 of Title 18, United States Code)</w:t>
      </w:r>
    </w:p>
    <w:p>
      <w:pPr>
        <w:spacing w:after="0" w:line="20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each of the undersigned officers of The Goodyear Tire &amp; Rubber Company, an Ohio corporation (the “Company”), hereby certifies with respect to the Annual Report on Form 10-K of the Company for the year ended December 31, 2022 as filed with the Securities and Exchange Commission (the “10-K Report”) that to their knowledge:</w:t>
      </w:r>
    </w:p>
    <w:p>
      <w:pPr>
        <w:spacing w:after="0" w:line="177" w:lineRule="exact"/>
        <w:rPr>
          <w:sz w:val="20"/>
          <w:szCs w:val="20"/>
          <w:color w:val="auto"/>
        </w:rPr>
      </w:pPr>
    </w:p>
    <w:p>
      <w:pPr>
        <w:ind w:left="580" w:hanging="559"/>
        <w:spacing w:after="0"/>
        <w:tabs>
          <w:tab w:leader="none" w:pos="5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10-K Report fully complies with the requirements of Section 13(a) or 15(d) of the Securities Exchange Act of 1934; and</w:t>
      </w:r>
    </w:p>
    <w:p>
      <w:pPr>
        <w:spacing w:after="0" w:line="157" w:lineRule="exact"/>
        <w:rPr>
          <w:rFonts w:ascii="Times New Roman" w:cs="Times New Roman" w:eastAsia="Times New Roman" w:hAnsi="Times New Roman"/>
          <w:sz w:val="18"/>
          <w:szCs w:val="18"/>
          <w:color w:val="auto"/>
        </w:rPr>
      </w:pPr>
    </w:p>
    <w:p>
      <w:pPr>
        <w:ind w:left="580" w:right="20" w:hanging="559"/>
        <w:spacing w:after="0" w:line="281" w:lineRule="auto"/>
        <w:tabs>
          <w:tab w:leader="none" w:pos="5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10-K Report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p>
      <w:pPr>
        <w:ind w:left="240"/>
        <w:spacing w:after="0"/>
        <w:tabs>
          <w:tab w:leader="none" w:pos="5740" w:val="left"/>
        </w:tabs>
        <w:rPr>
          <w:sz w:val="20"/>
          <w:szCs w:val="20"/>
          <w:color w:val="auto"/>
        </w:rPr>
      </w:pPr>
      <w:r>
        <w:rPr>
          <w:rFonts w:ascii="Times New Roman" w:cs="Times New Roman" w:eastAsia="Times New Roman" w:hAnsi="Times New Roman"/>
          <w:sz w:val="18"/>
          <w:szCs w:val="18"/>
          <w:color w:val="auto"/>
        </w:rPr>
        <w:t>Dated: February 13, 2023</w:t>
      </w:r>
      <w:r>
        <w:rPr>
          <w:sz w:val="20"/>
          <w:szCs w:val="20"/>
          <w:color w:val="auto"/>
        </w:rPr>
        <w:tab/>
      </w:r>
      <w:r>
        <w:rPr>
          <w:rFonts w:ascii="Times New Roman" w:cs="Times New Roman" w:eastAsia="Times New Roman" w:hAnsi="Times New Roman"/>
          <w:sz w:val="18"/>
          <w:szCs w:val="18"/>
          <w:color w:val="auto"/>
        </w:rPr>
        <w:t>/s/ R</w:t>
      </w:r>
      <w:r>
        <w:rPr>
          <w:rFonts w:ascii="Times New Roman" w:cs="Times New Roman" w:eastAsia="Times New Roman" w:hAnsi="Times New Roman"/>
          <w:sz w:val="14"/>
          <w:szCs w:val="14"/>
          <w:color w:val="auto"/>
        </w:rPr>
        <w:t>ICHARD</w:t>
      </w:r>
      <w:r>
        <w:rPr>
          <w:rFonts w:ascii="Times New Roman" w:cs="Times New Roman" w:eastAsia="Times New Roman" w:hAnsi="Times New Roman"/>
          <w:sz w:val="18"/>
          <w:szCs w:val="18"/>
          <w:color w:val="auto"/>
        </w:rPr>
        <w:t xml:space="preserve"> J. K</w:t>
      </w:r>
      <w:r>
        <w:rPr>
          <w:rFonts w:ascii="Times New Roman" w:cs="Times New Roman" w:eastAsia="Times New Roman" w:hAnsi="Times New Roman"/>
          <w:sz w:val="14"/>
          <w:szCs w:val="14"/>
          <w:color w:val="auto"/>
        </w:rPr>
        <w:t>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26035</wp:posOffset>
            </wp:positionV>
            <wp:extent cx="428117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812">
                      <a:extLst>
                        <a:ext uri="{28A0092B-C50C-407E-A947-70E740481C1C}"/>
                      </a:extLst>
                    </a:blip>
                    <a:srcRect/>
                    <a:stretch>
                      <a:fillRect/>
                    </a:stretch>
                  </pic:blipFill>
                  <pic:spPr bwMode="auto">
                    <a:xfrm>
                      <a:off x="0" y="0"/>
                      <a:ext cx="4281170" cy="8255"/>
                    </a:xfrm>
                    <a:prstGeom prst="rect">
                      <a:avLst/>
                    </a:prstGeom>
                    <a:noFill/>
                  </pic:spPr>
                </pic:pic>
              </a:graphicData>
            </a:graphic>
          </wp:anchor>
        </w:drawing>
      </w:r>
    </w:p>
    <w:p>
      <w:pPr>
        <w:spacing w:after="0" w:line="2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Richard J. Kramer</w:t>
      </w:r>
    </w:p>
    <w:p>
      <w:pPr>
        <w:spacing w:after="0" w:line="3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p>
      <w:pPr>
        <w:spacing w:after="0" w:line="3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The Goodyear Tire &amp; Rubber Company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40"/>
        <w:spacing w:after="0"/>
        <w:tabs>
          <w:tab w:leader="none" w:pos="5600" w:val="left"/>
        </w:tabs>
        <w:rPr>
          <w:sz w:val="20"/>
          <w:szCs w:val="20"/>
          <w:color w:val="auto"/>
        </w:rPr>
      </w:pPr>
      <w:r>
        <w:rPr>
          <w:rFonts w:ascii="Times New Roman" w:cs="Times New Roman" w:eastAsia="Times New Roman" w:hAnsi="Times New Roman"/>
          <w:sz w:val="18"/>
          <w:szCs w:val="18"/>
          <w:color w:val="auto"/>
        </w:rPr>
        <w:t>Dated: February 13, 2023</w:t>
      </w:r>
      <w:r>
        <w:rPr>
          <w:sz w:val="20"/>
          <w:szCs w:val="20"/>
          <w:color w:val="auto"/>
        </w:rPr>
        <w:tab/>
      </w:r>
      <w:r>
        <w:rPr>
          <w:rFonts w:ascii="Times New Roman" w:cs="Times New Roman" w:eastAsia="Times New Roman" w:hAnsi="Times New Roman"/>
          <w:sz w:val="18"/>
          <w:szCs w:val="18"/>
          <w:color w:val="auto"/>
        </w:rPr>
        <w:t>/s/ C</w:t>
      </w:r>
      <w:r>
        <w:rPr>
          <w:rFonts w:ascii="Times New Roman" w:cs="Times New Roman" w:eastAsia="Times New Roman" w:hAnsi="Times New Roman"/>
          <w:sz w:val="14"/>
          <w:szCs w:val="14"/>
          <w:color w:val="auto"/>
        </w:rPr>
        <w:t>HRISTINA</w:t>
      </w:r>
      <w:r>
        <w:rPr>
          <w:rFonts w:ascii="Times New Roman" w:cs="Times New Roman" w:eastAsia="Times New Roman" w:hAnsi="Times New Roman"/>
          <w:sz w:val="18"/>
          <w:szCs w:val="18"/>
          <w:color w:val="auto"/>
        </w:rPr>
        <w:t xml:space="preserve"> L. Z</w:t>
      </w:r>
      <w:r>
        <w:rPr>
          <w:rFonts w:ascii="Times New Roman" w:cs="Times New Roman" w:eastAsia="Times New Roman" w:hAnsi="Times New Roman"/>
          <w:sz w:val="14"/>
          <w:szCs w:val="14"/>
          <w:color w:val="auto"/>
        </w:rPr>
        <w:t>AMARRO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26035</wp:posOffset>
            </wp:positionV>
            <wp:extent cx="428117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813">
                      <a:extLst>
                        <a:ext uri="{28A0092B-C50C-407E-A947-70E740481C1C}"/>
                      </a:extLst>
                    </a:blip>
                    <a:srcRect/>
                    <a:stretch>
                      <a:fillRect/>
                    </a:stretch>
                  </pic:blipFill>
                  <pic:spPr bwMode="auto">
                    <a:xfrm>
                      <a:off x="0" y="0"/>
                      <a:ext cx="4281170" cy="8255"/>
                    </a:xfrm>
                    <a:prstGeom prst="rect">
                      <a:avLst/>
                    </a:prstGeom>
                    <a:noFill/>
                  </pic:spPr>
                </pic:pic>
              </a:graphicData>
            </a:graphic>
          </wp:anchor>
        </w:drawing>
      </w:r>
    </w:p>
    <w:p>
      <w:pPr>
        <w:spacing w:after="0" w:line="2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Christina L. Zamarro</w:t>
      </w:r>
    </w:p>
    <w:p>
      <w:pPr>
        <w:spacing w:after="0" w:line="3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The Goodyear Tire &amp; Rubber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372745</wp:posOffset>
            </wp:positionV>
            <wp:extent cx="7157720" cy="425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8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0" w:name="page141"/>
    <w:bookmarkEnd w:id="1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1)"/>
      <w:numFmt w:val="decimal"/>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1)"/>
      <w:numFmt w:val="decimal"/>
      <w:start w:val="1"/>
    </w:lvl>
  </w:abstractNum>
  <w:abstractNum w:abstractNumId="17">
    <w:nsid w:val="7644A45C"/>
    <w:multiLevelType w:val="hybridMultilevel"/>
    <w:lvl w:ilvl="0">
      <w:lvlJc w:val="left"/>
      <w:lvlText w:val="(%1)"/>
      <w:numFmt w:val="decimal"/>
      <w:start w:val="2"/>
    </w:lvl>
  </w:abstractNum>
  <w:abstractNum w:abstractNumId="18">
    <w:nsid w:val="32FFF902"/>
    <w:multiLevelType w:val="hybridMultilevel"/>
    <w:lvl w:ilvl="0">
      <w:lvlJc w:val="left"/>
      <w:lvlText w:val="(%1)"/>
      <w:numFmt w:val="decimal"/>
      <w:start w:val="1"/>
    </w:lvl>
    <w:lvl w:ilvl="1">
      <w:lvlJc w:val="left"/>
      <w:lvlText w:val="•"/>
      <w:numFmt w:val="bullet"/>
      <w:start w:val="1"/>
    </w:lvl>
  </w:abstractNum>
  <w:abstractNum w:abstractNumId="19">
    <w:nsid w:val="684A481A"/>
    <w:multiLevelType w:val="hybridMultilevel"/>
    <w:lvl w:ilvl="0">
      <w:lvlJc w:val="left"/>
      <w:lvlText w:val="(%1)"/>
      <w:numFmt w:val="decimal"/>
      <w:start w:val="9"/>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1)"/>
      <w:numFmt w:val="decimal"/>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1)"/>
      <w:numFmt w:val="lowerRoman"/>
      <w:start w:val="1"/>
    </w:lvl>
  </w:abstractNum>
  <w:abstractNum w:abstractNumId="31">
    <w:nsid w:val="23F9C13C"/>
    <w:multiLevelType w:val="hybridMultilevel"/>
    <w:lvl w:ilvl="0">
      <w:lvlJc w:val="left"/>
      <w:lvlText w:val="(%1)"/>
      <w:numFmt w:val="decimal"/>
      <w:start w:val="1"/>
    </w:lvl>
  </w:abstractNum>
  <w:abstractNum w:abstractNumId="32">
    <w:nsid w:val="649BB77C"/>
    <w:multiLevelType w:val="hybridMultilevel"/>
    <w:lvl w:ilvl="0">
      <w:lvlJc w:val="left"/>
      <w:lvlText w:val="(%1)"/>
      <w:numFmt w:val="decimal"/>
      <w:start w:val="1"/>
    </w:lvl>
  </w:abstractNum>
  <w:abstractNum w:abstractNumId="33">
    <w:nsid w:val="275AC794"/>
    <w:multiLevelType w:val="hybridMultilevel"/>
    <w:lvl w:ilvl="0">
      <w:lvlJc w:val="left"/>
      <w:lvlText w:val="(%1)"/>
      <w:numFmt w:val="decimal"/>
      <w:start w:val="1"/>
    </w:lvl>
  </w:abstractNum>
  <w:abstractNum w:abstractNumId="34">
    <w:nsid w:val="39386575"/>
    <w:multiLevelType w:val="hybridMultilevel"/>
    <w:lvl w:ilvl="0">
      <w:lvlJc w:val="left"/>
      <w:lvlText w:val="(%1)"/>
      <w:numFmt w:val="decimal"/>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1)"/>
      <w:numFmt w:val="decimal"/>
      <w:start w:val="1"/>
    </w:lvl>
  </w:abstractNum>
  <w:abstractNum w:abstractNumId="37">
    <w:nsid w:val="235BA861"/>
    <w:multiLevelType w:val="hybridMultilevel"/>
    <w:lvl w:ilvl="0">
      <w:lvlJc w:val="left"/>
      <w:lvlText w:val="(%1)"/>
      <w:numFmt w:val="decimal"/>
      <w:start w:val="1"/>
    </w:lvl>
  </w:abstractNum>
  <w:abstractNum w:abstractNumId="38">
    <w:nsid w:val="47398C89"/>
    <w:multiLevelType w:val="hybridMultilevel"/>
    <w:lvl w:ilvl="0">
      <w:lvlJc w:val="left"/>
      <w:lvlText w:val="(%1)"/>
      <w:numFmt w:val="decimal"/>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1)"/>
      <w:numFmt w:val="lowerRoman"/>
      <w:start w:val="5"/>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1)"/>
      <w:numFmt w:val="decimal"/>
      <w:start w:val="1"/>
    </w:lvl>
  </w:abstractNum>
  <w:abstractNum w:abstractNumId="43">
    <w:nsid w:val="10233C99"/>
    <w:multiLevelType w:val="hybridMultilevel"/>
    <w:lvl w:ilvl="0">
      <w:lvlJc w:val="left"/>
      <w:lvlText w:val="(%1)"/>
      <w:numFmt w:val="decimal"/>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1)"/>
      <w:numFmt w:val="decimal"/>
      <w:start w:val="1"/>
    </w:lvl>
  </w:abstractNum>
  <w:abstractNum w:abstractNumId="46">
    <w:nsid w:val="7E0C57B1"/>
    <w:multiLevelType w:val="hybridMultilevel"/>
    <w:lvl w:ilvl="0">
      <w:lvlJc w:val="left"/>
      <w:lvlText w:val="(%1)"/>
      <w:numFmt w:val="decimal"/>
      <w:start w:val="1"/>
    </w:lvl>
  </w:abstractNum>
  <w:abstractNum w:abstractNumId="47">
    <w:nsid w:val="77AE35EB"/>
    <w:multiLevelType w:val="hybridMultilevel"/>
    <w:lvl w:ilvl="0">
      <w:lvlJc w:val="left"/>
      <w:lvlText w:val="(%1)"/>
      <w:numFmt w:val="decimal"/>
      <w:start w:val="1"/>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1)"/>
      <w:numFmt w:val="decimal"/>
      <w:start w:val="1"/>
    </w:lvl>
  </w:abstractNum>
  <w:abstractNum w:abstractNumId="50">
    <w:nsid w:val="5FF87E05"/>
    <w:multiLevelType w:val="hybridMultilevel"/>
    <w:lvl w:ilvl="0">
      <w:lvlJc w:val="left"/>
      <w:lvlText w:val="(%1)"/>
      <w:numFmt w:val="decimal"/>
      <w:start w:val="1"/>
    </w:lvl>
  </w:abstractNum>
  <w:abstractNum w:abstractNumId="51">
    <w:nsid w:val="2F305DEF"/>
    <w:multiLevelType w:val="hybridMultilevel"/>
    <w:lvl w:ilvl="0">
      <w:lvlJc w:val="left"/>
      <w:lvlText w:val="(%1)"/>
      <w:numFmt w:val="lowerLetter"/>
      <w:start w:val="1"/>
    </w:lvl>
  </w:abstractNum>
  <w:abstractNum w:abstractNumId="52">
    <w:nsid w:val="25A70BF7"/>
    <w:multiLevelType w:val="hybridMultilevel"/>
    <w:lvl w:ilvl="0">
      <w:lvlJc w:val="left"/>
      <w:lvlText w:val="2"/>
      <w:numFmt w:val="bullet"/>
      <w:start w:val="1"/>
    </w:lvl>
  </w:abstractNum>
  <w:abstractNum w:abstractNumId="53">
    <w:nsid w:val="1DBABF00"/>
    <w:multiLevelType w:val="hybridMultilevel"/>
    <w:lvl w:ilvl="0">
      <w:lvlJc w:val="left"/>
      <w:lvlText w:val="(%1)"/>
      <w:numFmt w:val="lowerLetter"/>
      <w:start w:val="1"/>
    </w:lvl>
  </w:abstractNum>
  <w:abstractNum w:abstractNumId="54">
    <w:nsid w:val="4AD084E9"/>
    <w:multiLevelType w:val="hybridMultilevel"/>
    <w:lvl w:ilvl="0">
      <w:lvlJc w:val="left"/>
      <w:lvlText w:val="3"/>
      <w:numFmt w:val="bullet"/>
      <w:start w:val="1"/>
    </w:lvl>
  </w:abstractNum>
  <w:abstractNum w:abstractNumId="55">
    <w:nsid w:val="1F48EAA1"/>
    <w:multiLevelType w:val="hybridMultilevel"/>
    <w:lvl w:ilvl="0">
      <w:lvlJc w:val="left"/>
      <w:lvlText w:val="(%1)"/>
      <w:numFmt w:val="lowerLetter"/>
      <w:start w:val="1"/>
    </w:lvl>
  </w:abstractNum>
  <w:abstractNum w:abstractNumId="56">
    <w:nsid w:val="1381823A"/>
    <w:multiLevelType w:val="hybridMultilevel"/>
    <w:lvl w:ilvl="0">
      <w:lvlJc w:val="left"/>
      <w:lvlText w:val="4"/>
      <w:numFmt w:val="bullet"/>
      <w:start w:val="1"/>
    </w:lvl>
  </w:abstractNum>
  <w:abstractNum w:abstractNumId="57">
    <w:nsid w:val="5DB70AE5"/>
    <w:multiLevelType w:val="hybridMultilevel"/>
    <w:lvl w:ilvl="0">
      <w:lvlJc w:val="left"/>
      <w:lvlText w:val="(%1)"/>
      <w:numFmt w:val="lowerLetter"/>
      <w:start w:val="1"/>
    </w:lvl>
  </w:abstractNum>
  <w:abstractNum w:abstractNumId="58">
    <w:nsid w:val="100F8FCA"/>
    <w:multiLevelType w:val="hybridMultilevel"/>
    <w:lvl w:ilvl="0">
      <w:lvlJc w:val="left"/>
      <w:lvlText w:val="(%1)"/>
      <w:numFmt w:val="lowerLetter"/>
      <w:start w:val="5"/>
    </w:lvl>
  </w:abstractNum>
  <w:abstractNum w:abstractNumId="59">
    <w:nsid w:val="6590700B"/>
    <w:multiLevelType w:val="hybridMultilevel"/>
    <w:lvl w:ilvl="0">
      <w:lvlJc w:val="left"/>
      <w:lvlText w:val="(%1)"/>
      <w:numFmt w:val="lowerLetter"/>
      <w:start w:val="6"/>
    </w:lvl>
  </w:abstractNum>
  <w:abstractNum w:abstractNumId="60">
    <w:nsid w:val="15014ACB"/>
    <w:multiLevelType w:val="hybridMultilevel"/>
    <w:lvl w:ilvl="0">
      <w:lvlJc w:val="left"/>
      <w:lvlText w:val="(%1)"/>
      <w:numFmt w:val="lowerLetter"/>
      <w:start w:val="7"/>
    </w:lvl>
  </w:abstractNum>
  <w:abstractNum w:abstractNumId="61">
    <w:nsid w:val="5F5E7FD0"/>
    <w:multiLevelType w:val="hybridMultilevel"/>
    <w:lvl w:ilvl="0">
      <w:lvlJc w:val="left"/>
      <w:lvlText w:val="%1"/>
      <w:numFmt w:val="decimal"/>
      <w:start w:val="10"/>
    </w:lvl>
  </w:abstractNum>
  <w:abstractNum w:abstractNumId="62">
    <w:nsid w:val="98A3148"/>
    <w:multiLevelType w:val="hybridMultilevel"/>
    <w:lvl w:ilvl="0">
      <w:lvlJc w:val="left"/>
      <w:lvlText w:val="(%1)"/>
      <w:numFmt w:val="lowerLetter"/>
      <w:start w:val="1"/>
    </w:lvl>
  </w:abstractNum>
  <w:abstractNum w:abstractNumId="63">
    <w:nsid w:val="799D0247"/>
    <w:multiLevelType w:val="hybridMultilevel"/>
    <w:lvl w:ilvl="0">
      <w:lvlJc w:val="left"/>
      <w:lvlText w:val="(%1)"/>
      <w:numFmt w:val="lowerLetter"/>
      <w:start w:val="5"/>
    </w:lvl>
  </w:abstractNum>
  <w:abstractNum w:abstractNumId="64">
    <w:nsid w:val="6B94764"/>
    <w:multiLevelType w:val="hybridMultilevel"/>
    <w:lvl w:ilvl="0">
      <w:lvlJc w:val="left"/>
      <w:lvlText w:val="%1"/>
      <w:numFmt w:val="decimal"/>
      <w:start w:val="21"/>
    </w:lvl>
  </w:abstractNum>
  <w:abstractNum w:abstractNumId="65">
    <w:nsid w:val="42C296BD"/>
    <w:multiLevelType w:val="hybridMultilevel"/>
    <w:lvl w:ilvl="0">
      <w:lvlJc w:val="left"/>
      <w:lvlText w:val="%1"/>
      <w:numFmt w:val="decimal"/>
      <w:start w:val="22"/>
    </w:lvl>
  </w:abstractNum>
  <w:abstractNum w:abstractNumId="66">
    <w:nsid w:val="168E121F"/>
    <w:multiLevelType w:val="hybridMultilevel"/>
    <w:lvl w:ilvl="0">
      <w:lvlJc w:val="left"/>
      <w:lvlText w:val="%1"/>
      <w:numFmt w:val="decimal"/>
      <w:start w:val="23"/>
    </w:lvl>
  </w:abstractNum>
  <w:abstractNum w:abstractNumId="67">
    <w:nsid w:val="1EBA5D23"/>
    <w:multiLevelType w:val="hybridMultilevel"/>
    <w:lvl w:ilvl="0">
      <w:lvlJc w:val="left"/>
      <w:lvlText w:val="%1"/>
      <w:numFmt w:val="decimal"/>
      <w:start w:val="24"/>
    </w:lvl>
  </w:abstractNum>
  <w:abstractNum w:abstractNumId="68">
    <w:nsid w:val="661E3F1E"/>
    <w:multiLevelType w:val="hybridMultilevel"/>
    <w:lvl w:ilvl="0">
      <w:lvlJc w:val="left"/>
      <w:lvlText w:val="%1"/>
      <w:numFmt w:val="decimal"/>
      <w:start w:val="31"/>
    </w:lvl>
  </w:abstractNum>
  <w:abstractNum w:abstractNumId="69">
    <w:nsid w:val="5DC79EA8"/>
    <w:multiLevelType w:val="hybridMultilevel"/>
    <w:lvl w:ilvl="0">
      <w:lvlJc w:val="left"/>
      <w:lvlText w:val="%1"/>
      <w:numFmt w:val="decimal"/>
      <w:start w:val="32"/>
    </w:lvl>
  </w:abstractNum>
  <w:abstractNum w:abstractNumId="70">
    <w:nsid w:val="540A471C"/>
    <w:multiLevelType w:val="hybridMultilevel"/>
    <w:lvl w:ilvl="0">
      <w:lvlJc w:val="left"/>
      <w:lvlText w:val="*"/>
      <w:numFmt w:val="bullet"/>
      <w:start w:val="1"/>
    </w:lvl>
    <w:lvl w:ilvl="1">
      <w:lvlJc w:val="left"/>
      <w:lvlText w:val="%2"/>
      <w:numFmt w:val="decimal"/>
      <w:start w:val="104"/>
    </w:lvl>
  </w:abstractNum>
  <w:abstractNum w:abstractNumId="71">
    <w:nsid w:val="7BD3EE7B"/>
    <w:multiLevelType w:val="hybridMultilevel"/>
    <w:lvl w:ilvl="0">
      <w:lvlJc w:val="left"/>
      <w:lvlText w:val="**"/>
      <w:numFmt w:val="bullet"/>
      <w:start w:val="1"/>
    </w:lvl>
    <w:lvl w:ilvl="1">
      <w:lvlJc w:val="left"/>
      <w:lvlText w:val="%2"/>
      <w:numFmt w:val="decimal"/>
      <w:start w:val="1"/>
    </w:lvl>
  </w:abstractNum>
  <w:abstractNum w:abstractNumId="72">
    <w:nsid w:val="51D9C564"/>
    <w:multiLevelType w:val="hybridMultilevel"/>
    <w:lvl w:ilvl="0">
      <w:lvlJc w:val="left"/>
      <w:lvlText w:val="&amp;"/>
      <w:numFmt w:val="bullet"/>
      <w:start w:val="1"/>
    </w:lvl>
  </w:abstractNum>
  <w:abstractNum w:abstractNumId="73">
    <w:nsid w:val="613EFDC5"/>
    <w:multiLevelType w:val="hybridMultilevel"/>
    <w:lvl w:ilvl="0">
      <w:lvlJc w:val="left"/>
      <w:lvlText w:val="(%1)"/>
      <w:numFmt w:val="lowerLetter"/>
      <w:start w:val="1"/>
    </w:lvl>
  </w:abstractNum>
  <w:abstractNum w:abstractNumId="74">
    <w:nsid w:val="BF72B14"/>
    <w:multiLevelType w:val="hybridMultilevel"/>
    <w:lvl w:ilvl="0">
      <w:lvlJc w:val="left"/>
      <w:lvlText w:val="(%1)"/>
      <w:numFmt w:val="decimal"/>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lvl w:ilvl="1">
      <w:lvlJc w:val="left"/>
      <w:lvlText w:val="%2)"/>
      <w:numFmt w:val="lowerLetter"/>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6" Type="http://schemas.openxmlformats.org/officeDocument/2006/relationships/image" Target="media/image608.png"/><Relationship Id="rId617" Type="http://schemas.openxmlformats.org/officeDocument/2006/relationships/image" Target="media/image609.png"/><Relationship Id="rId618" Type="http://schemas.openxmlformats.org/officeDocument/2006/relationships/image" Target="media/image610.png"/><Relationship Id="rId621" Type="http://schemas.openxmlformats.org/officeDocument/2006/relationships/image" Target="media/image611.png"/><Relationship Id="rId622" Type="http://schemas.openxmlformats.org/officeDocument/2006/relationships/image" Target="media/image612.png"/><Relationship Id="rId623" Type="http://schemas.openxmlformats.org/officeDocument/2006/relationships/image" Target="media/image613.png"/><Relationship Id="rId624" Type="http://schemas.openxmlformats.org/officeDocument/2006/relationships/image" Target="media/image614.png"/><Relationship Id="rId625" Type="http://schemas.openxmlformats.org/officeDocument/2006/relationships/image" Target="media/image615.png"/><Relationship Id="rId626" Type="http://schemas.openxmlformats.org/officeDocument/2006/relationships/image" Target="media/image616.png"/><Relationship Id="rId627" Type="http://schemas.openxmlformats.org/officeDocument/2006/relationships/image" Target="media/image617.png"/><Relationship Id="rId628" Type="http://schemas.openxmlformats.org/officeDocument/2006/relationships/image" Target="media/image618.png"/><Relationship Id="rId629" Type="http://schemas.openxmlformats.org/officeDocument/2006/relationships/image" Target="media/image619.png"/><Relationship Id="rId630" Type="http://schemas.openxmlformats.org/officeDocument/2006/relationships/image" Target="media/image620.png"/><Relationship Id="rId631" Type="http://schemas.openxmlformats.org/officeDocument/2006/relationships/image" Target="media/image621.png"/><Relationship Id="rId635" Type="http://schemas.openxmlformats.org/officeDocument/2006/relationships/image" Target="media/image622.png"/><Relationship Id="rId636" Type="http://schemas.openxmlformats.org/officeDocument/2006/relationships/image" Target="media/image623.png"/><Relationship Id="rId637" Type="http://schemas.openxmlformats.org/officeDocument/2006/relationships/image" Target="media/image624.png"/><Relationship Id="rId638" Type="http://schemas.openxmlformats.org/officeDocument/2006/relationships/image" Target="media/image625.png"/><Relationship Id="rId639" Type="http://schemas.openxmlformats.org/officeDocument/2006/relationships/image" Target="media/image626.png"/><Relationship Id="rId640" Type="http://schemas.openxmlformats.org/officeDocument/2006/relationships/image" Target="media/image627.png"/><Relationship Id="rId641" Type="http://schemas.openxmlformats.org/officeDocument/2006/relationships/image" Target="media/image628.png"/><Relationship Id="rId642" Type="http://schemas.openxmlformats.org/officeDocument/2006/relationships/image" Target="media/image629.png"/><Relationship Id="rId643" Type="http://schemas.openxmlformats.org/officeDocument/2006/relationships/image" Target="media/image630.png"/><Relationship Id="rId644" Type="http://schemas.openxmlformats.org/officeDocument/2006/relationships/image" Target="media/image631.png"/><Relationship Id="rId649" Type="http://schemas.openxmlformats.org/officeDocument/2006/relationships/image" Target="media/image632.png"/><Relationship Id="rId650" Type="http://schemas.openxmlformats.org/officeDocument/2006/relationships/image" Target="media/image633.png"/><Relationship Id="rId651" Type="http://schemas.openxmlformats.org/officeDocument/2006/relationships/image" Target="media/image634.png"/><Relationship Id="rId652" Type="http://schemas.openxmlformats.org/officeDocument/2006/relationships/image" Target="media/image635.png"/><Relationship Id="rId653" Type="http://schemas.openxmlformats.org/officeDocument/2006/relationships/image" Target="media/image636.png"/><Relationship Id="rId654" Type="http://schemas.openxmlformats.org/officeDocument/2006/relationships/image" Target="media/image637.png"/><Relationship Id="rId655" Type="http://schemas.openxmlformats.org/officeDocument/2006/relationships/image" Target="media/image638.png"/><Relationship Id="rId656" Type="http://schemas.openxmlformats.org/officeDocument/2006/relationships/image" Target="media/image639.png"/><Relationship Id="rId657" Type="http://schemas.openxmlformats.org/officeDocument/2006/relationships/image" Target="media/image640.png"/><Relationship Id="rId658" Type="http://schemas.openxmlformats.org/officeDocument/2006/relationships/image" Target="media/image641.png"/><Relationship Id="rId659" Type="http://schemas.openxmlformats.org/officeDocument/2006/relationships/image" Target="media/image642.png"/><Relationship Id="rId664" Type="http://schemas.openxmlformats.org/officeDocument/2006/relationships/image" Target="media/image643.png"/><Relationship Id="rId665" Type="http://schemas.openxmlformats.org/officeDocument/2006/relationships/image" Target="media/image644.png"/><Relationship Id="rId666" Type="http://schemas.openxmlformats.org/officeDocument/2006/relationships/image" Target="media/image645.png"/><Relationship Id="rId667" Type="http://schemas.openxmlformats.org/officeDocument/2006/relationships/image" Target="media/image646.png"/><Relationship Id="rId668" Type="http://schemas.openxmlformats.org/officeDocument/2006/relationships/image" Target="media/image647.png"/><Relationship Id="rId669" Type="http://schemas.openxmlformats.org/officeDocument/2006/relationships/image" Target="media/image648.png"/><Relationship Id="rId670" Type="http://schemas.openxmlformats.org/officeDocument/2006/relationships/image" Target="media/image649.png"/><Relationship Id="rId671" Type="http://schemas.openxmlformats.org/officeDocument/2006/relationships/image" Target="media/image650.png"/><Relationship Id="rId672" Type="http://schemas.openxmlformats.org/officeDocument/2006/relationships/image" Target="media/image651.png"/><Relationship Id="rId673" Type="http://schemas.openxmlformats.org/officeDocument/2006/relationships/image" Target="media/image652.png"/><Relationship Id="rId674" Type="http://schemas.openxmlformats.org/officeDocument/2006/relationships/image" Target="media/image653.png"/><Relationship Id="rId676" Type="http://schemas.openxmlformats.org/officeDocument/2006/relationships/image" Target="media/image654.png"/><Relationship Id="rId677" Type="http://schemas.openxmlformats.org/officeDocument/2006/relationships/image" Target="media/image655.png"/><Relationship Id="rId678" Type="http://schemas.openxmlformats.org/officeDocument/2006/relationships/image" Target="media/image656.png"/><Relationship Id="rId679" Type="http://schemas.openxmlformats.org/officeDocument/2006/relationships/image" Target="media/image657.png"/><Relationship Id="rId680" Type="http://schemas.openxmlformats.org/officeDocument/2006/relationships/image" Target="media/image658.png"/><Relationship Id="rId682" Type="http://schemas.openxmlformats.org/officeDocument/2006/relationships/image" Target="media/image659.png"/><Relationship Id="rId683" Type="http://schemas.openxmlformats.org/officeDocument/2006/relationships/image" Target="media/image660.png"/><Relationship Id="rId688" Type="http://schemas.openxmlformats.org/officeDocument/2006/relationships/image" Target="media/image661.png"/><Relationship Id="rId689" Type="http://schemas.openxmlformats.org/officeDocument/2006/relationships/image" Target="media/image662.png"/><Relationship Id="rId690" Type="http://schemas.openxmlformats.org/officeDocument/2006/relationships/image" Target="media/image663.png"/><Relationship Id="rId691" Type="http://schemas.openxmlformats.org/officeDocument/2006/relationships/image" Target="media/image664.png"/><Relationship Id="rId692" Type="http://schemas.openxmlformats.org/officeDocument/2006/relationships/image" Target="media/image665.png"/><Relationship Id="rId693" Type="http://schemas.openxmlformats.org/officeDocument/2006/relationships/image" Target="media/image666.png"/><Relationship Id="rId694" Type="http://schemas.openxmlformats.org/officeDocument/2006/relationships/image" Target="media/image667.png"/><Relationship Id="rId695" Type="http://schemas.openxmlformats.org/officeDocument/2006/relationships/image" Target="media/image668.png"/><Relationship Id="rId696" Type="http://schemas.openxmlformats.org/officeDocument/2006/relationships/image" Target="media/image669.png"/><Relationship Id="rId697" Type="http://schemas.openxmlformats.org/officeDocument/2006/relationships/image" Target="media/image670.png"/><Relationship Id="rId698" Type="http://schemas.openxmlformats.org/officeDocument/2006/relationships/image" Target="media/image671.png"/><Relationship Id="rId699" Type="http://schemas.openxmlformats.org/officeDocument/2006/relationships/image" Target="media/image672.png"/><Relationship Id="rId700" Type="http://schemas.openxmlformats.org/officeDocument/2006/relationships/image" Target="media/image673.png"/><Relationship Id="rId701" Type="http://schemas.openxmlformats.org/officeDocument/2006/relationships/image" Target="media/image674.png"/><Relationship Id="rId702" Type="http://schemas.openxmlformats.org/officeDocument/2006/relationships/image" Target="media/image675.png"/><Relationship Id="rId703" Type="http://schemas.openxmlformats.org/officeDocument/2006/relationships/image" Target="media/image676.png"/><Relationship Id="rId704" Type="http://schemas.openxmlformats.org/officeDocument/2006/relationships/image" Target="media/image677.png"/><Relationship Id="rId705" Type="http://schemas.openxmlformats.org/officeDocument/2006/relationships/image" Target="media/image678.png"/><Relationship Id="rId706" Type="http://schemas.openxmlformats.org/officeDocument/2006/relationships/image" Target="media/image679.png"/><Relationship Id="rId707" Type="http://schemas.openxmlformats.org/officeDocument/2006/relationships/image" Target="media/image680.png"/><Relationship Id="rId708" Type="http://schemas.openxmlformats.org/officeDocument/2006/relationships/image" Target="media/image681.png"/><Relationship Id="rId716" Type="http://schemas.openxmlformats.org/officeDocument/2006/relationships/image" Target="media/image682.png"/><Relationship Id="rId717" Type="http://schemas.openxmlformats.org/officeDocument/2006/relationships/image" Target="media/image683.png"/><Relationship Id="rId718" Type="http://schemas.openxmlformats.org/officeDocument/2006/relationships/image" Target="media/image684.png"/><Relationship Id="rId719" Type="http://schemas.openxmlformats.org/officeDocument/2006/relationships/image" Target="media/image685.png"/><Relationship Id="rId720" Type="http://schemas.openxmlformats.org/officeDocument/2006/relationships/image" Target="media/image686.png"/><Relationship Id="rId721" Type="http://schemas.openxmlformats.org/officeDocument/2006/relationships/image" Target="media/image687.png"/><Relationship Id="rId722" Type="http://schemas.openxmlformats.org/officeDocument/2006/relationships/image" Target="media/image688.png"/><Relationship Id="rId723" Type="http://schemas.openxmlformats.org/officeDocument/2006/relationships/image" Target="media/image689.png"/><Relationship Id="rId724" Type="http://schemas.openxmlformats.org/officeDocument/2006/relationships/image" Target="media/image690.png"/><Relationship Id="rId725" Type="http://schemas.openxmlformats.org/officeDocument/2006/relationships/image" Target="media/image691.png"/><Relationship Id="rId726" Type="http://schemas.openxmlformats.org/officeDocument/2006/relationships/image" Target="media/image692.png"/><Relationship Id="rId727" Type="http://schemas.openxmlformats.org/officeDocument/2006/relationships/image" Target="media/image693.png"/><Relationship Id="rId728" Type="http://schemas.openxmlformats.org/officeDocument/2006/relationships/image" Target="media/image694.png"/><Relationship Id="rId729" Type="http://schemas.openxmlformats.org/officeDocument/2006/relationships/image" Target="media/image695.png"/><Relationship Id="rId730" Type="http://schemas.openxmlformats.org/officeDocument/2006/relationships/image" Target="media/image696.png"/><Relationship Id="rId731" Type="http://schemas.openxmlformats.org/officeDocument/2006/relationships/image" Target="media/image697.png"/><Relationship Id="rId732" Type="http://schemas.openxmlformats.org/officeDocument/2006/relationships/image" Target="media/image698.png"/><Relationship Id="rId733" Type="http://schemas.openxmlformats.org/officeDocument/2006/relationships/image" Target="media/image699.png"/><Relationship Id="rId734" Type="http://schemas.openxmlformats.org/officeDocument/2006/relationships/image" Target="media/image700.png"/><Relationship Id="rId735" Type="http://schemas.openxmlformats.org/officeDocument/2006/relationships/image" Target="media/image701.png"/><Relationship Id="rId741" Type="http://schemas.openxmlformats.org/officeDocument/2006/relationships/image" Target="media/image702.png"/><Relationship Id="rId742" Type="http://schemas.openxmlformats.org/officeDocument/2006/relationships/image" Target="media/image703.png"/><Relationship Id="rId743" Type="http://schemas.openxmlformats.org/officeDocument/2006/relationships/image" Target="media/image704.png"/><Relationship Id="rId759" Type="http://schemas.openxmlformats.org/officeDocument/2006/relationships/image" Target="media/image705.png"/><Relationship Id="rId760" Type="http://schemas.openxmlformats.org/officeDocument/2006/relationships/image" Target="media/image706.png"/><Relationship Id="rId761" Type="http://schemas.openxmlformats.org/officeDocument/2006/relationships/image" Target="media/image707.png"/><Relationship Id="rId765" Type="http://schemas.openxmlformats.org/officeDocument/2006/relationships/image" Target="media/image708.png"/><Relationship Id="rId766" Type="http://schemas.openxmlformats.org/officeDocument/2006/relationships/image" Target="media/image709.png"/><Relationship Id="rId767" Type="http://schemas.openxmlformats.org/officeDocument/2006/relationships/image" Target="media/image710.png"/><Relationship Id="rId768" Type="http://schemas.openxmlformats.org/officeDocument/2006/relationships/image" Target="media/image711.png"/><Relationship Id="rId769" Type="http://schemas.openxmlformats.org/officeDocument/2006/relationships/image" Target="media/image712.png"/><Relationship Id="rId770" Type="http://schemas.openxmlformats.org/officeDocument/2006/relationships/image" Target="media/image713.png"/><Relationship Id="rId771" Type="http://schemas.openxmlformats.org/officeDocument/2006/relationships/image" Target="media/image714.png"/><Relationship Id="rId772" Type="http://schemas.openxmlformats.org/officeDocument/2006/relationships/image" Target="media/image715.png"/><Relationship Id="rId773" Type="http://schemas.openxmlformats.org/officeDocument/2006/relationships/image" Target="media/image716.png"/><Relationship Id="rId774" Type="http://schemas.openxmlformats.org/officeDocument/2006/relationships/image" Target="media/image717.png"/><Relationship Id="rId775" Type="http://schemas.openxmlformats.org/officeDocument/2006/relationships/image" Target="media/image718.png"/><Relationship Id="rId776" Type="http://schemas.openxmlformats.org/officeDocument/2006/relationships/image" Target="media/image719.png"/><Relationship Id="rId777" Type="http://schemas.openxmlformats.org/officeDocument/2006/relationships/image" Target="media/image720.png"/><Relationship Id="rId778" Type="http://schemas.openxmlformats.org/officeDocument/2006/relationships/image" Target="media/image721.png"/><Relationship Id="rId779" Type="http://schemas.openxmlformats.org/officeDocument/2006/relationships/image" Target="media/image722.png"/><Relationship Id="rId780" Type="http://schemas.openxmlformats.org/officeDocument/2006/relationships/image" Target="media/image723.png"/><Relationship Id="rId781" Type="http://schemas.openxmlformats.org/officeDocument/2006/relationships/image" Target="media/image724.png"/><Relationship Id="rId782" Type="http://schemas.openxmlformats.org/officeDocument/2006/relationships/image" Target="media/image725.png"/><Relationship Id="rId783" Type="http://schemas.openxmlformats.org/officeDocument/2006/relationships/image" Target="media/image726.png"/><Relationship Id="rId784" Type="http://schemas.openxmlformats.org/officeDocument/2006/relationships/image" Target="media/image727.png"/><Relationship Id="rId785" Type="http://schemas.openxmlformats.org/officeDocument/2006/relationships/image" Target="media/image728.png"/><Relationship Id="rId786" Type="http://schemas.openxmlformats.org/officeDocument/2006/relationships/image" Target="media/image729.png"/><Relationship Id="rId787" Type="http://schemas.openxmlformats.org/officeDocument/2006/relationships/image" Target="media/image730.png"/><Relationship Id="rId788" Type="http://schemas.openxmlformats.org/officeDocument/2006/relationships/image" Target="media/image731.png"/><Relationship Id="rId789" Type="http://schemas.openxmlformats.org/officeDocument/2006/relationships/image" Target="media/image732.png"/><Relationship Id="rId790" Type="http://schemas.openxmlformats.org/officeDocument/2006/relationships/image" Target="media/image733.png"/><Relationship Id="rId791" Type="http://schemas.openxmlformats.org/officeDocument/2006/relationships/image" Target="media/image734.png"/><Relationship Id="rId792" Type="http://schemas.openxmlformats.org/officeDocument/2006/relationships/image" Target="media/image735.png"/><Relationship Id="rId793" Type="http://schemas.openxmlformats.org/officeDocument/2006/relationships/image" Target="media/image736.png"/><Relationship Id="rId794" Type="http://schemas.openxmlformats.org/officeDocument/2006/relationships/image" Target="media/image737.png"/><Relationship Id="rId795" Type="http://schemas.openxmlformats.org/officeDocument/2006/relationships/image" Target="media/image738.png"/><Relationship Id="rId796" Type="http://schemas.openxmlformats.org/officeDocument/2006/relationships/image" Target="media/image739.png"/><Relationship Id="rId797" Type="http://schemas.openxmlformats.org/officeDocument/2006/relationships/image" Target="media/image740.png"/><Relationship Id="rId798" Type="http://schemas.openxmlformats.org/officeDocument/2006/relationships/image" Target="media/image741.png"/><Relationship Id="rId799" Type="http://schemas.openxmlformats.org/officeDocument/2006/relationships/image" Target="media/image742.png"/><Relationship Id="rId800" Type="http://schemas.openxmlformats.org/officeDocument/2006/relationships/image" Target="media/image743.png"/><Relationship Id="rId801" Type="http://schemas.openxmlformats.org/officeDocument/2006/relationships/image" Target="media/image744.png"/><Relationship Id="rId802" Type="http://schemas.openxmlformats.org/officeDocument/2006/relationships/image" Target="media/image745.png"/><Relationship Id="rId803" Type="http://schemas.openxmlformats.org/officeDocument/2006/relationships/image" Target="media/image746.png"/><Relationship Id="rId804" Type="http://schemas.openxmlformats.org/officeDocument/2006/relationships/image" Target="media/image747.png"/><Relationship Id="rId805" Type="http://schemas.openxmlformats.org/officeDocument/2006/relationships/image" Target="media/image748.png"/><Relationship Id="rId806" Type="http://schemas.openxmlformats.org/officeDocument/2006/relationships/image" Target="media/image749.png"/><Relationship Id="rId807" Type="http://schemas.openxmlformats.org/officeDocument/2006/relationships/image" Target="media/image750.png"/><Relationship Id="rId808" Type="http://schemas.openxmlformats.org/officeDocument/2006/relationships/image" Target="media/image751.png"/><Relationship Id="rId809" Type="http://schemas.openxmlformats.org/officeDocument/2006/relationships/image" Target="media/image752.png"/><Relationship Id="rId810" Type="http://schemas.openxmlformats.org/officeDocument/2006/relationships/image" Target="media/image753.png"/><Relationship Id="rId811" Type="http://schemas.openxmlformats.org/officeDocument/2006/relationships/image" Target="media/image754.png"/><Relationship Id="rId812" Type="http://schemas.openxmlformats.org/officeDocument/2006/relationships/image" Target="media/image755.png"/><Relationship Id="rId813" Type="http://schemas.openxmlformats.org/officeDocument/2006/relationships/image" Target="media/image756.png"/><Relationship Id="rId814" Type="http://schemas.openxmlformats.org/officeDocument/2006/relationships/image" Target="media/image757.png"/><Relationship Id="rId615" Type="http://schemas.openxmlformats.org/officeDocument/2006/relationships/hyperlink" Target="https://www.sec.gov/Archives/edgar/data/42582/000119312521055015/d131290dex21.htm" TargetMode="External"/><Relationship Id="rId619" Type="http://schemas.openxmlformats.org/officeDocument/2006/relationships/hyperlink" Target="https://www.sec.gov/Archives/edgar/data/42582/000095012315007799/d58668dex31.htm" TargetMode="External"/><Relationship Id="rId620" Type="http://schemas.openxmlformats.org/officeDocument/2006/relationships/hyperlink" Target="https://www.sec.gov/Archives/edgar/data/42582/000119312522260678/d329651dex31.htm" TargetMode="External"/><Relationship Id="rId632" Type="http://schemas.openxmlformats.org/officeDocument/2006/relationships/hyperlink" Target="https://www.sec.gov/Archives/edgar/data/42582/000095015207004201/l26105aexv4w1.txt" TargetMode="External"/><Relationship Id="rId633" Type="http://schemas.openxmlformats.org/officeDocument/2006/relationships/hyperlink" Target="https://www.sec.gov/Archives/edgar/data/42582/0000950152-98-003336.txt" TargetMode="External"/><Relationship Id="rId634" Type="http://schemas.openxmlformats.org/officeDocument/2006/relationships/hyperlink" Target="https://www.sec.gov/Archives/edgar/data/24491/000002449199000042/0000024491-99-000042.txt" TargetMode="External"/><Relationship Id="rId645" Type="http://schemas.openxmlformats.org/officeDocument/2006/relationships/hyperlink" Target="https://www.sec.gov/Archives/edgar/data/42582/000095012310077159/l40510exv4w1.htm" TargetMode="External"/><Relationship Id="rId646" Type="http://schemas.openxmlformats.org/officeDocument/2006/relationships/hyperlink" Target="https://www.sec.gov/Archives/edgar/data/42582/000119312516589623/d178446dex42.htm" TargetMode="External"/><Relationship Id="rId647" Type="http://schemas.openxmlformats.org/officeDocument/2006/relationships/hyperlink" Target="https://www.sec.gov/Archives/edgar/data/42582/000119312517072576/d356399dex42.htm" TargetMode="External"/><Relationship Id="rId648" Type="http://schemas.openxmlformats.org/officeDocument/2006/relationships/hyperlink" Target="https://www.sec.gov/Archives/edgar/data/42582/000119312520144577/d892098dex42.htm" TargetMode="External"/><Relationship Id="rId660" Type="http://schemas.openxmlformats.org/officeDocument/2006/relationships/hyperlink" Target="https://www.sec.gov/Archives/edgar/data/42582/000119312521107057/d148655dex42.htm" TargetMode="External"/><Relationship Id="rId661" Type="http://schemas.openxmlformats.org/officeDocument/2006/relationships/hyperlink" Target="https://www.sec.gov/Archives/edgar/data/42582/000119312521107057/d148655dex43.htm" TargetMode="External"/><Relationship Id="rId662" Type="http://schemas.openxmlformats.org/officeDocument/2006/relationships/hyperlink" Target="https://www.sec.gov/Archives/edgar/data/42582/000119312521165448/d401788dex42.htm" TargetMode="External"/><Relationship Id="rId663" Type="http://schemas.openxmlformats.org/officeDocument/2006/relationships/hyperlink" Target="https://www.sec.gov/Archives/edgar/data/42582/000119312521165448/d401788dex43.htm" TargetMode="External"/><Relationship Id="rId675" Type="http://schemas.openxmlformats.org/officeDocument/2006/relationships/hyperlink" Target="https://www.sec.gov/Archives/edgar/data/42582/000119312521285565/d235300dex41.htm" TargetMode="External"/><Relationship Id="rId681" Type="http://schemas.openxmlformats.org/officeDocument/2006/relationships/hyperlink" Target="https://www.sec.gov/Archives/edgar/data/42582/000095012320001393/gt-q42019xex41.htm" TargetMode="External"/><Relationship Id="rId684" Type="http://schemas.openxmlformats.org/officeDocument/2006/relationships/hyperlink" Target="https://www.sec.gov/Archives/edgar/data/42582/000095017022020726/gt-ex10_1.htm" TargetMode="External"/><Relationship Id="rId685" Type="http://schemas.openxmlformats.org/officeDocument/2006/relationships/hyperlink" Target="https://www.sec.gov/Archives/edgar/data/42582/000095017021000990/gt-20210630ex10_2.htm" TargetMode="External"/><Relationship Id="rId686" Type="http://schemas.openxmlformats.org/officeDocument/2006/relationships/hyperlink" Target="https://www.sec.gov/Archives/edgar/data/42582/000095017022020726/gt-ex10_2.htm" TargetMode="External"/><Relationship Id="rId687" Type="http://schemas.openxmlformats.org/officeDocument/2006/relationships/hyperlink" Target="https://www.sec.gov/Archives/edgar/data/42582/000095017022020726/gt-ex10_3.htm" TargetMode="External"/><Relationship Id="rId709" Type="http://schemas.openxmlformats.org/officeDocument/2006/relationships/hyperlink" Target="https://www.sec.gov/Archives/edgar/data/42582/000095015205003940/l13312aexv4w7.htm" TargetMode="External"/><Relationship Id="rId710" Type="http://schemas.openxmlformats.org/officeDocument/2006/relationships/hyperlink" Target="https://www.sec.gov/Archives/edgar/data/42582/000095015207003599/l25539aexv4w6.txt" TargetMode="External"/><Relationship Id="rId711" Type="http://schemas.openxmlformats.org/officeDocument/2006/relationships/hyperlink" Target="https://www.sec.gov/Archives/edgar/data/42582/000095012312002512/d265449dex10_1.htm" TargetMode="External"/><Relationship Id="rId712" Type="http://schemas.openxmlformats.org/officeDocument/2006/relationships/hyperlink" Target="https://www.sec.gov/Archives/edgar/data/42582/000095012315007799/d58668dex102.htm" TargetMode="External"/><Relationship Id="rId713" Type="http://schemas.openxmlformats.org/officeDocument/2006/relationships/hyperlink" Target="https://www.sec.gov/Archives/edgar/data/42582/000095012319003618/d738090dex102.htm" TargetMode="External"/><Relationship Id="rId714" Type="http://schemas.openxmlformats.org/officeDocument/2006/relationships/hyperlink" Target="https://www.sec.gov/Archives/edgar/data/42582/000095017022020726/gt-ex10_4.htm" TargetMode="External"/><Relationship Id="rId715" Type="http://schemas.openxmlformats.org/officeDocument/2006/relationships/hyperlink" Target="https://www.sec.gov/Archives/edgar/data/42582/000095017022001201/gt-ex10_2.htm" TargetMode="External"/><Relationship Id="rId736" Type="http://schemas.openxmlformats.org/officeDocument/2006/relationships/hyperlink" Target="https://www.sec.gov/Archives/edgar/data/42582/000119312522106881/d284901dex101.htm" TargetMode="External"/><Relationship Id="rId737" Type="http://schemas.openxmlformats.org/officeDocument/2006/relationships/hyperlink" Target="https://www.sec.gov/Archives/edgar/data/42582/000119312522171605/d373071dex101.htm" TargetMode="External"/><Relationship Id="rId738" Type="http://schemas.openxmlformats.org/officeDocument/2006/relationships/hyperlink" Target="https://www.sec.gov/Archives/edgar/data/42582/000119312522171605/d373071dex102.htm" TargetMode="External"/><Relationship Id="rId739" Type="http://schemas.openxmlformats.org/officeDocument/2006/relationships/hyperlink" Target="https://www.sec.gov/Archives/edgar/data/42582/000119312522171605/d373071dex103.htm" TargetMode="External"/><Relationship Id="rId740" Type="http://schemas.openxmlformats.org/officeDocument/2006/relationships/hyperlink" Target="https://www.sec.gov/Archives/edgar/data/42582/000119312522171605/d373071dex104.htm" TargetMode="External"/><Relationship Id="rId744" Type="http://schemas.openxmlformats.org/officeDocument/2006/relationships/hyperlink" Target="https://www.sec.gov/Archives/edgar/data/42582/000119312522171605/d373071dex105.htm" TargetMode="External"/><Relationship Id="rId745" Type="http://schemas.openxmlformats.org/officeDocument/2006/relationships/hyperlink" Target="https://www.sec.gov/Archives/edgar/data/42582/000119312522171605/d373071dex106.htm" TargetMode="External"/><Relationship Id="rId746" Type="http://schemas.openxmlformats.org/officeDocument/2006/relationships/hyperlink" Target="https://www.sec.gov/Archives/edgar/data/42582/000119312522171605/d373071dex107.htm" TargetMode="External"/><Relationship Id="rId747" Type="http://schemas.openxmlformats.org/officeDocument/2006/relationships/hyperlink" Target="https://www.sec.gov/Archives/edgar/data/42582/000119312522171605/d373071dex108.htm" TargetMode="External"/><Relationship Id="rId748" Type="http://schemas.openxmlformats.org/officeDocument/2006/relationships/hyperlink" Target="https://www.sec.gov/Archives/edgar/data/42582/000119312522171605/d373071dex109.htm" TargetMode="External"/><Relationship Id="rId749" Type="http://schemas.openxmlformats.org/officeDocument/2006/relationships/hyperlink" Target="https://www.sec.gov/Archives/edgar/data/42582/000119312517123372/d375510dex101.htm" TargetMode="External"/><Relationship Id="rId750" Type="http://schemas.openxmlformats.org/officeDocument/2006/relationships/hyperlink" Target="https://www.sec.gov/Archives/edgar/data/42582/000119312513162989/d525588dex101.htm" TargetMode="External"/><Relationship Id="rId751" Type="http://schemas.openxmlformats.org/officeDocument/2006/relationships/hyperlink" Target="https://www.sec.gov/Archives/edgar/data/42582/000095012311011714/l41188exv10w2.htm" TargetMode="External"/><Relationship Id="rId752" Type="http://schemas.openxmlformats.org/officeDocument/2006/relationships/hyperlink" Target="https://www.sec.gov/Archives/edgar/data/42582/000119312518346155/d659319dex101.htm" TargetMode="External"/><Relationship Id="rId753" Type="http://schemas.openxmlformats.org/officeDocument/2006/relationships/hyperlink" Target="https://www.sec.gov/Archives/edgar/data/42582/000119312521353895/d253133dex101.htm" TargetMode="External"/><Relationship Id="rId754" Type="http://schemas.openxmlformats.org/officeDocument/2006/relationships/hyperlink" Target="https://www.sec.gov/Archives/edgar/data/42582/000095015209001538/l35232aexv10w11.htm" TargetMode="External"/><Relationship Id="rId755" Type="http://schemas.openxmlformats.org/officeDocument/2006/relationships/hyperlink" Target="https://www.sec.gov/Archives/edgar/data/42582/000119312521353895/d253133dex102.htm" TargetMode="External"/><Relationship Id="rId756" Type="http://schemas.openxmlformats.org/officeDocument/2006/relationships/hyperlink" Target="https://www.sec.gov/Archives/edgar/data/42582/000156459021004857/gt-ex101_919.htm" TargetMode="External"/><Relationship Id="rId757" Type="http://schemas.openxmlformats.org/officeDocument/2006/relationships/hyperlink" Target="https://www.sec.gov/Archives/edgar/data/42582/000095017022001201/gt-ex10_3.htm" TargetMode="External"/><Relationship Id="rId758" Type="http://schemas.openxmlformats.org/officeDocument/2006/relationships/hyperlink" Target="https://www.sec.gov/Archives/edgar/data/42582/000119312513093976/d497423dex101.htm" TargetMode="External"/><Relationship Id="rId762" Type="http://schemas.openxmlformats.org/officeDocument/2006/relationships/hyperlink" Target="https://www.sec.gov/Archives/edgar/data/42582/000119312521175410/d176243dex101.htm" TargetMode="External"/><Relationship Id="rId763" Type="http://schemas.openxmlformats.org/officeDocument/2006/relationships/hyperlink" Target="https://www.sec.gov/Archives/edgar/data/42582/000119312521175410/d176243dex102.htm" TargetMode="External"/><Relationship Id="rId764" Type="http://schemas.openxmlformats.org/officeDocument/2006/relationships/hyperlink" Target="https://www.sec.gov/Archives/edgar/data/42582/000119312521175410/d176243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2023-02-13T11:08:11Z</dcterms:created>
  <dcterms:modified xsi:type="dcterms:W3CDTF">2023-02-13T11:08:11Z</dcterms:modified>
</cp:coreProperties>
</file>