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32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25"/>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43"/>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8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10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June 30, 2024:</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284,687,007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829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786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283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6"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-337820</wp:posOffset>
            </wp:positionV>
            <wp:extent cx="6063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-183515</wp:posOffset>
            </wp:positionV>
            <wp:extent cx="4319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-29210</wp:posOffset>
            </wp:positionV>
            <wp:extent cx="2072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633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2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297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8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769"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4,570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4,867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9,107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9,808</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7,337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8,316</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1,372</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(Benefit) (Note 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78"/>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(309 )</w:t>
            </w:r>
          </w:p>
        </w:tc>
      </w:tr>
      <w:tr>
        <w:trPr>
          <w:trHeight w:val="224"/>
        </w:trPr>
        <w:tc>
          <w:tcPr>
            <w:tcW w:w="6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83"/>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0.30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(0.73 )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r>
      <w:tr>
        <w:trPr>
          <w:trHeight w:val="221"/>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r>
        <w:trPr>
          <w:trHeight w:val="285"/>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0.30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(0.73 )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r>
      <w:tr>
        <w:trPr>
          <w:trHeight w:val="217"/>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-842645</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-825500</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-842645</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-825500</wp:posOffset>
            </wp:positionV>
            <wp:extent cx="94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-842645</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-825500</wp:posOffset>
            </wp:positionV>
            <wp:extent cx="93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-508000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-490855</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-508000</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-490855</wp:posOffset>
            </wp:positionV>
            <wp:extent cx="94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-508000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-490855</wp:posOffset>
            </wp:positionV>
            <wp:extent cx="93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-173990</wp:posOffset>
            </wp:positionV>
            <wp:extent cx="102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-156845</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-173990</wp:posOffset>
            </wp:positionV>
            <wp:extent cx="94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-156845</wp:posOffset>
            </wp:positionV>
            <wp:extent cx="946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-173990</wp:posOffset>
            </wp:positionV>
            <wp:extent cx="93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-156845</wp:posOffset>
            </wp:positionV>
            <wp:extent cx="93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($1) and ($3) in 2024 ($1 and $2 in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total benefit cost, net of tax of $6 and $13 in 2024 ($6 and $13 in 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net actuarial losses, net of tax of $6 and $7 in 2024 ($5 and $3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due to curtailments, settlements and divestitures, net of tax of $0 and ($1) in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 ($8 and $8 in 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and $0 in 2024 ($0 and ($1)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$0 and $0 in 2024 ($0 and $0 in 2023)</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w:t>
            </w:r>
          </w:p>
        </w:tc>
        <w:tc>
          <w:tcPr>
            <w:tcW w:w="0" w:type="dxa"/>
            <w:vAlign w:val="bottom"/>
          </w:tcPr>
          <w:p>
            <w:pPr>
              <w:spacing w:after="0"/>
              <w:rPr>
                <w:sz w:val="1"/>
                <w:szCs w:val="1"/>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0" w:type="dxa"/>
            <w:vAlign w:val="bottom"/>
          </w:tcPr>
          <w:p>
            <w:pPr>
              <w:spacing w:after="0"/>
              <w:rPr>
                <w:sz w:val="1"/>
                <w:szCs w:val="1"/>
                <w:color w:val="auto"/>
              </w:rPr>
            </w:pPr>
          </w:p>
        </w:tc>
      </w:tr>
      <w:tr>
        <w:trPr>
          <w:trHeight w:val="23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9"/>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-668020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-668020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-668020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6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$87 ($102 in 2023)</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r>
      <w:tr>
        <w:trPr>
          <w:trHeight w:val="23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r>
      <w:tr>
        <w:trPr>
          <w:trHeight w:val="229"/>
        </w:trPr>
        <w:tc>
          <w:tcPr>
            <w:tcW w:w="8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3,698</w:t>
            </w: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r>
      <w:tr>
        <w:trPr>
          <w:trHeight w:val="229"/>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8,204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7,650</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1,630</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1,075</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$12,671 ($12,472 in 2023)</w:t>
            </w: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8,375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8,492</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22,025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r>
        <w:trPr>
          <w:trHeight w:val="20"/>
        </w:trPr>
        <w:tc>
          <w:tcPr>
            <w:tcW w:w="8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8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4,326</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33"/>
        </w:trPr>
        <w:tc>
          <w:tcPr>
            <w:tcW w:w="8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r>
      <w:tr>
        <w:trPr>
          <w:trHeight w:val="22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7,147</w:t>
            </w: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6,831</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r>
      <w:tr>
        <w:trPr>
          <w:trHeight w:val="22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16,745</w:t>
            </w: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285 million in 2024 (284 million in 2023)</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3,133</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5,114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5,086</w:t>
            </w: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(3,835 )</w:t>
            </w:r>
          </w:p>
        </w:tc>
      </w:tr>
      <w:tr>
        <w:trPr>
          <w:trHeight w:val="230"/>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4,703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4,668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r>
      <w:tr>
        <w:trPr>
          <w:trHeight w:val="223"/>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4,855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4,837</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22,025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r>
        <w:trPr>
          <w:trHeight w:val="20"/>
        </w:trPr>
        <w:tc>
          <w:tcPr>
            <w:tcW w:w="8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-4328160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-2836545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-1953895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-179705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283,786,26</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3,133</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5,086</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4,668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169</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900,744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39,600,900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284,687,00</w:t>
            </w:r>
          </w:p>
        </w:tc>
        <w:tc>
          <w:tcPr>
            <w:tcW w:w="3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3,140</w:t>
            </w:r>
          </w:p>
        </w:tc>
        <w:tc>
          <w:tcPr>
            <w:tcW w:w="340" w:type="dxa"/>
            <w:vAlign w:val="bottom"/>
            <w:gridSpan w:val="2"/>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5,029</w:t>
            </w:r>
          </w:p>
        </w:tc>
        <w:tc>
          <w:tcPr>
            <w:tcW w:w="300" w:type="dxa"/>
            <w:vAlign w:val="bottom"/>
            <w:gridSpan w:val="2"/>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(3,819 )</w:t>
            </w:r>
          </w:p>
        </w:tc>
        <w:tc>
          <w:tcPr>
            <w:tcW w:w="2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4,635</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163</w:t>
            </w:r>
          </w:p>
        </w:tc>
        <w:tc>
          <w:tcPr>
            <w:tcW w:w="280" w:type="dxa"/>
            <w:vAlign w:val="bottom"/>
            <w:gridSpan w:val="2"/>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4,798</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39,600,900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284,687,00</w:t>
            </w:r>
          </w:p>
        </w:tc>
        <w:tc>
          <w:tcPr>
            <w:tcW w:w="120" w:type="dxa"/>
            <w:vAlign w:val="bottom"/>
            <w:vMerge w:val="restart"/>
            <w:shd w:val="clear" w:color="auto" w:fill="CFF0FC"/>
          </w:tcPr>
          <w:p>
            <w:pPr>
              <w:spacing w:after="0"/>
              <w:rPr>
                <w:sz w:val="11"/>
                <w:szCs w:val="11"/>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285</w:t>
            </w:r>
          </w:p>
        </w:tc>
        <w:tc>
          <w:tcPr>
            <w:tcW w:w="1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3,146</w:t>
            </w:r>
          </w:p>
        </w:tc>
        <w:tc>
          <w:tcPr>
            <w:tcW w:w="100" w:type="dxa"/>
            <w:vAlign w:val="bottom"/>
            <w:vMerge w:val="restart"/>
            <w:shd w:val="clear" w:color="auto" w:fill="CFF0FC"/>
          </w:tcPr>
          <w:p>
            <w:pPr>
              <w:spacing w:after="0"/>
              <w:rPr>
                <w:sz w:val="11"/>
                <w:szCs w:val="11"/>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5,114</w:t>
            </w:r>
          </w:p>
        </w:tc>
        <w:tc>
          <w:tcPr>
            <w:tcW w:w="1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(3,842 )</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4,703</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152</w:t>
            </w:r>
          </w:p>
        </w:tc>
        <w:tc>
          <w:tcPr>
            <w:tcW w:w="1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4,855</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282,896,35</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3,117</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5,775</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166</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530,949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40,860,606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283,427,30</w:t>
            </w:r>
          </w:p>
        </w:tc>
        <w:tc>
          <w:tcPr>
            <w:tcW w:w="3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3,120</w:t>
            </w:r>
          </w:p>
        </w:tc>
        <w:tc>
          <w:tcPr>
            <w:tcW w:w="340" w:type="dxa"/>
            <w:vAlign w:val="bottom"/>
            <w:gridSpan w:val="2"/>
            <w:shd w:val="clear" w:color="auto" w:fill="CFF0FC"/>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5,674</w:t>
            </w:r>
          </w:p>
        </w:tc>
        <w:tc>
          <w:tcPr>
            <w:tcW w:w="30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(3,824 )</w:t>
            </w:r>
          </w:p>
        </w:tc>
        <w:tc>
          <w:tcPr>
            <w:tcW w:w="20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5,253</w:t>
            </w:r>
          </w:p>
        </w:tc>
        <w:tc>
          <w:tcPr>
            <w:tcW w:w="20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171</w:t>
            </w:r>
          </w:p>
        </w:tc>
        <w:tc>
          <w:tcPr>
            <w:tcW w:w="280" w:type="dxa"/>
            <w:vAlign w:val="bottom"/>
            <w:gridSpan w:val="2"/>
            <w:shd w:val="clear" w:color="auto" w:fill="CFF0FC"/>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5,424</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9"/>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25,016</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40,835,590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283,452,31</w:t>
            </w:r>
          </w:p>
        </w:tc>
        <w:tc>
          <w:tcPr>
            <w:tcW w:w="120" w:type="dxa"/>
            <w:vAlign w:val="bottom"/>
            <w:vMerge w:val="restart"/>
            <w:shd w:val="clear" w:color="auto" w:fill="CFF0FC"/>
          </w:tcPr>
          <w:p>
            <w:pPr>
              <w:spacing w:after="0"/>
              <w:rPr>
                <w:sz w:val="11"/>
                <w:szCs w:val="11"/>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w:t>
            </w:r>
          </w:p>
        </w:tc>
        <w:tc>
          <w:tcPr>
            <w:tcW w:w="1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3,124</w:t>
            </w:r>
          </w:p>
        </w:tc>
        <w:tc>
          <w:tcPr>
            <w:tcW w:w="100" w:type="dxa"/>
            <w:vAlign w:val="bottom"/>
            <w:vMerge w:val="restart"/>
            <w:shd w:val="clear" w:color="auto" w:fill="CFF0FC"/>
          </w:tcPr>
          <w:p>
            <w:pPr>
              <w:spacing w:after="0"/>
              <w:rPr>
                <w:sz w:val="11"/>
                <w:szCs w:val="11"/>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5,466</w:t>
            </w:r>
          </w:p>
        </w:tc>
        <w:tc>
          <w:tcPr>
            <w:tcW w:w="1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(3,768 )</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5,105</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168</w:t>
            </w:r>
          </w:p>
        </w:tc>
        <w:tc>
          <w:tcPr>
            <w:tcW w:w="1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5,273</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-1370965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-1370965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-1370965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-1370965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-1370965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-1370965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-1370965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-822325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-822325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-350520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-350520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-350520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-350520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-350520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-350520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-350520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-25400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5"/>
                <w:szCs w:val="15"/>
                <w:color w:val="auto"/>
              </w:rPr>
            </w:pPr>
          </w:p>
        </w:tc>
      </w:tr>
      <w:tr>
        <w:trPr>
          <w:trHeight w:val="176"/>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5"/>
                <w:szCs w:val="15"/>
                <w:color w:val="auto"/>
              </w:rPr>
            </w:pPr>
          </w:p>
        </w:tc>
      </w:tr>
      <w:tr>
        <w:trPr>
          <w:trHeight w:val="187"/>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3"/>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(307 )</w:t>
            </w: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Insurance Recoveries for Damaged Property, Plant and Equipment</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r>
      <w:tr>
        <w:trPr>
          <w:trHeight w:val="233"/>
        </w:trPr>
        <w:tc>
          <w:tcPr>
            <w:tcW w:w="8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(434 )</w:t>
            </w:r>
          </w:p>
        </w:tc>
      </w:tr>
      <w:tr>
        <w:trPr>
          <w:trHeight w:val="238"/>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4)</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0"/>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(488 )</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(645 )</w:t>
            </w: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595</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7,068</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4,758</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876</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(199 )</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852</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1,112</w:t>
            </w:r>
          </w:p>
        </w:tc>
      </w:tr>
      <w:tr>
        <w:trPr>
          <w:trHeight w:val="20"/>
        </w:trPr>
        <w:tc>
          <w:tcPr>
            <w:tcW w:w="8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-3710940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-779145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2023 (the “2023 Form 10-K”).</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June 30, 2024 are not necessarily indicative of the results expected in subsequent quarters or for the year ending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6, 2024, the SEC issued final rules that require registrants to enhance and standardize climate-related disclosures in their annual reports beginning with periods ending December 31, 2025. The final rules will require information about climate-related risks that have materially impacted, or are reasonably likely to have a material impact on, a registrant’s business strategy, results of operations or financial condition, the governance of climate-related matters, certain climate-related targets and goals, and certain greenhouse gas emissions. The rules will also require certain financial statement disclosures related to the impact of severe weather events and other natural disasters. On April 4, 2024, the SEC stayed the final rules pending completion of judicial review of several lawsuits challenging the rules that have been consolidated in the U.S. Court of Appeals for the 8th Circuit. We are currently assessing the impact of these rules on our disclosures in both our Annual Report on Form 10-K and the notes to the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187"/>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789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1,049</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r>
      <w:tr>
        <w:trPr>
          <w:trHeight w:val="27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852</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both June 30, 2024 and 2023, restricted cash was recorded in Prepaid Expenses and Other Current Assets in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5"/>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3,834</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226</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2,697</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1,279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594</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4,570</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4"/>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1,159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554</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4,147</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2,939</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1,341</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587</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4,867</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4,297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2,279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1,140</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7,716</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702</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433</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5,285</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2,626</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1,196</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9,107</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4,812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2,487</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1,103</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8,402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416</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2,833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1,169</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9,808</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-4371340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-4371340</wp:posOffset>
            </wp:positionV>
            <wp:extent cx="128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-4371340</wp:posOffset>
            </wp:positionV>
            <wp:extent cx="1289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-2965450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-2965450</wp:posOffset>
            </wp:positionV>
            <wp:extent cx="128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-2965450</wp:posOffset>
            </wp:positionV>
            <wp:extent cx="128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-1576705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-1576705</wp:posOffset>
            </wp:positionV>
            <wp:extent cx="128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1289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128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$19 million and $18 million at June 30, 2024 and December 31, 2023, respectively. Deferred revenue included in Other Long Term Liabilities in the Consolidated Balance Sheets totaled $8 million and $10 million at June 30, 2024 and December 31, 2023, respectively. We recognize deferred revenue after we have transferred control of the goods or services to the customer and all revenue recognition criteria are met.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six months ended June 30, 2024:</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3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6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47"/>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518</w:t>
            </w:r>
          </w:p>
        </w:tc>
        <w:tc>
          <w:tcPr>
            <w:tcW w:w="144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534</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Charges</w:t>
            </w:r>
          </w:p>
        </w:tc>
        <w:tc>
          <w:tcPr>
            <w:tcW w:w="13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r>
      <w:tr>
        <w:trPr>
          <w:trHeight w:val="21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($13) million and ($1)</w:t>
            </w: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48"/>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million, respectively</w:t>
            </w:r>
          </w:p>
        </w:tc>
        <w:tc>
          <w:tcPr>
            <w:tcW w:w="13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8"/>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0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454</w:t>
            </w:r>
          </w:p>
        </w:tc>
        <w:tc>
          <w:tcPr>
            <w:tcW w:w="1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200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as part of Goodyear Forward, we approved a rationalization plan to open a shared service center in Costa Rica and to exit certain Commercial Tire and Service Center (“CTSC”) locations. The proposed plan will lead to a reduction of 100 net positions, which includes the transfer of certain associate and contractor positions to the new shared service center and the elimination of certain positions in CTSC. Total pre-tax charges are expected to be $28 million, of which $18 million are expected to be cash charges primarily for associate-related costs. Non-cash charges are expected to be $10 million, consisting of accelerated lease amortization and pension settlement costs. We accrued approximately $9 million for this plan at June 30,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approved a rationalization plan in Asia Pacific to permanently close our Malaysia tire manufacturing facility by June 30, 2024 as part of our strategy to improve profitability and reduce production costs. We have approximately $10 million ($5 million after minority) accrued for this plan at June 30, 2024, which is expected to be substantially paid during the third quarter of 2024.</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remainder of the accrual balance at June 30, 2024 includes $242 million related to the closures of our Fulda, Germany ("Fulda") and our Fürstenwalde, Germany ("Fürstenwalde") tire manufacturing facilities, $143 million related to the rationalization and workforce reorganization plan in Europe, Middle East and Africa ("EMEA"), which reflects $13 million of reversals due to voluntary attrition, $15 million related to the plan to improve profitability in Australia and New Zealand, $10 million related to plans to reduce Selling, Administrative and General expense ("SAG") headcount, $5 million related to the closure of Cooper Tire's Melksham, United Kingdom manufacturing facility ("Melksham"), $5 million related to the closed Amiens, France tire manufacturing facility, $4 million related to our global workforce reorganization plan to improve our cost structure, $4 million related to the plan to streamline our EMEA distribution network, $4 million related to the plan to reduce costs associated with our global operations and technology organization, and various other plans to reduce headcount and improve operating efficiency.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$192 million and $239 million were recorded in Other Current Liabilities in the Consolidated Balance Sheets,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45"/>
        </w:trPr>
        <w:tc>
          <w:tcPr>
            <w:tcW w:w="6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36"/>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41</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-1422400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-1422400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-1422400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-479425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-479425</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-479425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new charges for the three and six months ended June 30, 2024 and 2023 relate to future cash outflows. Net current year plan charges for the three months ended June 30, 2024 primarily relate to the plan to open a new shared service center in Costa Rica. Net current year plan charges for the six months ended June 30, 2024 also include the closure of our tire manufacturing facility in Malaysia. Net current year plan charges for the three months ended June 30, 2023 relate to the plan to close Fulda and the plan to reduce costs associated with our global operations and technology organization. Net current year plan charges for the six months ended June 30, 2023 also include the plan to streamline our EMEA distribution network and the plan to reduce manufacturing staffing levels and capacity in EMEA.</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prior year plan charges for the three months ended June 30, 2024 include $6 million related to the closures of Fulda and Fürstenwalde, $3 million related to the closure of Melksham, $2 million related to the plan to improve profitability in Australia and New Zealand, $2 million related to the plan to streamline our EMEA distribution network, $1 million related to our closure of certain retail and warehouse locations in Americas, $1 million related to plans to reduce SAG headcount, and reversals of $12 million primarily related to voluntary attrition. Net prior year plan charges for the six months ended June 30, 2024 include $8 million related to the closures of Fulda and Fürstenwalde, $7 million related to the closure of Melksham, $3 million related to the plan in Australia and New Zealand, $3 million related to the permanent closure of our Gadsden, Alabama tire manufacturing facility ("Gadsden"), $2 million related to the plan to streamline our EMEA distribution network, $2 million related to the closure of certain retail and warehouse locations in Americas, $1 million related to plans to reduce SAG headcount, and reversals of $13 million related to voluntary attrition. Net prior year plan charges for the three months ended June 30, 2023 include $4 million related to the closure of Melksham, $2 million related to the integration of Cooper Tire, $2 million related to a plan in South Africa, and reversals of $4 million for actions no longer needed for their originally intended purpose. Net prior year plan charges for the six months ended June 30, 2023 include $6 million related to the closure of Melksham, $4 million for various plans to reduce global SAG headcount, $4 million related to the integration of Cooper Tire, $3 million related to the permanent closure of Gadsden, $2 million related to discontinued operations in Russia, and reversals of $6 million for actions no longer needed for their originally intended purpose.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six months ended June 30, 2024 primarily relate to plans to improve our cost structure through announced closures of our Fulda, Fürstenwalde and Malaysia tire manufacturing facilities, as well as the closure of a development center and warehouse in the U.S.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write-offs (recoveries) and accelerated depreciation for the three months ended June 30, 2023 primarily relate to the integration of Cooper Tire and the closure of Melksham. Asset write-offs (recoveries) and accelerated depreciation for the six months ended June 30, 2023 primarily relate to the integration of Cooper Tire and the closure of Melksham, partially offset by recoveries of previously written-off accounts receivable and other assets in Russia.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$920 million in charges incurred prior to 2024 and have approximately $230 million in expected charges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750 associates will be released under plans initiated in 2024, of which approximately 50 were released through June 30, 2024. In the first six months of 2024, approximately 900 associates were released under plans initiated in prior years. Approximately 3,050 associates remain to be released under all ongoing rationalization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5"/>
                <w:szCs w:val="15"/>
                <w:color w:val="auto"/>
              </w:rPr>
            </w:pP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8"/>
        </w:trPr>
        <w:tc>
          <w:tcPr>
            <w:tcW w:w="6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six months ended June 30, 2024 includes a pension settlement credit of $5 million related to a premium refund on the purchase of a group annuity contract for the Cooper Tire U.S. Salaried defined benefit pension plan in 2023. Pension expense for the three and six months ended June 30, 2023 includes pension settlement charges of $36 million related to the termination of the Cooper Tire U.S. Salaried and Ireland defined benefit pension plans. For further information, refer to Note to the Consolidated Financial Statements No. 10, Pension, Savings and Other Postretirement Benefit Plans.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losses for the three and six months ended June 30, 2023 include losses of $17 million and $19 million, respectively, related to the Turkish lira and $11 million and $19 million, respectively, related to the Argentine peso.</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gains on asset sales for the three and six months ended June 30, 2024 include an $80 million gain related to the sale of a distribution center in EMEA. Net gains on asset sales for the three and six months ended June 30, 2024 also include a $14 million gain related to a sale and leaseback transaction for a warehouse in Americas. Cash proceeds, which were received during the second quarter of 2024, related to the Americas transaction totaled $16 million. Leaseback terms for this location include a 4-year initial term with one 5-year renewal option. We have determined that it is not probable that we will exercise the renewal option. This transaction resulted in the recognition of Operating Lease Right-of-Use Assets totaling $6 million. Net gains on asset sales for the three and six months ended June 30, 2023 include a $59 million gain related to a sale and leaseback transaction for a warehouse in Americas. Cash proceeds, which were received during the second quarter of 2023, related to this transaction totaled $66 million. Leaseback terms for this location include a 5-year initial term with one 5-year renewal option. We have determined that it is not probable that we will exercise the renewal option. This transaction resulted in the recognition of Operating Lease Right-of-Use Assets totaling $24 million.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Miscellaneous (income) expense for the six months ended June 30, 2024 includes an $8 million loss related to the sale of receivables in Argentina. Miscellaneous (income) expense for the three and six months ended June 30, 2023 includes non-indemnified costs for product liability claims related to products manufactured by a formerly consolidated joint venture entity totaling $4 million and $15 million, respectively, and a $10 million loss related to the sale of a receivable in Argentina. Miscellaneous (income) expense for the six months ended June 30, 2023 also includes $11 million of income related to a favorable court decision setting aside a previous unfavorable verdict on intellectual property-related legal claims and $5 million of income related to the write-off of accumulated foreign currency translation in Russia.</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general and product liability expense - discontinued products, which consists of charges for claims against us related primarily to asbestos personal injury claims, net of probable insurance recoveries; and royalty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2024, we recorded income tax expense of $60 million on income before income taxes of $140 million. For the first six months of 2024, we recorded income tax expense of $66 million on income before income taxes of $88 million. Income tax expense for the six months ended June 30, 2024 includes a net discrete tax benefit of $1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2023, we recorded an income tax benefit of $2 million on a loss before income taxes of $210 million. For the first six months of 2023, we recorded an income tax benefit of $3 million on loss before income taxes of $310 million. Income tax benefit for the three and six months ended June 30, 2023 includes net discrete tax expense of $2 million and $3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six months ended June 30, 2024 and three and six months ended June 30,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and December 31, 2023, we had approximately $1.3 billion and $1.2 billion of U.S. federal, state and local net deferred tax assets, respectively, inclusive of valuation allowances totaling $22 million in each period, primarily for state tax loss carryforwards with limited lives. As of June 30, 2024, approximately $1.1 billion of these U.S. net deferred tax assets had unlimited lives and approximately $200 million had limited lives, including $22 million of foreign tax credits, and the majority do not start to expire until 2031. As of December 31, 2023, approximately $1.0 billion of these U.S. net deferred tax assets had unlimited lives and approximately $200 million had limited lives, including $22 million of foreign tax credits, and the majority do not start to expire until 2031. In the U.S., as of December 31, 2023, we emerged from a three-year cumulative loss which was driven by business disruptions created by the COVID-19 pandemic. Our U.S. cumulative income for the three-years ended June 30, 2024 is primarily a result of gains from other comprehensive income rather than consistently profitable U.S. operating results. Our U.S. operating results for the first six months of 2024 have shown improvement when compared to the first six months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half of 2024 as a result of lower raw material and transportation costs and benefits from the Goodyear Forward plan compared to the first half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six months ended June 30, 2024 compared to the six months ended June 30, 2023, as well as forecasts of future profitability, provide us sufficient positive evidence to conclude that it is more likely than not that, at June 30, 2024,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and December 31, 2023, we also had approximately $1.5 billion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believe that sufficient positive evidence required to release valuation allowances on our foreign deferred tax assets having a significant impact on our financial position or results of operations will exist within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changes to our unrecognized tax benefits did not, and for the full year of 2024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2019 onward are still open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25"/>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0.30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(0.73 )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0.10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1"/>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1"/>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24"/>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5"/>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0.30</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(0.73 )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0.10</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-1370965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-1353820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-1370965</wp:posOffset>
            </wp:positionV>
            <wp:extent cx="946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-1353820</wp:posOffset>
            </wp:positionV>
            <wp:extent cx="946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-1370965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-1353820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-702310</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-685165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-702310</wp:posOffset>
            </wp:positionV>
            <wp:extent cx="946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-685165</wp:posOffset>
            </wp:positionV>
            <wp:extent cx="946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-702310</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-685165</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-367665</wp:posOffset>
            </wp:positionV>
            <wp:extent cx="102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-367665</wp:posOffset>
            </wp:positionV>
            <wp:extent cx="94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-367665</wp:posOffset>
            </wp:positionV>
            <wp:extent cx="93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946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94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and six months ended June 30, 2024 excludes approximately 1 million equivalent shares and for the three and six months ended June 30, 2023 excludes approximately 2 million equivalent shares, related to options with exercise prices greater than the average market price of our common shares (i.e., "underwater" options). Additionally, weighted average shares outstanding — diluted for the three and six months ended June 30, 2023 excludes the dilutive effect of approximately 2 million shares and 1 million shares, respectively, related primarily to options with exercise prices less than the average market price of our common shares (i.e., "in-the-money" options), as their inclusion would have been anti-dilutive due to the Goodyear net loss.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2,697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2,939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5,285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5,806</w:t>
            </w: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2,626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2,833</w:t>
            </w: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1,169</w:t>
            </w:r>
          </w:p>
        </w:tc>
      </w:tr>
      <w:tr>
        <w:trPr>
          <w:trHeight w:val="279"/>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4,570</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4,867</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9,107</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9,808</w:t>
            </w:r>
          </w:p>
        </w:tc>
      </w:tr>
      <w:tr>
        <w:trPr>
          <w:trHeight w:val="223"/>
        </w:trPr>
        <w:tc>
          <w:tcPr>
            <w:tcW w:w="6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45"/>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r>
      <w:tr>
        <w:trPr>
          <w:trHeight w:val="239"/>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339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249</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15"/>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write-offs (recoveries), accelerated depreciation,</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48"/>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accelerated lease costs, net (Note 3)</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1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r>
      <w:tr>
        <w:trPr>
          <w:trHeight w:val="274"/>
        </w:trPr>
        <w:tc>
          <w:tcPr>
            <w:tcW w:w="6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-2390775</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-2374265</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-2390775</wp:posOffset>
            </wp:positionV>
            <wp:extent cx="946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-2374265</wp:posOffset>
            </wp:positionV>
            <wp:extent cx="94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-2390775</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-2374265</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-1748155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-1748155</wp:posOffset>
            </wp:positionV>
            <wp:extent cx="94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-1748155</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02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02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9" w:lineRule="exact"/>
        <w:rPr>
          <w:sz w:val="20"/>
          <w:szCs w:val="20"/>
          <w:color w:val="auto"/>
        </w:rPr>
      </w:pPr>
    </w:p>
    <w:p>
      <w:pPr>
        <w:jc w:val="both"/>
        <w:ind w:left="760" w:hanging="752"/>
        <w:spacing w:after="0" w:line="289" w:lineRule="auto"/>
        <w:tabs>
          <w:tab w:leader="none" w:pos="7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for the three and six months ended June 30, 2024 includes $40 million and $67 million, respectively, of costs related to the Goodyear Forward plan, primarily related to third-party advisory, legal and consulting fees and costs associated with planned asset sales. Other for the three and six months ended June 30, 2023 includes $14 million related to the insurance deductible for the severe weather event in Tupelo, Mississippi.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Rationalizations and asset write-offs (recoveries), accelerated depreciation, and accelerated lease costs, as described in Note to the Consolidated Financial Statements No. 3, Costs Associated with Rationalization Programs and net (gains) losses on asset sales, as described in Note to the Consolidated Financial Statements No. 4, Other (Income) Expense, were not charged to the strategic business units ("SBUs") for performance evaluation purposes but were attributable to the SBUs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8"/>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22"/>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8"/>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Rationalizations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158"/>
        </w:trPr>
        <w:tc>
          <w:tcPr>
            <w:tcW w:w="6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(Recoveries), Accelerated Depreciation, and Accelerated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 net: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16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Segment Asset Write-offs (Recoveries), Accelerated Depreciation,</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43</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1"/>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and Accelerated Lease Costs, net</w:t>
            </w: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16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Asset Write-offs (Recoveries), Accelerated Depreciation, and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43</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1"/>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-2750820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-2734310</wp:posOffset>
            </wp:positionV>
            <wp:extent cx="102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-2750820</wp:posOffset>
            </wp:positionV>
            <wp:extent cx="94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-2734310</wp:posOffset>
            </wp:positionV>
            <wp:extent cx="94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-2750820</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-2734310</wp:posOffset>
            </wp:positionV>
            <wp:extent cx="93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-2407920</wp:posOffset>
            </wp:positionV>
            <wp:extent cx="102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-2391410</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-2407920</wp:posOffset>
            </wp:positionV>
            <wp:extent cx="94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-2391410</wp:posOffset>
            </wp:positionV>
            <wp:extent cx="946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-2407920</wp:posOffset>
            </wp:positionV>
            <wp:extent cx="93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-2391410</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-1807845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-1807845</wp:posOffset>
            </wp:positionV>
            <wp:extent cx="946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-1807845</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-753745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-753745</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-753745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-299720</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-299720</wp:posOffset>
            </wp:positionV>
            <wp:extent cx="94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-299720</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June 30, 2024, we had total credit arrangements of $11,707 million, of which $3,227 million were unused. At that date, approximately 26% of our debt was at variable interest rates averaging 7.16%.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At June 30, 2024, we had short term committed and uncommitted credit arrangements totaling $907 million, of which $403 million were unused. These arrangements are available primarily to certain of our foreign subsidiaries through various banks at quoted market interest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23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6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20"/>
                <w:szCs w:val="20"/>
                <w:color w:val="auto"/>
              </w:rPr>
            </w:pP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360" w:type="dxa"/>
            <w:vAlign w:val="bottom"/>
            <w:tcBorders>
              <w:bottom w:val="single" w:sz="8" w:color="auto"/>
            </w:tcBorders>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344</w:t>
            </w:r>
          </w:p>
        </w:tc>
        <w:tc>
          <w:tcPr>
            <w:tcW w:w="60" w:type="dxa"/>
            <w:vAlign w:val="bottom"/>
          </w:tcPr>
          <w:p>
            <w:pPr>
              <w:spacing w:after="0"/>
              <w:rPr>
                <w:sz w:val="24"/>
                <w:szCs w:val="24"/>
                <w:color w:val="auto"/>
              </w:rPr>
            </w:pP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3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247"/>
        </w:trPr>
        <w:tc>
          <w:tcPr>
            <w:tcW w:w="70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0"/>
                <w:szCs w:val="20"/>
                <w:color w:val="auto"/>
              </w:rPr>
            </w:pPr>
          </w:p>
        </w:tc>
      </w:tr>
      <w:tr>
        <w:trPr>
          <w:trHeight w:val="252"/>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9.50% Notes due 2025</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20"/>
                <w:szCs w:val="20"/>
                <w:color w:val="auto"/>
              </w:rPr>
            </w:pPr>
          </w:p>
        </w:tc>
      </w:tr>
      <w:tr>
        <w:trPr>
          <w:trHeight w:val="27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360" w:type="dxa"/>
            <w:vAlign w:val="bottom"/>
            <w:tcBorders>
              <w:bottom w:val="single" w:sz="8" w:color="auto"/>
            </w:tcBorders>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449</w:t>
            </w:r>
          </w:p>
        </w:tc>
        <w:tc>
          <w:tcPr>
            <w:tcW w:w="60" w:type="dxa"/>
            <w:vAlign w:val="bottom"/>
          </w:tcPr>
          <w:p>
            <w:pPr>
              <w:spacing w:after="0"/>
              <w:rPr>
                <w:sz w:val="24"/>
                <w:szCs w:val="24"/>
                <w:color w:val="auto"/>
              </w:rPr>
            </w:pP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3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360" w:type="dxa"/>
            <w:vAlign w:val="bottom"/>
            <w:tcBorders>
              <w:top w:val="single" w:sz="8" w:color="auto"/>
              <w:bottom w:val="single" w:sz="8" w:color="auto"/>
            </w:tcBorders>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1,644</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-1327785</wp:posOffset>
            </wp:positionV>
            <wp:extent cx="111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-1310640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-367665</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-350520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111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111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had long term credit arrangements totaling $10,800 million, of which $2,824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gridSpan w:val="3"/>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6.58 %</w:t>
            </w: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6.71 %</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5.12 %</w:t>
            </w:r>
          </w:p>
        </w:tc>
        <w:tc>
          <w:tcPr>
            <w:tcW w:w="940" w:type="dxa"/>
            <w:vAlign w:val="bottom"/>
          </w:tcPr>
          <w:p>
            <w:pPr>
              <w:spacing w:after="0"/>
              <w:rPr>
                <w:sz w:val="21"/>
                <w:szCs w:val="21"/>
                <w:color w:val="auto"/>
              </w:rPr>
            </w:pPr>
          </w:p>
        </w:tc>
        <w:tc>
          <w:tcPr>
            <w:tcW w:w="16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r>
      <w:tr>
        <w:trPr>
          <w:trHeight w:val="205"/>
        </w:trPr>
        <w:tc>
          <w:tcPr>
            <w:tcW w:w="47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17"/>
                <w:szCs w:val="17"/>
                <w:color w:val="auto"/>
              </w:rPr>
            </w:pPr>
          </w:p>
        </w:tc>
        <w:tc>
          <w:tcPr>
            <w:tcW w:w="126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2.50 %</w:t>
            </w:r>
          </w:p>
        </w:tc>
        <w:tc>
          <w:tcPr>
            <w:tcW w:w="940" w:type="dxa"/>
            <w:vAlign w:val="bottom"/>
          </w:tcPr>
          <w:p>
            <w:pPr>
              <w:spacing w:after="0"/>
              <w:rPr>
                <w:sz w:val="17"/>
                <w:szCs w:val="17"/>
                <w:color w:val="auto"/>
              </w:rPr>
            </w:pPr>
          </w:p>
        </w:tc>
        <w:tc>
          <w:tcPr>
            <w:tcW w:w="540" w:type="dxa"/>
            <w:vAlign w:val="bottom"/>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3.94 %</w:t>
            </w:r>
          </w:p>
        </w:tc>
      </w:tr>
      <w:tr>
        <w:trPr>
          <w:trHeight w:val="294"/>
        </w:trPr>
        <w:tc>
          <w:tcPr>
            <w:tcW w:w="4740" w:type="dxa"/>
            <w:vAlign w:val="bottom"/>
          </w:tcPr>
          <w:p>
            <w:pPr>
              <w:ind w:left="20"/>
              <w:spacing w:after="0" w:line="294"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7.15 %</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r>
      <w:tr>
        <w:trPr>
          <w:trHeight w:val="236"/>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7,783</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7,049</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7,751</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7,012</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8,014</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7,280</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47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6,832</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6,831</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2"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63"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million of non-cash financing additions during the six months ended June 30, 2024, and $17 million of non-cash financing additions during the twelve months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had $5,555 million of outstanding notes, compared to $5,571 million at December 31, 2023.</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23, 2024, we called for redemption of $300 million in aggregate principal amount of our outstanding 9.5% Senior Notes due 2025 on August 7, 2024 (the “Redemption Date”). The redemption price will be equal to 100% of the principal amount of the notes being redeemed plus accrued and unpaid interest thereon to the Redemption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w:t>
      </w:r>
    </w:p>
    <w:p>
      <w:pPr>
        <w:sectPr>
          <w:pgSz w:w="11900" w:h="16838" w:orient="portrait"/>
          <w:cols w:equalWidth="0" w:num="1">
            <w:col w:w="11300"/>
          </w:cols>
          <w:pgMar w:left="320" w:top="769" w:right="279" w:bottom="1440" w:gutter="0" w:footer="0" w:header="0"/>
        </w:sectPr>
      </w:pP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components of the borrowing base decline in value, our borrowing base will decrease and the availability under the facility may decrease below $2.75 billion. As of June 30, 2024, our borrowing base was above the facility's stated amount of $2.75 billion.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firstLine="8"/>
        <w:spacing w:after="0" w:line="260" w:lineRule="auto"/>
        <w:tabs>
          <w:tab w:leader="none" w:pos="2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we had $815 million of borrowings and $1 million of letters of credit issued under the revolving credit facility. At December 31, 2023, we had $385 million of borrowings and $1 million of letters of credit issued under the revolving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there were no borrowings outstanding under the German tranche, $241 million (€225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9.5% Senior Notes Due 2025 (the “Notes”) that would remain outstanding subsequent to the partial redemption of $300 million of the Notes.</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any funding under the Committed Credit Facility, the aggregate commitments under the Commitment Letter for the Committed Credit Facility would be reduced by the amount of any proceeds received by us in respect of certain asset sales and by the amount of any Notes redeemed, repurchased or otherwise repaid by us after the date of the Commitment Letter (other than the partial redemption of $300 million of the Notes). The commitments of the lenders under the Commitment Letter are subject to the execution and delivery of definitive documentation with respect to the Committed Credit Facility and other customary conditions. The Commitment Letter will terminate on the earliest of (i) the redemption, repurchase or other repayment of all of the Notes without the funding of the Committed Credit Facility, (ii) the execution and delivery of the Committed Credit Facility, (iii) our election to terminate the Commitment Letter, or (iv) June 2, 2025 (the final payment date for the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is €300 million.</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 amounts available and utilized under this program totaled $204 million (€190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2023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2024, the gross amount of receivables sold was $656 million, compared to $693 million at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$841 million and $892 million at June 30, 2024 and December 31, 2023, respectively. The amounts confirmed to the financial institutions were $672 million and $580 million at June 30,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June 30, 2024, the amounts available and utilized under this facility were $200 million. At December 31, 2023, the amounts available and utilized under this facility were $200 million and $84 million, respectively.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964</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937</w:t>
            </w:r>
          </w:p>
        </w:tc>
      </w:tr>
      <w:tr>
        <w:trPr>
          <w:trHeight w:val="222"/>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4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400" w:type="dxa"/>
            <w:vAlign w:val="bottom"/>
          </w:tcPr>
          <w:p>
            <w:pPr>
              <w:spacing w:after="0"/>
              <w:rPr>
                <w:sz w:val="20"/>
                <w:szCs w:val="20"/>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4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r>
      <w:tr>
        <w:trPr>
          <w:trHeight w:val="279"/>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489</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280</w:t>
            </w:r>
          </w:p>
        </w:tc>
      </w:tr>
      <w:tr>
        <w:trPr>
          <w:trHeight w:val="226"/>
        </w:trPr>
        <w:tc>
          <w:tcPr>
            <w:tcW w:w="70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4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7/24-8/28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1111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-1276350</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-333375</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-316230</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one of our manufacturing facilities in China and the unused amount available under these facilities was $93 million at both June 30, 2024 and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46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tcPr>
          <w:p>
            <w:pPr>
              <w:jc w:val="right"/>
              <w:ind w:right="12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and December 31, 2023, these outstanding foreign currency derivatives had notional amounts of $1,775 million and $1,930 million, respectively, and were primarily related to intercompany loans. Other (Income) Expense included net transaction gains on derivatives of $10 million and $45 million for the three and six months ended June 30, 2024. Other (Income) Expense included net transaction gains on derivatives of $6 million and $4 million for the three and six months ended June 30, 2023. These amounts were substantially offset in Other (Income) Expense by the effect of changing exchange rates on the underlying currency exposures.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46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tcPr>
          <w:p>
            <w:pPr>
              <w:jc w:val="right"/>
              <w:ind w:right="12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shd w:val="clear" w:color="auto" w:fill="CFF0FC"/>
          </w:tcPr>
          <w:p>
            <w:pPr>
              <w:spacing w:after="0"/>
              <w:rPr>
                <w:sz w:val="21"/>
                <w:szCs w:val="21"/>
                <w:color w:val="auto"/>
              </w:rPr>
            </w:pPr>
          </w:p>
        </w:tc>
        <w:tc>
          <w:tcPr>
            <w:tcW w:w="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these outstanding foreign currency derivatives had no notional amount and $27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1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48"/>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  $</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1"/>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Cost of Goods Sold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("CGS")</w:t>
            </w:r>
          </w:p>
        </w:tc>
        <w:tc>
          <w:tcPr>
            <w:tcW w:w="240" w:type="dxa"/>
            <w:vAlign w:val="bottom"/>
          </w:tcPr>
          <w:p>
            <w:pPr>
              <w:spacing w:after="0"/>
              <w:rPr>
                <w:sz w:val="20"/>
                <w:szCs w:val="20"/>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June 30, 2024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4"/>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20</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-839470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-839470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-839470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-839470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-187960</wp:posOffset>
            </wp:positionV>
            <wp:extent cx="85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857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June 30,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5,716</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5,720</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5,459</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5,488</w:t>
            </w:r>
          </w:p>
        </w:tc>
      </w:tr>
      <w:tr>
        <w:trPr>
          <w:trHeight w:val="243"/>
        </w:trPr>
        <w:tc>
          <w:tcPr>
            <w:tcW w:w="7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1,292</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1,286</w:t>
            </w:r>
          </w:p>
        </w:tc>
      </w:tr>
    </w:tbl>
    <w:p>
      <w:pPr>
        <w:spacing w:after="0" w:line="36" w:lineRule="exact"/>
        <w:rPr>
          <w:sz w:val="20"/>
          <w:szCs w:val="20"/>
          <w:color w:val="auto"/>
        </w:rPr>
      </w:pPr>
    </w:p>
    <w:p>
      <w:pPr>
        <w:jc w:val="both"/>
        <w:ind w:left="760" w:hanging="752"/>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$462 million and $344 million at June 30, 2024 and December 31, 2023, respectively, of which $251 million and $111 million, respectively, are at fixed rates and $211 million and $233 million, respectively, are at variable rates. The carrying value of Notes Payable and Overdrafts approximates fair value due to the short term nature of the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$5,265 million and $5,301 million at June 30, 2024 and December 31, 2023, respectively, were estimated using quoted Level 1 market prices. The carrying value of the remaining debt was based upon internal estimates of fair value derived from market prices for similar debt.</w:t>
      </w:r>
    </w:p>
    <w:p>
      <w:pPr>
        <w:spacing w:after="0" w:line="158" w:lineRule="exact"/>
        <w:rPr>
          <w:sz w:val="20"/>
          <w:szCs w:val="20"/>
          <w:color w:val="auto"/>
        </w:rPr>
      </w:pPr>
    </w:p>
    <w:p>
      <w:pPr>
        <w:ind w:right="4400"/>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8"/>
        </w:trPr>
        <w:tc>
          <w:tcPr>
            <w:tcW w:w="6160" w:type="dxa"/>
            <w:vAlign w:val="bottom"/>
          </w:tcPr>
          <w:p>
            <w:pPr>
              <w:spacing w:after="0"/>
              <w:rPr>
                <w:sz w:val="13"/>
                <w:szCs w:val="13"/>
                <w:color w:val="auto"/>
              </w:rPr>
            </w:pPr>
          </w:p>
        </w:tc>
        <w:tc>
          <w:tcPr>
            <w:tcW w:w="2080" w:type="dxa"/>
            <w:vAlign w:val="bottom"/>
            <w:gridSpan w:val="4"/>
          </w:tcPr>
          <w:p>
            <w:pPr>
              <w:jc w:val="center"/>
              <w:ind w:left="23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center"/>
              <w:ind w:right="252"/>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20"/>
                <w:szCs w:val="20"/>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r>
      <w:tr>
        <w:trPr>
          <w:trHeight w:val="279"/>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740" w:type="dxa"/>
            <w:vAlign w:val="bottom"/>
            <w:tcBorders>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80"/>
        </w:trPr>
        <w:tc>
          <w:tcPr>
            <w:tcW w:w="6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80" w:type="dxa"/>
            <w:vAlign w:val="bottom"/>
            <w:tcBorders>
              <w:bottom w:val="single" w:sz="8" w:color="auto"/>
            </w:tcBorders>
          </w:tcPr>
          <w:p>
            <w:pPr>
              <w:spacing w:after="0"/>
              <w:rPr>
                <w:sz w:val="24"/>
                <w:szCs w:val="24"/>
                <w:color w:val="auto"/>
              </w:rPr>
            </w:pPr>
          </w:p>
        </w:tc>
      </w:tr>
      <w:tr>
        <w:trPr>
          <w:trHeight w:val="158"/>
        </w:trPr>
        <w:tc>
          <w:tcPr>
            <w:tcW w:w="6160" w:type="dxa"/>
            <w:vAlign w:val="bottom"/>
          </w:tcPr>
          <w:p>
            <w:pPr>
              <w:spacing w:after="0"/>
              <w:rPr>
                <w:sz w:val="13"/>
                <w:szCs w:val="13"/>
                <w:color w:val="auto"/>
              </w:rPr>
            </w:pPr>
          </w:p>
        </w:tc>
        <w:tc>
          <w:tcPr>
            <w:tcW w:w="2080" w:type="dxa"/>
            <w:vAlign w:val="bottom"/>
            <w:gridSpan w:val="4"/>
          </w:tcPr>
          <w:p>
            <w:pPr>
              <w:jc w:val="center"/>
              <w:ind w:left="23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center"/>
              <w:ind w:right="252"/>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20"/>
                <w:szCs w:val="20"/>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tcPr>
          <w:p>
            <w:pPr>
              <w:spacing w:after="0"/>
              <w:rPr>
                <w:sz w:val="20"/>
                <w:szCs w:val="20"/>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41"/>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-1842135</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-1824990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-1842135</wp:posOffset>
            </wp:positionV>
            <wp:extent cx="946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-1824990</wp:posOffset>
            </wp:positionV>
            <wp:extent cx="94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-1842135</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-1824990</wp:posOffset>
            </wp:positionV>
            <wp:extent cx="939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-504825</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-504825</wp:posOffset>
            </wp:positionV>
            <wp:extent cx="94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-504825</wp:posOffset>
            </wp:positionV>
            <wp:extent cx="93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946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93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2024, a pension settlement credit of $5 million was recorded in Other (Income) Expense. The settlement credit resulted from a premium refund related to the purchase of a group annuity contract for the Cooper Tire U.S. Salaried defined benefit pension plan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we settled all plan benefits of the Cooper Tire U.S. Salaried defined benefit pension plan, with lump sum payments to electing participants and the purchase of a group annuity contract. During the second quarter of 2023, we also settled all plan benefits of the Ireland defined benefit pension plan. In the second quarter and first six months of 2023, pension settlement charges of $36 million were recorded in Other (Income) Expense in conjunction with the termination of these plans.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Other postretirement benefits expense for the three months ended June 30, 2024 and 2023 was $2 million for each period and for the six months ended June 30, 2024 and 2023 was $4 million for each period.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$35 million to our funded non-U.S. pension plans in 2024. For the three and six months ended June 30, 2024, we contributed $7 million and $16 million, respectively,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June 30, 2024 and 2023 was $33 million and $32 million, respectively, and for the six months ended June 30, 2024 and 2023 was $70 million and $67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1.9 million restricted stock units and 1.2 million performance share units during the six months ended June 30, 2024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$12.40 for restricted stock units and $11.45 for performance share units granted during the six months ended June 30,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$6 million and $9 million during the three and six months ended June 30, 2024, respectively. At June 30, 2024, unearned compensation cost related to the unvested portion of all stock-based awards was approximately $32 million and is expected to be recognized over the remaining vesting period of the respective grants, through the second quarter of 2027. We recognized stock-based compensation expense of $11 million and $16 million during the three and six months ended June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$84 million and $80 million at June 30, 2024 and December 31, 2023, respectively, for anticipated costs related to various environmental matters, primarily the remediation of numerous waste disposal sites and certain properties sold by us. Of these amounts, $25 million and $27 million were included in Other Current Liabilities at June 30, 2024 and December 31, 2023,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$171 million and $167 million for anticipated costs related to workers’ compensation at June 30, 2024 and December 31, 2023, respectively. Of these amounts, $34 million and $37 million were included in Current Liabilities as part of Compensation and Benefits at June 30, 2024 and December 31, 2023,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2024 and December 31, 2023, the liability was discounted using a risk-free rate of return. At June 30, 2024, we estimate that it is reasonably possible that the liability could exceed our recorded amounts by approximately $20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$427 million and $438 million, including related legal fees expected to be incurred, for potential product liability and other tort claims, including asbestos claims, at June 30, 2024 and December 31, 2023, respectively. Of these amounts, $62 million and $46 million were included in Other Current Liabilities at June 30, 2024 and December 31, 2023, respectively. The amounts recorded were estimated based on an assessment of potential liability using an analysis of available information with respect to pending claims, historical experience and, where available, recent and current trends. Based upon that assessment, at June 30, 2024,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recorded an indemnification asset within Other Assets of $4 million for Sumitomo Rubber Industries, Ltd.'s ("SRI") obligation to indemnify us for certain product liability claims related to products manufactured by a formerly consolidated joint venture entity, subject to certain caps and restrictions.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160,500 claims by defending, obtaining the dismissal thereof, or entering into a settlement. The sum of our accrued asbestos-related liability and gross payments to date, including legal costs, by us and our insurers totaled approximately $587 million through June 30, 2024 and $580 million through December 31, 2023.</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6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(2,300 )</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35,650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6"/>
        </w:trPr>
        <w:tc>
          <w:tcPr>
            <w:tcW w:w="7060" w:type="dxa"/>
            <w:vAlign w:val="bottom"/>
            <w:tcBorders>
              <w:bottom w:val="single" w:sz="8" w:color="CFF0FC"/>
            </w:tcBorders>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-368300</wp:posOffset>
            </wp:positionV>
            <wp:extent cx="111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111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$121 million and $120 million at June 30, 2024 and December 31, 2023,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$65 million and $66 million at June 30, 2024 and December 31, 2023, respectively. We expect that approximately 55% of asbestos claim related losses would be recoverable through insurance during the ten-year period covered by the estimated liability. Of these amounts, $10 million were included in Current Assets as part of Accounts Receivable at both June 30, 2024 and December 31, 2023.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2023,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outcome of these matters, individually and in the aggregate, will not have a material adverse effect on our financial position or overall trends in results of operations.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$32 million and $31 million at June 30, 2024 and December 31, 2023, respectively.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June 30, 2024, this guarantee amount has been reduced to $18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During the first quarter of 2024, the revolving loan commitment increased from $100 million to $130 million. At June 30, 2024, $113 million was drawn on this commitment, which includes $2 million of interest. At December 31, 2023, $96 million was drawn on this commitment, which includes $2 million of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months of 2024, we did not repurchase any shares from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six months ended June 30, 2024 and 2023, after tax and minority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40" w:type="dxa"/>
            <w:vAlign w:val="bottom"/>
            <w:gridSpan w:val="4"/>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center"/>
              <w:ind w:right="2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(1,613 )</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(3,835 )</w:t>
            </w:r>
          </w:p>
        </w:tc>
        <w:tc>
          <w:tcPr>
            <w:tcW w:w="0" w:type="dxa"/>
            <w:vAlign w:val="bottom"/>
          </w:tcPr>
          <w:p>
            <w:pPr>
              <w:spacing w:after="0"/>
              <w:rPr>
                <w:sz w:val="1"/>
                <w:szCs w:val="1"/>
                <w:color w:val="auto"/>
              </w:rPr>
            </w:pPr>
          </w:p>
        </w:tc>
      </w:tr>
      <w:tr>
        <w:trPr>
          <w:trHeight w:val="211"/>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20" w:type="dxa"/>
            <w:vAlign w:val="bottom"/>
          </w:tcPr>
          <w:p>
            <w:pPr>
              <w:spacing w:after="0"/>
              <w:rPr>
                <w:sz w:val="20"/>
                <w:szCs w:val="20"/>
                <w:color w:val="auto"/>
              </w:rPr>
            </w:pPr>
          </w:p>
        </w:tc>
        <w:tc>
          <w:tcPr>
            <w:tcW w:w="700" w:type="dxa"/>
            <w:vAlign w:val="bottom"/>
            <w:gridSpan w:val="2"/>
          </w:tcPr>
          <w:p>
            <w:pPr>
              <w:jc w:val="center"/>
              <w:ind w:right="2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(1,668 )</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(2,177 )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40" w:type="dxa"/>
            <w:vAlign w:val="bottom"/>
            <w:gridSpan w:val="4"/>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center"/>
              <w:ind w:right="2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11"/>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220" w:type="dxa"/>
            <w:vAlign w:val="bottom"/>
          </w:tcPr>
          <w:p>
            <w:pPr>
              <w:spacing w:after="0"/>
              <w:rPr>
                <w:sz w:val="20"/>
                <w:szCs w:val="20"/>
                <w:color w:val="auto"/>
              </w:rPr>
            </w:pPr>
          </w:p>
        </w:tc>
        <w:tc>
          <w:tcPr>
            <w:tcW w:w="700" w:type="dxa"/>
            <w:vAlign w:val="bottom"/>
            <w:gridSpan w:val="2"/>
          </w:tcPr>
          <w:p>
            <w:pPr>
              <w:jc w:val="center"/>
              <w:ind w:right="2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(1,632 )</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(2,135 )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(3,768 )</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43"/>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0"/>
              </w:rPr>
              <w:t>Reclassified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4"/>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4"/>
          </w:tcPr>
          <w:p>
            <w:pPr>
              <w:jc w:val="right"/>
              <w:ind w:right="297"/>
              <w:spacing w:after="0" w:line="158" w:lineRule="exact"/>
              <w:rPr>
                <w:sz w:val="20"/>
                <w:szCs w:val="20"/>
                <w:color w:val="auto"/>
              </w:rPr>
            </w:pPr>
            <w:r>
              <w:rPr>
                <w:rFonts w:ascii="Times New Roman" w:cs="Times New Roman" w:eastAsia="Times New Roman" w:hAnsi="Times New Roman"/>
                <w:sz w:val="14"/>
                <w:szCs w:val="14"/>
                <w:b w:val="1"/>
                <w:bCs w:val="1"/>
                <w:color w:val="auto"/>
                <w:w w:val="90"/>
              </w:rPr>
              <w:t>Reclassified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05"/>
        </w:trPr>
        <w:tc>
          <w:tcPr>
            <w:tcW w:w="414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gridSpan w:val="2"/>
            <w:shd w:val="clear" w:color="auto" w:fill="CFF0FC"/>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21"/>
                <w:szCs w:val="21"/>
                <w:color w:val="auto"/>
              </w:rPr>
            </w:pPr>
          </w:p>
        </w:tc>
        <w:tc>
          <w:tcPr>
            <w:tcW w:w="19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unrecognized gains and losses due to</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(Income) Expense /</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gridSpan w:val="2"/>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6"/>
              </w:rPr>
              <w:t>(14 )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9"/>
          </w:tcPr>
          <w:p>
            <w:pPr>
              <w:jc w:val="right"/>
              <w:ind w:right="474"/>
              <w:spacing w:after="0"/>
              <w:rPr>
                <w:sz w:val="20"/>
                <w:szCs w:val="20"/>
                <w:color w:val="auto"/>
              </w:rPr>
            </w:pPr>
            <w:r>
              <w:rPr>
                <w:rFonts w:ascii="Times New Roman" w:cs="Times New Roman" w:eastAsia="Times New Roman" w:hAnsi="Times New Roman"/>
                <w:sz w:val="18"/>
                <w:szCs w:val="18"/>
                <w:color w:val="auto"/>
              </w:rPr>
              <w:t>(21 )  United States and Foreign Taxes</w:t>
            </w:r>
          </w:p>
        </w:tc>
        <w:tc>
          <w:tcPr>
            <w:tcW w:w="0" w:type="dxa"/>
            <w:vAlign w:val="bottom"/>
          </w:tcPr>
          <w:p>
            <w:pPr>
              <w:spacing w:after="0"/>
              <w:rPr>
                <w:sz w:val="1"/>
                <w:szCs w:val="1"/>
                <w:color w:val="auto"/>
              </w:rPr>
            </w:pPr>
          </w:p>
        </w:tc>
      </w:tr>
      <w:tr>
        <w:trPr>
          <w:trHeight w:val="241"/>
        </w:trPr>
        <w:tc>
          <w:tcPr>
            <w:tcW w:w="4140" w:type="dxa"/>
            <w:vAlign w:val="bottom"/>
            <w:tcBorders>
              <w:top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FF0FC"/>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FF0FC"/>
            </w:tcBorders>
            <w:gridSpan w:val="2"/>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FF0FC"/>
            </w:tcBorders>
            <w:shd w:val="clear" w:color="auto" w:fill="CFF0FC"/>
          </w:tcPr>
          <w:p>
            <w:pPr>
              <w:spacing w:after="0"/>
              <w:rPr>
                <w:sz w:val="20"/>
                <w:szCs w:val="20"/>
                <w:color w:val="auto"/>
              </w:rPr>
            </w:pPr>
          </w:p>
        </w:tc>
        <w:tc>
          <w:tcPr>
            <w:tcW w:w="2920" w:type="dxa"/>
            <w:vAlign w:val="bottom"/>
            <w:tcBorders>
              <w:top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9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3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20</w:t>
            </w:r>
          </w:p>
        </w:tc>
        <w:tc>
          <w:tcPr>
            <w:tcW w:w="160" w:type="dxa"/>
            <w:vAlign w:val="bottom"/>
          </w:tcPr>
          <w:p>
            <w:pPr>
              <w:spacing w:after="0"/>
              <w:rPr>
                <w:sz w:val="20"/>
                <w:szCs w:val="20"/>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48</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69</w:t>
            </w:r>
          </w:p>
        </w:tc>
        <w:tc>
          <w:tcPr>
            <w:tcW w:w="140" w:type="dxa"/>
            <w:vAlign w:val="bottom"/>
          </w:tcPr>
          <w:p>
            <w:pPr>
              <w:spacing w:after="0"/>
              <w:rPr>
                <w:sz w:val="20"/>
                <w:szCs w:val="20"/>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-5596890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-5596890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-5596890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-5596890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-4079875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-4079875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-4079875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-1876425</wp:posOffset>
            </wp:positionV>
            <wp:extent cx="102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-1876425</wp:posOffset>
            </wp:positionV>
            <wp:extent cx="946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-1876425</wp:posOffset>
            </wp:positionV>
            <wp:extent cx="946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-1876425</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-1087755</wp:posOffset>
            </wp:positionV>
            <wp:extent cx="1028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-1087755</wp:posOffset>
            </wp:positionV>
            <wp:extent cx="946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-1087755</wp:posOffset>
            </wp:positionV>
            <wp:extent cx="946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-1087755</wp:posOffset>
            </wp:positionV>
            <wp:extent cx="939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1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780" w:type="dxa"/>
            <w:vAlign w:val="bottom"/>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9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7"/>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tcBorders>
              <w:bottom w:val="single" w:sz="8" w:color="auto"/>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7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78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-359410</wp:posOffset>
            </wp:positionV>
            <wp:extent cx="1028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-359410</wp:posOffset>
            </wp:positionV>
            <wp:extent cx="946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-363220</wp:posOffset>
            </wp:positionV>
            <wp:extent cx="119380" cy="1968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946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939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SUBSEQUENT EVENTS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2024, we signed a definitive agreement to sell our off-the-road ("OTR") tire business to The Yokohama Rubber Company, Limited ("Yokohama") for $905 million in cash, subject to certain adjustments. Pursuant to a product supply agreement to be entered into with Yokohama in connection with the closing of the transaction, we will manufacture certain OTR tires for Yokohama at some of our manufacturing facilities for an initial period of up to five years after the closing of the transaction. The transaction is subject to regulatory approvals, other customary closing conditions and consultations.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54 manufacturing facilities in 21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consists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off-the-road tire business. Our plans for margin expansion include brand optimization and tiering to capitalize on premium tire pricing and volume and a reduction of our overall exposure related to lower-tiered products either through margin expansion or product line rationalization. Our plans for margin expansion also include a reduction of our cost structure by $1 billion,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approximately 10% by the end of 2025. During the three and six months ended June 30, 2024, the Goodyear Forward plan provided $90 million and $162 million, respectively, in benefits to segment operating income.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2024, we signed a definitive agreement to sell our off-the-road ("OTR") tire business to The Yokohama Rubber Company, Limited ("Yokohama") for $905 million in cash, subject to certain adjustments. Pursuant to a product supply agreement to be entered into with Yokohama in connection with the closing of the transaction, we will manufacture certain OTR tires for Yokohama at some of our manufacturing facilities for an initial period of up to five years after the closing of the transaction. The transaction is subject to regulatory approvals, other customary closing conditions and consultations and is expected to close by early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tire manufacturing facility in Debica, Poland (“Debica”) continues to recover from a fire in the third quarter of 2023 and full ramp-up is expected in the third quarter of 2024. During the three and six months ended June 30, 2024, we received a benefit of $43 million ($30 million after-tax and minority) and $29 million ($19 million after-tax and minority), respectively, from insurance recoveries, net of fixed costs incurred during the ramp-up of the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for the second quarter of 2024 include a 1.7% decrease in tire unit shipments compared to 2023, primarily due to lower global replacement tire volume, partially offset by growth in OE. In the second quarter of 2024, we experienced approximately $59 million of inflationary cost pressures, which were partially offset by lower costs of $34 million, excluding the impact of Goodyear Forward.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2024 were $4,570 million, compared to $4,867 million in the second quarter of 2023. Net sales decreased in 2024 primarily due to lower tire volume in Americas, partially offset by higher tire volume in Asia Pacific, global declines in price and product mix and the negative impact of changes in foreign exchange rates in EMEA and Asia Pacific, driven by the strengthening of the U.S. dollar. These decreases were partially offset by sales lost during the second quarter of 2023 due to a storm at our tire manufacturing facility in Tupelo, Mississippi ("Tupelo") and higher sales in other tire-related businesses, primarily due to higher third-party chemical sales in Americas.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2024, Goodyear net income was $85 million, or $0.30 per share, compared to Goodyear net loss of $208 million, or $0.73 per share, in the second quarter of 2023. The change in Goodyear net income was primarily due to higher segment operating income, which included the impact of insurance recoveries, higher other income, primarily due to lower pension expense and higher net gains on asset sales, and lower rationalization charges, partially offset by execution costs related to Goodyear Forward, including accelerated depreciation and accelerated lease costs related to announced facility closures and third-party consulting costs, and higher U.S. and Foreign Tax Expense as a result of improved operating results. Additionally, our results in the second quarter of 2023 included the impact of a severe storm at Tupelo, estimated to negatively impact earnings by $64 million ($52 million after-tax and minority).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2024 was $339 million, compared to $124 million in the second quarter of 2023. The $215 million increase was primarily due to lower raw material costs of $160 million, benefits from the Goodyear Forward plan of $90 million, $50 million related to the 2023 negative impact of the Tupelo storm, a benefit from insurance recoveries related to the Debica fire of $50 million, partially offset by the continued impact of the fire on Debica fixed cost absorption during ramp-up of $7 million, and a benefit of $20 million from insurance proceeds for business interruptions resulting from storm damage events in prior years. These increases were partially offset by higher conversion costs of $67 million, driven by the effect of lower tire production on fixed cost absorption and inflation, declines in price and product mix of $59 million, primarily in Americas and EMEA, and lower tire volume of $41 million, primarily in Americas. Refer to "Results of Operations — Segment Information" for additional information.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six months of 2024 were $9,107 million, compared to $9,808 million in the first six months of 2023. Net sales decreased in 2024 primarily due to lower tire volume in Americas and EMEA, partially offset by higher tire volume in Asia Pacific, global declines in price and product mix and the negative impact of changes in foreign exchange rates in EMEA and Asia Pacific, driven by the strengthening of the U.S. dollar, partially offset by sales lost during the first half of 2023 due to the Tupelo storm.</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six months of 2024, Goodyear net income was $28 million, or $0.10 per share, compared to Goodyear net loss of $309 million, or $1.08 per share, in the first six months of 2023. The change in Goodyear net income was primarily due to higher segment operating income, which included the impact of insurance recoveries, higher other income, primarily due to lower pension expense and higher net gains on asset sales, and lower rationalization charges. These decreases were partially offset by execution costs related to Goodyear Forward, including accelerated depreciation and accelerated lease costs related to announced facility closures and third-party consulting costs, and higher U.S. and Foreign Tax Expense as a result of improved operating results. Additionally, our results in the first half of 2023 included the impact of the Tupelo storm, estimated to negatively impact earnings by $64 million ($52 million after-tax and minority).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six months of 2024 was $586 million, compared to $249 million in the first six months of 2023. The $337 million increase was primarily due to lower raw material costs of $421 million, benefits from the Goodyear Forward plan of $162 million, lower transportation costs of $87 million, $50 million related to the 2023 negative impact of the Tupelo storm, a benefit from insurance recoveries related to the Debica fire of $50 million, partially offset by the continued impact of the fire on Debica fixed cost absorption during ramp-up of $18 million, a benefit of $20 million from insurance proceeds for business interruptions resulting from storm damage events in prior years, and a favorable $8 million tax item in Brazil. These increases were partially offset by declines in price and product mix of $193 million, primarily in Americas and EMEA, increased conversion costs of $169 million driven by inflation and the effect of lower tire production on fixed cost absorption, and lower tire volume of $69 million, primarily in Americas and EMEA. Refer to "Results of Operations — Segment Information"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we had $789 million of cash and cash equivalents as well as $3,227 million of unused availability under our various credit agreements, compared to $902 million and $4,247 million, respectively, at December 31, 2023. The decrease in cash and cash equivalents of $113 million was primarily due to net cash used for operating activities of $518 million, capital expenditures of $634 million and loans to TireHub LLC ("TireHub") of $17 million, partially offset by net borrowings of $919 million, proceeds from asset dispositions and sale and leaseback transactions of $124 million, primarily from the sale of a distribution center in Germany and sale and leaseback of a warehouse in Americas, and insurance recoveries of $37 million for the replacement of equipment damaged in the Debica fire. Net cash used for operating activities reflects cash used for working capital of $788 million and rationalization payments of $105 million, as well as the Company's net income for the period of $22 million, which includes non-cash charges for depreciation and amortization of $546 million, net rationalization charges of $41 million and a non-cash gain on asset sales of $94 million. Refer to "Liquidity and Capital Resources" for additional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unit volume will be affected by weaker underlying industry trends, including high distribution channel inventories of low-end imported products in the U.S. and Europe and lower OE production levels. We expect our global tire unit volume in the third quarter of 2024 to be lower compared to the third quarter of 2023 by approximately 4%. We also expect unabsorbed overhead to be approximately $30 million higher in the third quarter of 2024 compared to the third quarter of 2023 due to lower production in the second quarter of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continue to make progress on our Goodyear Forward transformation plan, we expect third quarter benefits from the program of approximately $120 million in segment operating income, and full year benefits of approximately $425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approximately $50 million of higher price and product mix to offset approximately $50 million of raw materials headwinds in the third quarter of 2024 compared to the third quarter of 2023. For the full year of 2024, we expect our raw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to be approximately $260 million lower than in 2023.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non-raw material inflation and other costs to be approximately $60 million higher in the third quarter of 2024 when compared with the third quarter of 2023. We continue to focus on actions to offset costs other than raw materials through cost savings initiatives, including initiatives related to the Goodyear Forward plan, rationalization actions, and improvements in price and product mix.</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For the full year of 2024, we continue to expect working capital to be flat as compared to 2023. We anticipate our capital expenditures to be approximately $1,250 million, excluding approximately $50 million of capital expenditures covered by insurance. We anticipate our cash flows will include rationalization payments of approximately $300 million, as we continue to implement elements of our Goodyear Forward plan to improve our cost structure.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this Quarterly Report on Form 10-Q and in the 2023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second quarter of 2024 were $4,570 million, decreasing $297 million, or 6.1%, from $4,867 million in the second quarter of 2023. Goodyear net income was $85 million, or $0.30 per share, in the second quarter of 2024, compared to Goodyear net loss of $208 million, or $0.73 per share, in the second quarter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in the second quarter of 2024 primarily due to lower tire volume of $216 million, representing lower tire volume in Americas, partially offset by higher tire volume in Asia Pacific, global declines in price and product mix of $134 million and the negative impact of changes in foreign exchange rates of $59 million, primarily in EMEA and Asia Pacific, driven by the strengthening of the U.S. dollar, partially offset by $77 million of sales lost during the second quarter of 2023 due to the Tupelo storm and higher sales in other tire-related businesses of $21 million, primarily due to increased third-party chemical sales in Americas.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second quarter of 2024 were 40.1 million units, decreasing 0.7 million units, or 1.7%, from 40.8 million units in the second quarter of 2023. Replacement tire volume decreased globally by 2.0 million units, or 6.7%. OE tire volume increased globally by 1.3 million units, or 12.8%.</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Goods Sold ("CGS") in the second quarter of 2024 was $3,622 million, decreasing $501 million, or 12.2%, from $4,123 million in the second quarter of 2023. CGS decreased primarily due to lower tire volume of $175 million, lower raw material costs of $160 million, lower global mix of $75 million, savings related to the Goodyear Forward plan of $61 million, foreign currency translation of $51 million, primarily in EMEA and Asia Pacific, a benefit from insurance recoveries related to the Debica fire of $50 million, partially offset by the continued impact of the fire on Debica fixed cost absorption during ramp-up of $7 million, lower transportation costs of $38 million and a benefit of $20 million ($15 million after-tax and minority) from insurance proceeds for property damage and business interruptions resulting from storm damage events in prior years. These decreases were partially offset by higher conversion costs of $67 million driven by the effect of lower tire production on fixed cost absorption and inflation, an increase in accelerated depreciation and asset write-offs of $21 million primarily related to the announced plant closures in Asia Pacific and EMEA and a $3 million ($3 million after-tax and minority) charge related to a flood in South Africa. CGS in the second quarter of 2023 included a $5 million ($4 million after-tax and minority) benefit related to the reversal of a portion of the estimated cleanup costs associated with the permanent closure of our Gadsden, Alabama tire manufacturing facility (“Gadsden”).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second quarter of 2024 and 2023 included pension expense of $4 million for each period. CGS in the second quarter of 2024 included $6 million of incremental savings from rationalization plans. CGS was 79.3% of sales in the second quarter of 2024, compared to 84.7% in the second quarter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second quarter of 2024 was $731 million, increasing $23 million, or 3.2%, from $708 million in the second quarter of 2023. SAG increased primarily due to an increase in costs associated with the Goodyear Forward plan of $40 million ($30 million after-tax and minority), primarily related to third-party advisory, legal and consulting fees and costs associated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planned asset sales, and an increase in accelerated lease costs and asset write-offs of $11 million. These increases were partially offset by savings related to the Goodyear Forward plan of $16 million and foreign currency translation of $8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second quarter of 2024 and 2023 included pension expense of $2 million for each period. SAG in the second quarter of 2024 included $13 million of incremental savings from rationalization plans, compared to $12 million in 2023. SAG was 16.0% of sales in the second quarter of 2024, compared to 14.5% in the second quarter of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$19 million ($15 million after-tax and minority) in the second quarter of 2024 and $72 million ($58 million after-tax and minority) in the second quarter of 2023. Net rationalization charges in the second quarter of 2024 primarily related to the plan to open a new shared services center in Costa Rica, the plan to close our Fulda, Germany tire manufacturing facility (“Fulda”) and our Fürstenwalde, Germany tire manufacturing facility (“Fürstenwalde”) and closure of Cooper Tire's Melksham, United Kingdom tire manufacturing facility ("Melksham"), partially offset by reversals related our rationalization and workforce reorganization plan in EMEA due to voluntary attrition. Net rationalization charges in the second quarter of 2023 primarily related to the plan to close Fulda and the plan to reduce global operations and technology costs. For further information, refer to Note to the Consolidated Financial Statements No. 3, Costs Associated with Rationalization Programs.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and SAG in the second quarter of 2024 included $43 million ($34 million after-tax and minority) of asset write-offs, accelerated depreciation and accelerated lease charges, primarily related to plant closures in Asia Pacific and EMEA and the exit of our retail operations in Australia and New Zealand. CGS and SAG in the second quarter of 2023 included $11 million ($10 million after-tax and minority) of accelerated depreciation and asset write-offs related to rationalization activities, primarily related to the integration of Cooper Tire and closure of Melksham.</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 the second quarter of 2024 was $130 million, decreasing $8 million, or 5.8%, from $138 million in the second quarter of 2023. The average interest rate was 6.21% in the second quarter of 2024 compared to 6.19% in the second quarter of 2023. The average debt balance was $8,371 million in the second quarter of 2024 compared to $8,911 million in the second quarter of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in the second quarter of 2024 was $72 million of income, compared to $36 million of expense in the second quarter of 2023. The change in Other (Income) Expense was primarily due net gains on asset and other sales of $96 million ($68 million after-tax and minority) in the second quarter of 2024, primarily due to the sale of distribution centers in EMEA and Americas, compared to net gains on asset and other sales of $51 million ($37 million after-tax and minority) in 2023, primarily related to a sale and leaseback transaction in Americas. Additionally, there were no pension settlement charges in the second quarter of 2024 compared to pension settlement charges of $36 million ($28 million after-tax and minority) in the second quarter of 2023. Also contributing to the change is a net foreign exchange gain of $4 million in the second quarter of 2024 compared to net foreign exchange losses of $29 million in the second quarter of 2023, which were driven by the weakening of the Turkish lira and Argentine peso. Other expense in the second quarter of 2023 also included $4 million ($2 million after-tax and minority) of expense in 2023 for non-indemnified costs for product liability claims related to products manufactured by a formerly consolidated joint venture entity.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2024, we recorded income tax expense of $60 million on income before income taxes of $140 million. In the second quarter of 2023, we recorded an income tax benefit of $2 million on a loss before income taxes of $210 million. Income tax benefit for the three months ended June 30, 2023 includes net discrete tax expense of $2 million ($2 million after minority interest).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June 30, 2024 and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Minority shareholders’ net loss in the second quarter of 2024 was $5 million, primarily due to the plan to permanently close our Malaysia tire manufacturing facility, compared to breakeven in the second quarter of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2024 were $9,107 million, decreasing $701 million, or 7.1%, from $9,808 million in the first six months of 2023. Goodyear net income was $28 million, or $0.10 per share, in the first six months of 2024, compared to Goodyear net loss of $309 million, or $1.08 per share, in the first six months of 2023.</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decreased in the first six months of 2024 primarily due to lower tire volume of $403 million, representing lower tire volume in Americas and EMEA, partially offset by higher tire volume in Asia Pacific, global declines in price and product mix of $296 million and the negative impact of changes in foreign exchange rates of $95 million in EMEA and Asia Pacific, driven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strengthening of the U.S. dollar, partially offset by $77 million of sales lost during the first half of 2023 due to the Tupelo storm.</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six months of 2024 were 80.5 million units, decreasing 2.1 million units, or 2.5%, from 82.6 million units in the first six months of 2023. Replacement tire volume decreased globally by 4.3 million units, or 7.1%. OE tire volume increased globally by 2.2 million units, or 10.8%.</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CGS in the first six months of 2024 was $7,337 million, decreasing $979 million, or 11.8%, from $8,316 million in the first six months of 2023. CGS decreased primarily due to lower raw material costs of $421 million, lower tire volume of $334 million, savings related to the Goodyear Forward plan of $117 million, lower global mix of $103 million, lower transportation costs of $87 million, foreign currency translation of $81 million, primarily in EMEA and Asia Pacific, a benefit from insurance recoveries related to the Debica fire of $50 million, partially offset by the continued impact of the fire on Debica fixed cost absorption during ramp-up and other property damage of $21 million, a benefit of $20 million ($15 million after-tax and minority) from insurance proceeds for business interruptions resulting from storm damage events in prior years, and a favorable $8 million ($6 million after-tax and minority) tax item in Brazil. These decreases were partially offset by higher conversion costs of $169 million driven by inflation and the effect of lower tire production on fixed cost absorption and an increase in accelerated depreciation and asset write-offs of $53 million primarily related to the announced plant closures in Asia Pacific and EMEA and closure of a development center in the U.S. CGS in the first six months of 2024 includes a $3 million ($3 million after-tax and minority) charge related to a flood in South Africa. CGS in the first six months of 2023 included a $5 million ($4 million after-tax and minority) benefit related to the reversal of a portion of the estimated cleanup costs associated with Gadsden and the favorable impact of a successful legal claim of $3 million ($3 million after-tax and minority) related to a 2005 warehouse fire in Spain.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six months of 2024 and 2023 included pension expense of $7 million and $8 million, respectively. CGS in the first six months of 2024 included $9 million of incremental savings from rationalization plans. CGS was 80.6% of sales in the first six months of 2024, compared to 84.8% in the first six months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six months of 2024 was $1,427 million, increasing $55 million, or 4.0%, from $1,372 million in the first six months of 2023. SAG increased primarily due to an increase in costs associated with the Goodyear Forward plan of $67 million ($51 million after-tax and minority), primarily related to third-party advisory, legal and consulting fees and costs associated with planned asset sales, and an increase in accelerated lease costs and asset write-offs of $28 million. These increases were partially offset by savings related to the Goodyear Forward plan of $24 million, foreign currency translation of $12 million and other reductions in wages and benefits of $12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six months of 2024 and 2023 included pension expense of $6 million and $5 million, respectively. SAG in the first six months of 2024 included $27 million of incremental savings from rationalization plans, compared to $22 million in 2023. SAG was 15.7% of sales in the first six months of 2024, compared to 14.0% in the first six months of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$41 million ($31 million after-tax and minority) in the first six months of 2024 and $104 million ($84 million after-tax and minority) in the first six months of 2023. Net rationalization charges in the first six months of 2024 primarily related to the closure of Malaysia, the plan to open a new shared services center in Costa Rica, the announced closures of Fulda and Fürstenwalde and the closure of Melksham, partially offset by reversals related to our rationalization and workforce reorganization plan in EMEA due to voluntary attrition. Net rationalization charges in the first six months of 2023 primarily related to the plan to close Fulda, the plan to streamline our EMEA distribution network and the plan to reduce global operations and technology costs. For further information, refer to Note to the Consolidated Financial Statements No. 3, Costs Associated with Rationalization Programs.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and SAG in the first six months of 2024 included $94 million ($76 million after-tax and minority) of asset write-offs, accelerated depreciation and accelerated lease charges, primarily related to plant closures in Asia Pacific and EMEA, closure of a development center in the U.S. and the exit of our retail operations in Australia and New Zealand. CGS and SAG in the first six months of 2023 included $13 million ($10 million after-tax and minority) of accelerated depreciation and asset write-offs related to rationalization activities, primarily related to the integration of Cooper Tire and closure of Melksham.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six months of 2024 was $256 million, decreasing $9 million, or 3.4%, from $265 million in the first six months of 2023. The average interest rate was 6.28% in the first six months of 2024 compared to 6.11% in the first six months of 2023. The average debt balance was $8,158 million in the first six months of 2024 compared to $8,681 million in the first six months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in the first six months of 2024 was $42 million of income, compared to $61 million of expense in the first six months of 2023. The change in Other (Income) Expense was primarily due to net foreign exchange gains of $3 million in the first six months of 2024 compared to net foreign exchange losses of $41 million in the first six months of 2023, which were driven by the weakening of the Argentine peso and Turkish lira, and a pension settlement credit of $5 million ($4 million after-tax and minority) in the first six months of 2024 compared to pension settlement charges of $36 million ($28 after-tax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minority) in 2023. Additionally, the change in Other (Income) Expense reflects net gains on asset sales in the first six months of 2024 of $94 million ($66 million after-tax and minority), primarily related to the sale of distribution centers in EMEA and Americas, compared to a net gain on asset sales of $62 million ($46 million after-tax and minority) in 2023, primarily related to a sale and leaseback transaction in Americas, and a loss on the sale of receivables in Argentina of $8 million ($6 million after-tax and minority) in the first six months of 2024 compared to a loss on the sale of receivables in Argentina of $10 million ($9 million after-tax and minority) in the first six months of 2023. Other (Income) Expense for the first six months of 2024 also includes a favorable $2 million ($1 million after-tax and minority) tax item in Brazil. Other (Income) Expense in the first six months of 2023 also includes $15 million ($11 million after-tax and minority) of expense for non-indemnified costs for product liability claims related to products manufactured by a formerly consolidated joint venture entity, $11 million ($8 million after-tax and minority) of income related to a favorable court decision setting aside a previous unfavorable verdict on intellectual property-related legal claims, and $5 million ($5 million after-tax and minority) of income related to the write-off of accumulated foreign currency translation in Russia.</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six months of 2024, we recorded income tax expense of $66 million on income before income taxes of $88 million. Income tax expense for the six months ended June 30, 2024 was favorably impacted by a net discrete tax benefit of $1 million ($1 million after minority interest).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2023, we recorded income tax benefit of $3 million on a loss before income taxes of $310 million. Income tax benefit for the six months ended June 30, 2023 was unfavorably impacted by net discrete tax expense of $3 million ($2 million after minority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six months ended June 30, 2024 and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and December 31, 2023, we had approximately $1.3 billion and $1.2 billion of U.S. federal, state and local net deferred tax assets, respectively, inclusive of valuation allowances totaling $22 million in each period, primarily for state tax loss carryforwards with limited lives. As of June 30, 2024, approximately $1.1 billion of these U.S. net deferred tax assets had unlimited lives and approximately $200 million had limited lives, including $22 million of foreign tax credits, and the majority do not start to expire until 2031. As of December 31, 2023, approximately $1.0 billion of these U.S. net deferred tax assets had unlimited lives and approximately $200 million had limited lives, including $22 million of foreign tax credits, and the majority do not start to expire until 2031. In the U.S., as of December 31, 2023, we emerged from a three-year cumulative loss which was driven by business disruptions created by the COVID-19 pandemic. Our U.S. cumulative income for the three-years ended June 30, 2024 is primarily a result of gains from other comprehensive income rather than consistently profitable U.S. operating results. Our U.S. operating results for the first six months of 2024 have shown improvement when compared to the first six months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half of 2024 as a result of lower raw material and transportation costs and benefits from the Goodyear Forward plan compared to the first half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six months ended June 30, 2024 compared to the six months ended June 30, 2023, as well as forecasts of future profitability, provide us sufficient positive evidence to conclude that it is more likely than not that, at June 30, 2024,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5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At June 30, 2024 and December 31, 2023, we also had approximately $1.5 billion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Minority shareholders’ net loss in the first six months of 2024 was $6 million, primarily due to the plan to permanently close our Malaysia tire manufacturing facility, compared to net income of $2 million in the first six months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2024 was $339 million, an increase of $215 million, or 173.4% from $124 million in the second quarter of 2023. Total segment operating margin in the second quarter of 2024 was 7.4%, compared to 2.5% in the second quarter of 2023. Total segment operating income for the first six months of 2024 was $586 million, an increase of $337 million, or 135.3%, from $249 million in the first six months of 2023. Total segment operating margin in the first six months of 2024 was 6.4%, compared to 2.5% in the first six months of 2023.</w:t>
      </w:r>
    </w:p>
    <w:p>
      <w:pPr>
        <w:spacing w:after="0" w:line="7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19.6</w:t>
            </w:r>
          </w:p>
        </w:tc>
        <w:tc>
          <w:tcPr>
            <w:tcW w:w="6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(5.9 )%</w:t>
            </w:r>
          </w:p>
        </w:tc>
        <w:tc>
          <w:tcPr>
            <w:tcW w:w="16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8"/>
                <w:szCs w:val="18"/>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(6.7 )%</w:t>
            </w:r>
          </w:p>
        </w:tc>
      </w:tr>
      <w:tr>
        <w:trPr>
          <w:trHeight w:val="22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   2,697</w:t>
            </w:r>
          </w:p>
        </w:tc>
        <w:tc>
          <w:tcPr>
            <w:tcW w:w="6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2,939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(8.2 )% $</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5,285</w:t>
            </w:r>
          </w:p>
        </w:tc>
        <w:tc>
          <w:tcPr>
            <w:tcW w:w="100" w:type="dxa"/>
            <w:vAlign w:val="bottom"/>
          </w:tcPr>
          <w:p>
            <w:pPr>
              <w:spacing w:after="0"/>
              <w:rPr>
                <w:sz w:val="19"/>
                <w:szCs w:val="19"/>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5,806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241</w:t>
            </w:r>
          </w:p>
        </w:tc>
        <w:tc>
          <w:tcPr>
            <w:tcW w:w="6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138</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134.0 %</w:t>
            </w:r>
          </w:p>
        </w:tc>
        <w:tc>
          <w:tcPr>
            <w:tcW w:w="16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182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238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130.8 %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8.9 %</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3.5 %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7.9 %</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Americas unit sales in the second quarter of 2024 decreased 1.2 million units, or 5.9%, to 19.6 million units. Replacement tire volume decreased 1.4 million units, or 8.6%, primarily in our consumer business, driven by increased competitiveness in the U.S. from the lower tier market and the transitory impact from distribution changes in Latin America. OE tire volume increased 0.2 million units, or 6.7%, versus the second quarter of 2023.</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second quarter of 2024 were $2,697 million, decreasing $242 million, or 8.2%, from $2,939 million in the second quarter of 2023. The decrease in net sales was primarily due to lower tire volume of $257 million and unfavorable price and product mix of $94 million. These decreases were partially offset by $77 million of sales lost during the second quarter of 2023 due to the Tupelo storm, increased sales in other tire-related businesses of $16 million, primarily due to higher third-party</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chemical sales, a $13 million benefit related to the Goodyear Forward plan, and favorable foreign currency translation of $3 million, primarily related to the strengthening of the Mexican peso.</w:t>
      </w:r>
    </w:p>
    <w:p>
      <w:pPr>
        <w:spacing w:after="0" w:line="5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Operating income in the second quarter of 2024 was $241 million, increasing $138 million, or 134.0%, from $103 million in the second quarter of 2023. The increase in operating income was due to lower raw material costs of $97 million, a $56 million benefit related to the Goodyear Forward plan, $50 million related to the 2023 negative impact of the Tupelo storm, lower transportation and imported tire costs of $43 million, a benefit of $20 million from insurance proceeds for property damage and business interruptions resulting from storm damage events in prior years, lower SAG of $8 million, and increased earnings in other tire-related businesses of $4 million, primarily due to higher third-party chemical earnings. These increases were partially offset by unfavorable price and product mix of $60 million, lower tire volume of $54 million, and higher conversion costs of $21 million, driven by inflation. Operating income for the second quarter of 2024 includes incremental SAG savings from rationalization plans of $12 million.</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2024 excluded net gains on asset sales of $14 million, net rationalization charges of $11 million and asset write-offs, accelerated depreciation and accelerated lease charges of $2 million. Operating income in the second quarter of 2023 excluded net gains on asset sales of $60 million, asset write-offs and accelerated depreciation of $7 million and net rationalization charges of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six months of 2024 decreased 2.7 million units, or 6.7%, to 38.6 million units. Replacement tire volume decreased 2.9 million units, or 8.9%, primarily in our consumer business, driven by increased competitiveness in the U.S. from the lower tier market and the transitory impact from distribution changes in Latin America. OE tire volume increased 0.2 million units, or 3.9%, versus the first six months of 2023.</w:t>
      </w:r>
    </w:p>
    <w:p>
      <w:pPr>
        <w:spacing w:after="0" w:line="6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2024 were $5,285 million, decreasing $521 million, or 9.0%, from $5,806 million in the first six months of 2023. The decrease in net sales was primarily due to lower tire volume of $433 million, unfavorable price and product mix of $198 million and decreased sales in other tire-related businesses of $11 million, primarily due to lower third-party chemical sales. These decreases were partially offset by $77 million of sales lost during the first half of 2023 due to the Tupelo storm, favorable foreign currency translation of $23 million, primarily related to the strengthening of the Mexican peso and Brazilian real, and a $21 million benefit related to the Goodyear Forward plan.</w:t>
      </w:r>
    </w:p>
    <w:p>
      <w:pPr>
        <w:spacing w:after="0" w:line="7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Operating income in the first six months of 2024 was $420 million, increasing $238 million, or 130.8%, from $182 million in the first six months of 2023. The increase in operating income was due to lower raw material costs of $241 million, lower transportation and imported tire costs of $117 million, a $98 million benefit related to the Goodyear Forward plan, $50 million related to the 2023 negative impact of the Tupelo storm, lower SAG of $24 million, a benefit of $20 million from insurance proceeds for property damage and business interruptions resulting from storm damage events in prior years, and increased earnings in other tire-related businesses of $14 million, primarily due to higher third-party chemical earnings. These increases were partially offset by unfavorable price and product mix of $177 million, lower tire volume of $82 million, and higher conversion costs of $60 million, driven by inflation. Operating income for the first six months of 2024 includes incremental SAG savings from rationalization plans of $23 million.</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six months of 2024 excluded net rationalization charges of $15 million, net gains on asset sales of $14 million, and asset write-offs, accelerated depreciation and accelerated lease charges of $10 million. Operating income in the first six months of 2023 excluded net gains on asset sales of $62 million, asset write-offs and accelerated depreciation of $15 million, and net rationalization charges of $8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(0.9 )%</w:t>
            </w:r>
          </w:p>
        </w:tc>
        <w:tc>
          <w:tcPr>
            <w:tcW w:w="16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8"/>
                <w:szCs w:val="18"/>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1,279</w:t>
            </w:r>
          </w:p>
        </w:tc>
        <w:tc>
          <w:tcPr>
            <w:tcW w:w="80" w:type="dxa"/>
            <w:vAlign w:val="bottom"/>
          </w:tcPr>
          <w:p>
            <w:pPr>
              <w:spacing w:after="0"/>
              <w:rPr>
                <w:sz w:val="19"/>
                <w:szCs w:val="19"/>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   1,341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32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(4.6 )% $</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2,626</w:t>
            </w:r>
          </w:p>
        </w:tc>
        <w:tc>
          <w:tcPr>
            <w:tcW w:w="100" w:type="dxa"/>
            <w:vAlign w:val="bottom"/>
          </w:tcPr>
          <w:p>
            <w:pPr>
              <w:spacing w:after="0"/>
              <w:rPr>
                <w:sz w:val="19"/>
                <w:szCs w:val="19"/>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2,833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4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N/M</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21"/>
                <w:szCs w:val="2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2.7 %</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EMEA unit sales in the second quarter of 2024 decreased 0.2 million units, or 0.9%, to 11.6 million units. Replacement tire volume decreased 0.2 million units, or 1.4%, driven by our consumer business, reflecting lower tire volume in Eastern Europe, particularly Turkey. OE tire volume remained flat compared to the second quarter of 2023.</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sales in the second quarter of 2024 were $1,279 million, decreasing $62 million, or 4.6%, from $1,341 million in the second quarter of 2023. The decrease in net sales was primarily due to the negative impact of changes in foreign exchange rates of $47 million, driven by a weaker Turkish lira and euro, partially offset by a stronger Polish zloty and British pound, and declines in price and product mix of $16 million.</w:t>
      </w:r>
    </w:p>
    <w:p>
      <w:pPr>
        <w:spacing w:after="0" w:line="6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Operating income in the second quarter of 2024 was $35 million, increasing $54 million, from operating loss of $19 million in the second quarter of 2023. The change in operating income was primarily due to lower raw material costs of $57 million, a benefit from insurance recoveries related to the Debica fire of $50 million, partially offset by the continued impact of the fire on Debica fixed cost absorption during ramp-up of $7 million, and incremental savings from the Goodyear Forward plan of $27 million. These improvements were partially offset by higher conversion costs of $46 million, driven by higher inflation and the effect of decreased tire production on fixed cost absorption, higher SAG of $12 million, primarily due to higher warehousing and rent costs, unfavorable price and product mix of $5 million and lower earnings in other tire-related businesses of $3 million, primarily due to lower motorcycle earnings. Operating income for second quarter of 2024 includes incremental CGS and SAG savings from rationalization plans of $5 million and $2 million, respectively.</w:t>
      </w:r>
    </w:p>
    <w:p>
      <w:pPr>
        <w:spacing w:after="0" w:line="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2024 excluded an $82 million gain on asset sales, accelerated depreciation and accelerated lease charges of $17 million, and net rationalization charges of $3 million. Operating loss in the second quarter of 2023 excluded net rationalization charges of $64 million and accelerated depreciation of $4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EMEA unit sales in the first six months of 2024 decreased 0.9 million units, or 3.2%, to 24.1 million units. Replacement tire volume decreased 0.9 million units, or 4.5%, driven by our consumer business, reflecting the impacts of competitiveness from the lower tier market, lower tire volume in Eastern Europe, and industry declines in commercial. OE tire volume remained flat compared to the first six months of 2023.</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2024 were $2,626 million, decreasing $207 million, or 7.3%, from $2,833 million in the first six months of 2023. The decrease in net sales was primarily driven by the negative impact of changes in foreign exchange rates of $87 million, driven by a weaker Turkish lira, partially offset by a stronger Polish zloty, euro and British pound, lower tire volume of $67 million and unfavorable price and product mix of $57 million.</w:t>
      </w:r>
    </w:p>
    <w:p>
      <w:pPr>
        <w:spacing w:after="0" w:line="6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Operating income in the first six months of 2024 was $43 million, increasing $54 million, from operating loss of $11 million in the first six months of 2023. The change in operating income was primarily due to lower raw material costs of $161 million, incremental savings from the Goodyear Forward plan of $51 million and a benefit from insurance recoveries related to the Debica fire of $50 million, partially offset by the continued impact of the fire on Debica fixed cost absorption during ramp-up of $18 million. These improvements were partially offset by higher conversion costs of $111 million, driven by higher inflation and the effect of decreased tire production on fixed cost absorption, unfavorable price and product mix of $24 million, lower earnings in other tire-related businesses of $14 million, primarily due to lower motorcycle earnings, higher SAG of $13 million, primarily due to higher warehousing and rent costs, and lower tire volume of $11 million. Operating income for the first six months of 2024 includes incremental CGS and SAG savings from rationalization plans of $8 million and $4 million, respectively.</w:t>
      </w:r>
    </w:p>
    <w:p>
      <w:pPr>
        <w:spacing w:after="0" w:line="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 the first six months of 2024 excluded an $80 million gain on asset sales, accelerated depreciation and accelerated lease charges of $33 million, and net rationalization charges of $10 million. Operating loss in the first six months of 2023 excluded net rationalization charges of $88 million, recoveries of previously written off accounts receivable and other assets of $10 million in Russia and accelerated depreciation of $8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1"/>
                <w:szCs w:val="11"/>
                <w:color w:val="auto"/>
              </w:rPr>
            </w:pPr>
          </w:p>
        </w:tc>
      </w:t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6"/>
                <w:szCs w:val="16"/>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16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0.7</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7.8 %</w:t>
            </w:r>
          </w:p>
        </w:tc>
        <w:tc>
          <w:tcPr>
            <w:tcW w:w="16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8"/>
                <w:szCs w:val="18"/>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2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594</w:t>
            </w:r>
          </w:p>
        </w:tc>
        <w:tc>
          <w:tcPr>
            <w:tcW w:w="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7</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1.2 %  $</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tcPr>
          <w:p>
            <w:pPr>
              <w:spacing w:after="0"/>
              <w:rPr>
                <w:sz w:val="19"/>
                <w:szCs w:val="19"/>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1,169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60" w:type="dxa"/>
            <w:vAlign w:val="bottom"/>
          </w:tcPr>
          <w:p>
            <w:pPr>
              <w:spacing w:after="0"/>
              <w:rPr>
                <w:sz w:val="19"/>
                <w:szCs w:val="19"/>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23</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57.5 %</w:t>
            </w:r>
          </w:p>
        </w:tc>
        <w:tc>
          <w:tcPr>
            <w:tcW w:w="16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57.7 %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10.3 %</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6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Asia Pacific unit sales in the second quarter of 2024 increased 0.7 million units, or 7.8%, to 8.9 million units. OE tire volume increased 1.1 million units, or 32.2%, driven by an increase in consumer EV fitments in China. Replacement tire volume decreased 0.4 million units, or 8.9%, due to the impact of the Australia transformation and softness in consumer replacement in most of our markets.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second quarter of 2024 were $594 million, increasing $7 million, or 1.2%, from $587 million in the second quarter of 2023. The increase in net sales was primarily due to higher tire volume of $43 million and higher sales in other tire-related businesses of $2 million, partially offset by unfavorable price and product mix of $24 million driven by the Australia transformation and unfavorable foreign currency translation of $15 million due to the strengthening of the U.S. dollar.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2024 was $63 million, increasing $23 million, or 57.5%, from $40 million in the second quarter of 2023. The increase in operating income was primarily due to higher tire volume of $12 million, savings generated by the Goodyear Forward plan of $7 million and lower raw material costs of $6 million. These increases were partially offset by unfavorable foreign currency translation of $2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in the second quarter of 2024 excluded asset write-offs, accelerated depreciation and accelerated lease charges of $24 million and net rationalization charges of $2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six months of 2024 increased 1.5 million units, or 8.9%, to 17.8 million units. OE tire volume increased 2.0 million units, or 29.4%, primarily due to an increase in consumer EV fitments in China. Replacement tire volume decreased 0.5 million units, or 5.3%, due to the impact of the Australia transformation and softness in consumer replacement in Japan and India.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2024 were $1,196 million, increasing $27 million, or 2.3%, from $1,169 million in the first six months of 2023. The increase in net sales was primarily due to higher tire volume of $97 million, partially offset by unfavorable price and product mix of $41 million driven by the Australia transformation and unfavorable foreign currency translation of $31 million due to the strengthening of the U.S. dollar.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six months of 2024 was $123 million, increasing $45 million, or 57.7%, from $78 million in the first six months of 2023. The increase in operating income was primarily due to higher tire volume of $24 million, lower raw material costs of $19 million, and savings generated by the Goodyear Forward plan of $13 million. These increases were partially offset by higher SAG of $7 million and unfavorable foreign currency translation of $4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in the first six months of 2024 excluded asset write-offs, accelerated depreciation and accelerated lease charges of $31 million and net rationalization charges of $13 million. Operating income in the first six months of 2023 excluded net rationalization charges of $3 million.</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we had $789 million in cash and cash equivalents, compared to $902 million at December 31, 2023. For the six months ended June 30, 2024, net cash used for operating activities was $518 million, reflecting cash used for working capital of $788 million and rationalization payments of $105 million, as well as the Company's net income for the period of $22 million, which included non-cash charges for depreciation and amortization of $546 million, net rationalization charges of $41 million and a non-cash gain on asset sales of $94 million. Net cash used for investing activities was $488 million, primarily representing capital expenditures of $634 million and loans to TireHub of $17 million, partially offset by proceeds from asset sales of $124 million, primarily related to the sale of a distribution center in Germany and sale and leaseback of a warehouse in Americas, and insurance recoveries of $37 million for replacement of equipment damaged in the Debica fire. Net cash provided by financing activities was $896 million, primarily due to net borrowings of $919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had $3,227 million of unused availability under our various credit agreements, compared to $4,247 million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2,241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w:t>
            </w:r>
          </w:p>
        </w:tc>
      </w:tr>
      <w:tr>
        <w:trPr>
          <w:trHeight w:val="239"/>
        </w:trPr>
        <w:tc>
          <w:tcPr>
            <w:tcW w:w="7700" w:type="dxa"/>
            <w:vAlign w:val="bottom"/>
          </w:tcPr>
          <w:p>
            <w:pPr>
              <w:spacing w:after="0"/>
              <w:rPr>
                <w:sz w:val="20"/>
                <w:szCs w:val="20"/>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3,227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4,247</w:t>
            </w:r>
          </w:p>
        </w:tc>
      </w:tr>
      <w:tr>
        <w:trPr>
          <w:trHeight w:val="20"/>
        </w:trPr>
        <w:tc>
          <w:tcPr>
            <w:tcW w:w="7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-187960</wp:posOffset>
            </wp:positionV>
            <wp:extent cx="1200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2024 full-year cash flow needs to include capital expenditures of approximately $1,250 million, excluding approximately $50 million of capital expenditures covered by insurance. We also expect interest expense to be $510 million to $530 million; rationalization payments to be approximately $300 million; income tax payments to be approximately $200 million, excluding one-time items; and contributions to our funded pension plans to be $25 million to $35 million. We expect working capital to be flat as compared to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2024, approximately $860 million of net assets, including approximately $170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$518 million in the first six months of 2024, compared to net cash used for operating activities of $434 million in the first six months of 2023. The $84 million increase in net cash used for operating activities was primarily due to an increase in cash used for working capital of $238 million, year-over-year changes in balance sheet accounts for Other Current Liabilities and Other Assets and Liabilities totaling $107 million and higher rationalization payments of $55 million, partially offset by higher earnings in our SBUs of $337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used for working capital reflects an increase in cash used for Inventory of $638 million, partially offset by a decrease in cash used for Accounts Payable — Trade of $379 million and in cash used for Accounts Receivable of $21 million. These changes were driven by lower sales volume in the first half of 2024 compared to the first half of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investing activities was $488 million in the first six months of 2024, compared to $645 million in the first six months of 2023. Capital expenditures were $634 million in the first six months of 2024, compared to $536 million in the first six months of 2023. Cash provided by asset dispositions and sale and leaseback transactions in the first six months of 2024 was $124 million, compared to $69 million in the first six months of 2023. Additionally, investing activities in the first six months of 2024 includes insurance recoveries of $37 million for replacement of equipment damaged in the Debica fire and net loans to TireHub of $17 million, while investing activities in the first six months of 2023 included net securities acquired of $100 million and net loans to TireHub of $65 million. Beyond expenditures required to sustain our facilities, capital expenditures in 2024 and 2023 primarily related to the modernization and expansion of tire manufacturing facilities around the world.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$896 million in the first six months of 2024, compared to net cash provided by financing activities of $876 million in the first six months of 2023. Financing activities in the first six months of 2024 included net borrowings of $919 million and a decrease of $18 million in debt related costs and other transactions, primarily in our factored accounts receivable liability. Financing activities in the first six months of 2023 included net borrowings of $882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$11,707 million available at June 30, 2024, of which $3,227 million were unused, compared to $11,743 million available at December 31, 2023, of which $4,247 million were unused. At June 30, 2024, we had long term credit arrangements totaling $10,800 million, of which $2,824 million were unused, compared to $10,983 million and $3,867 million, respectively, at December 31, 2023. At June 30, 2024, we had short term committed and uncommitted credit arrangements totaling $907 million, of which $403 million were unused, compared to $760 million and $380 million, respectively, at December 31, 2023.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had $5,555 million of outstanding notes compared to $5,571 million at December 31, 2023.</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2024, we called for redemption of $300 million in aggregate principal amount of our outstanding $800 million 9.5% Senior Notes due 2025 on August 7, 2024 (the “Redemption Date”). The redemption price will be equal to 100% of the principal amount of the notes being redeemed plus accrued and unpaid interest thereon to the Redemption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2024, our borrowing base was above the facility's stated amount of $2.75 billion. In addition, if the amount of outstanding borrowings and letters of credit under the facility exceeds the borrowing base, we would be required to prepay borrowings and/or cash collateralize letters of credit sufficient to eliminate the excess.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we had $815 million of borrowings and $1 million of letters of credit issued under the revolving credit facility. At December 31, 2023, we had $385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there were no borrowings outstanding under the German tranche, $241 million (€225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 amounts available and utilized under this program totaled $204 million (€190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2024, the gross amount of receivables sold was $656 million, compared to $693 million at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we had $212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$841 million and $892 million at June 30, 2024 and December 31, 2023, respectively. The amounts confirmed to the financial institutions were $672 million and $580 million at June 30,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June 30, 2024, our unused availability under this facility of $1,934 million, plus our Available Cash of $172 million, totaled $2,106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2024, we were in compliance with this financial covenant.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9.5% Senior Notes Due 2025 (the “Notes”) that would remain outstanding subsequent to the partial redemption of $300 million of the Notes.</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any funding under the Committed Credit Facility, the aggregate commitments under the Commitment Letter for the Committed Credit Facility would be reduced by the amount of any proceeds received by us in respect of certain asset sales and by the amount of any Notes redeemed, repurchased or otherwise repaid by us after the date of the Commitment Letter (other than the partial redemption of $300 million of the Notes). The commitments of the lenders under the Commitment Letter are subject to the execution and delivery of definitive documentation with respect to the Committed Credit Facility and other customary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conditions. The Commitment Letter will terminate on the earliest of (i) the redemption, repurchase or other repayment of all of the Notes without the funding of the Committed Credit Facility, (ii) the execution and delivery of the Committed Credit Facility, (iii) our election to terminate the Commitment Letter, or (iv) June 2, 2025 (the final payment date for the Notes).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months of 2024,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a court could cancel a Guarantee and order the return of any payments made thereunder to the Subsidiary Guarantor or to a fund for the benefit of its creditors.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60" w:type="dxa"/>
            <w:vAlign w:val="bottom"/>
          </w:tcPr>
          <w:p>
            <w:pPr>
              <w:spacing w:after="0"/>
              <w:rPr>
                <w:sz w:val="11"/>
                <w:szCs w:val="11"/>
                <w:color w:val="auto"/>
              </w:rPr>
            </w:pPr>
          </w:p>
        </w:tc>
        <w:tc>
          <w:tcPr>
            <w:tcW w:w="13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34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86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860" w:type="dxa"/>
            <w:vAlign w:val="bottom"/>
            <w:gridSpan w:val="2"/>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FF0FC"/>
          </w:tcPr>
          <w:p>
            <w:pPr>
              <w:spacing w:after="0"/>
              <w:rPr>
                <w:sz w:val="21"/>
                <w:szCs w:val="21"/>
                <w:color w:val="auto"/>
              </w:rPr>
            </w:pPr>
          </w:p>
        </w:tc>
      </w:tr>
    </w:tbl>
    <w:p>
      <w:pPr>
        <w:spacing w:after="0" w:line="36" w:lineRule="exact"/>
        <w:rPr>
          <w:sz w:val="20"/>
          <w:szCs w:val="20"/>
          <w:color w:val="auto"/>
        </w:rPr>
      </w:pPr>
    </w:p>
    <w:p>
      <w:pPr>
        <w:ind w:left="760" w:right="2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$1,835 million and $2,214 million as of June 30, 2024 and December 31,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456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131"/>
        </w:trPr>
        <w:tc>
          <w:tcPr>
            <w:tcW w:w="66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1"/>
                <w:szCs w:val="11"/>
                <w:color w:val="auto"/>
              </w:rPr>
            </w:pP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top w:val="single" w:sz="8" w:color="auto"/>
            </w:tcBorders>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66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668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4"/>
                <w:szCs w:val="24"/>
                <w:color w:val="auto"/>
                <w:vertAlign w:val="superscript"/>
              </w:rPr>
              <w:t>(2)</w:t>
            </w:r>
          </w:p>
        </w:tc>
        <w:tc>
          <w:tcPr>
            <w:tcW w:w="1640" w:type="dxa"/>
            <w:vAlign w:val="bottom"/>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r>
      <w:tr>
        <w:trPr>
          <w:trHeight w:val="224"/>
        </w:trPr>
        <w:tc>
          <w:tcPr>
            <w:tcW w:w="6680" w:type="dxa"/>
            <w:vAlign w:val="bottom"/>
            <w:tcBorders>
              <w:top w:val="single" w:sz="8" w:color="CFF0FC"/>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40" w:type="dxa"/>
            <w:vAlign w:val="bottom"/>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640" w:type="dxa"/>
            <w:vAlign w:val="bottom"/>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-482600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-465455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 w:lineRule="exact"/>
        <w:rPr>
          <w:sz w:val="20"/>
          <w:szCs w:val="20"/>
          <w:color w:val="auto"/>
        </w:rPr>
      </w:pPr>
    </w:p>
    <w:p>
      <w:pPr>
        <w:jc w:val="both"/>
        <w:ind w:left="760" w:hanging="752"/>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$309 million for the six months ended June 30, 2024, primarily from royalties, intercompany product sales, dividends and interest, and $711 million for the year ended December 31, 2023, primarily from royalties, dividends, interest and intercompany product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2"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including the sale of our OTR tire business,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the sale of our OTR tire business on a timely basis or at all, including failure to obtain the required regulatory approvals or to satisfy other conditions to closing;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between Israel and Hamas,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June 30, 2024, approximately 26% of our debt was at variable interest rates averaging 7.16%.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5,716</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5,459</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June 30, 2024,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4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0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7/24 - 3/25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June 30, 2024,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June 30, 2024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2024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2023, we were one of numerous defendants in legal proceedings in certain state and federal courts involving approximately 35,800 claimants relating to their alleged exposure to materials containing asbestos in products allegedly manufactured by us or asbestos materials present in our facilities. During the first six months of 2024, approximately 450 claims were filed against us and approximately 600 were settled or dismissed. The amounts expended on asbestos defense and claim resolution by us and our insurers during the first six months of 2024 was $6 million. At June 30, 2024, there were approximately 35,650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We were one of the companies that was inspected. We are cooperating with the European Commission’s investigation.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number of civil lawsuits have been subsequently filed in the United States and elsewhere against companies active in the tire industry, including us, alleging violations of antitrust laws with respect to new replacement tires for passenger cars, vans, trucks and busses sold in the relevant jurisdictions, and similar additional lawsuits could be brought against us in the future. The U.S. lawsuits have been transferred to a multidistrict litigation in the U.S. District Court for the Northern District of Ohio. We intend to defend these lawsuits, the ultimate outcome of which cannot be predicted at this time.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is made to Item 3 of Part I of our 2023 Form 10-K and to Item I of Part II of our Quarterly Report on Form 10-Q for the quarterly period ended March 31, 2024 for additional discussion of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sale of our OTR tire business to The Yokohama Rubber Company is subject to closing conditions, some or all of which may not be satisfied, or completed on a timely basis, if at all. Failure to complete the sale in a timely manner or at all could have adverse effects on us.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2024, Goodyear and The Yokohama Rubber Company (the “Buyer”) entered into a Share and Asset Purchase Agreement (the “Agreement”) with respect to the sale of our OTR tire business (the “Business”) to the Buyer (the “Transaction”).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is subject to the satisfaction of customary closing conditions, including the expiration or termination of the waiting period under the Hart-Scott-Rodino Antitrust Improvements Act of 1976, as amended; the making or obtaining of certain antitrust approvals; the absence of any law or order enjoining or otherwise prohibiting the Transaction; the absence of any law or order arising under any antitrust law that expressly imposes a requirement on the Buyer or any of its affiliates to: (a) sell, transfer or otherwise dispose of any assets, rights, products or businesses of Buyer or any of its affiliates (other than, following the closing of the Transaction (the "Closing"), the Business), (b) sell, transfer or otherwise dispose of any assets, rights, products or businesses of the Business, or (c) take any other action of a type not described in either (a) or (b) with respect to any of the assets, rights, products or businesses of Buyer and its affiliates (including, following the Closing, the Business), unless, in the case of any action described in (b) or (c), any such action would not and would not reasonably be expected to result in a material adverse effect on (1) Buyer and its subsidiaries, taken as a whole (including the reasonably anticipated benefits (financial or otherwise) to Buyer of the Transaction and assuming that Buyer and its subsidiaries, taken as a whole, are the same size as the Business, taken as a whole), or (2) the Business, taken as a whole (a “Burdensome Action”); the accuracy of the representations and warranties of the other party; the compliance of each party with its covenants in all material respects; and the absence of a material adverse effect with respect to the Business.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termination rights, including if the Closing has not occurred on or prior to July 22, 2025 (as it may be extended, the "Outside Date"), subject to two three-month extension periods, at the option of either us or the Buyer, if certain regulatory conditions to Closing have not been satisfied.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Buyer will also be required to pay or cause to be paid to us a fee of $47.5 million (the “Buyer Termination Fee”) if the Agreement is validly terminated by either us or the Buyer due to a failure to receive certain antitrust approvals on or prior to the Outside Date or due to a government order or action that arises as a result of an antitrust law that permanently makes illegal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prevents the consummation of the Transaction or by the Buyer due to a government order or action that arises as a result of an antitrust law that imposes a Burdensome Action on the Buyer. The Buyer Termination Fee may not be sufficient to cover all of the expenses we incurred in connection with the Transaction or the losses associated with failing to consummate the Transaction.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Closing does not occur, our operating results, financial condition and liquidity may be materially adversely affected. Without realizing any of the benefits of having completed the Transaction, we will be subject to a number of risks,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Goodyear common stock could decline to the extent that the current market price reflects a market assumption that the Transaction will be completed;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Agreement is terminated and we seek another buyer for the Business, our shareholders cannot be certain that we will be able to find a party willing to enter into a transaction on terms equivalent to or more attractive than the terms of the Agreement;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our management to matters relating to the Transaction could otherwise have been devoted to pursuing other beneficial opportunities for us;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or from our customers, suppliers or employees;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Transaction, such as legal, accounting and financial advisory fees, whether or not the Transaction is completed;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failure to complete the Transaction or related to any enforcement proceeding commenced against us to perform our obligations pursuant to the Agreement.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delays in the completion of the Transaction could, among other things, result in additional transaction costs, loss of revenue or other negative effects associated with uncertainty about completion of the Transaction.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disrupt our current and future plans or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also contemplates that, at the Closing, Goodyear and the Buyer (or their respective affiliates) will enter into (a) a product supply agreement, pursuant to which we will, or will cause our affiliates to, supply to the Buyer or its affiliates, certain tire products for an initial period of up to 5 years from Closing, subject to an exit and asset relocation plan to be mutually agreed upon by the parties pursuant to which, beginning no earlier than the 2nd anniversary of the Closing, the production of those tire products will transition to Buyer’s facilities, and (b) a transition services agreement, pursuant to which we will provide certain transition services to the Buyer for the Business for a specified period from the Closing. The Buyer will reimburse us for certain costs incurred under the product supply agreement and the transition services agreement during their respective terms.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separate the Business or otherwise fully realize the expected benefits of the Transaction. Difficulties in separating the Business may result in us performing differently than expected, in operational challenges or in unabsorbed overhead and other costs, especially during the implementation of the exit and asset relocation plan contemplated by the product supply agreement. The separation of the Business may result in material challenges, including the diversion of management’s attention from ongoing business concerns; retaining key management and other employees; retaining or attracting business and operational relationships; the possibility of faulty assumptions underlying expectations regarding the separation process and associated expenses; separating corporate and administrative infrastructures, including information technology, manufacturing and other systems; coordinating these activities in geographically dispersed locations; as well as potential unknown liabilities or unforeseen expenses relating to the separation or any delays in separation activities.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2023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June 30, 2024,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163195</wp:posOffset>
            </wp:positionV>
            <wp:extent cx="19030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80" w:type="dxa"/>
            <w:vAlign w:val="bottom"/>
            <w:gridSpan w:val="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3540" w:type="dxa"/>
            <w:vAlign w:val="bottom"/>
            <w:gridSpan w:val="2"/>
            <w:vMerge w:val="continue"/>
          </w:tcPr>
          <w:p>
            <w:pPr>
              <w:spacing w:after="0"/>
              <w:rPr>
                <w:sz w:val="13"/>
                <w:szCs w:val="13"/>
                <w:color w:val="auto"/>
              </w:rPr>
            </w:pPr>
          </w:p>
        </w:tc>
        <w:tc>
          <w:tcPr>
            <w:tcW w:w="2680" w:type="dxa"/>
            <w:vAlign w:val="bottom"/>
            <w:gridSpan w:val="2"/>
          </w:tcPr>
          <w:p>
            <w:pPr>
              <w:jc w:val="center"/>
              <w:ind w:left="210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9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Defined Contribution Excess Benefit Plan of the Company, adopted October 7, 2008, effective as of January 1, 2005, as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00" w:type="dxa"/>
            <w:vAlign w:val="bottom"/>
          </w:tcPr>
          <w:p>
            <w:pPr>
              <w:spacing w:after="0"/>
              <w:rPr>
                <w:sz w:val="17"/>
                <w:szCs w:val="17"/>
                <w:color w:val="auto"/>
              </w:rPr>
            </w:pPr>
          </w:p>
        </w:tc>
        <w:tc>
          <w:tcPr>
            <w:tcW w:w="89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effective January 1, 2022, and as further amended on June 26, 2024.</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652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0" w:hanging="69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21" w:lineRule="exact"/>
        <w:rPr>
          <w:sz w:val="20"/>
          <w:szCs w:val="20"/>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3836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93" w:lineRule="exact"/>
        <w:rPr>
          <w:sz w:val="20"/>
          <w:szCs w:val="20"/>
          <w:color w:val="auto"/>
        </w:rPr>
      </w:pPr>
    </w:p>
    <w:p>
      <w:pPr>
        <w:ind w:left="960" w:hanging="69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0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0" w:hanging="69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4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72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58"/>
        </w:trPr>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101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00" w:type="dxa"/>
            <w:vAlign w:val="bottom"/>
          </w:tcPr>
          <w:p>
            <w:pPr>
              <w:spacing w:after="0"/>
              <w:rPr>
                <w:sz w:val="24"/>
                <w:szCs w:val="24"/>
                <w:color w:val="auto"/>
              </w:rPr>
            </w:pPr>
          </w:p>
        </w:tc>
      </w:tr>
      <w:tr>
        <w:trPr>
          <w:trHeight w:val="306"/>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0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86" w:lineRule="exact"/>
        <w:rPr>
          <w:sz w:val="20"/>
          <w:szCs w:val="20"/>
          <w:color w:val="auto"/>
        </w:rPr>
      </w:pPr>
    </w:p>
    <w:p>
      <w:pPr>
        <w:ind w:left="960" w:hanging="73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21" w:lineRule="exact"/>
        <w:rPr>
          <w:rFonts w:ascii="Times New Roman" w:cs="Times New Roman" w:eastAsia="Times New Roman" w:hAnsi="Times New Roman"/>
          <w:sz w:val="18"/>
          <w:szCs w:val="18"/>
          <w:color w:val="auto"/>
        </w:rPr>
      </w:pPr>
    </w:p>
    <w:p>
      <w:pPr>
        <w:ind w:left="960" w:righ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formatted in Inline XBRL (included as Exhibit 101).</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700" w:val="left"/>
          <w:tab w:leader="none" w:pos="6180" w:val="left"/>
          <w:tab w:leader="none" w:pos="7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Margaret V. Snyder, Vice President and Controller (Signing on behalf</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 the Registrant as a duly authorized officer of the Registrant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GOODYEAR TIRE &amp; RUBBER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EXCESS BENEFIT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amended and restated effective January 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as further amended on June 26, 2024)</w:t>
      </w:r>
    </w:p>
    <w:p>
      <w:pPr>
        <w:spacing w:after="0" w:line="31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the Company previously established an excess benefit plan for the purpose of providing supplemental retirement benefits on an unfunded basis to a select group of management or highly compensated employees eligible to participate in accordance with the terms hereof, as contemplated by Section 201(2) of the Employee Retirement Income Security Act of 1974, as amended;</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NOW, THEREFORE, said excess benefit plan which was adopted October7, 2008, effective January1, 2005, and amended and restated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2012, is further amended and restated effective January 1, 2022 to provide as follows:</w:t>
      </w:r>
    </w:p>
    <w:p>
      <w:pPr>
        <w:spacing w:after="0" w:line="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hereof,the following words and phrases shall have the meanings indicated:</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shall mean the Employee Retirement Income Security Act of 1974, as amended.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"Affiliated Employer" shall mean any employer required to be affiliated with the Company under Section414(b), (c), or (m).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 shall mean the Internal Revenue Code of 1986 as amended.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mean The Goodyear Tire &amp; Rubber Company, an Ohio corporation, its corporate successors and the surviving corporation resulting from any merger of The Goodyear Tire &amp; Rubber Company with any other corporation or corporations.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shall mean any person employed by an Employer on a salaried basis and eligible to participate in the Savings Plan.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"Employer" shall mean the Company and any other Affiliated Employer who adopts the Plan with the consent of the Company and Goodyear Dunlop Tires North America,Ltd. ("GDTNA") for any period of service after September 6, 2012.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"Excess Benefit" is the benefit payable under this Plan pursuant to Article II.</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Compensation" is the amount of compensation for any Participant in the Savings Plan to the extent the Participant had compensation limited by either Code Sections 401(a)(17) or 415(c) from being taken into account in computing the Employer's Retirement Contributions for the Participant in the Savings Plan.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Contribution" shall be the amount of contribution made pursuant to Sections 3.3 or 3.4.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mean any Employee who was a Participant in the Savings Plan and who had Excess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the plan as set forth herein, together with all amendments hereto, which shall be called "The Goodyear Tire &amp; Rubber Company Defined Contribution Excess Benefit Plan."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"Savings Plan" shall mean either The Goodyear Tire &amp; Rubber Company Employee Savings Plan for Salaried Employees, the Goodyear Dunlop Tires North America,Ltd. Employee Savings Plan For Salaried Employees or The Goodyear Tire &amp; Rubber Company Savings Plan for Retail Employees,as the same shall be in effect on the various dates of an Employee's participation.</w:t>
      </w:r>
    </w:p>
    <w:p>
      <w:pPr>
        <w:spacing w:after="0" w:line="6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All other words and phrases used herein shall have the meanings given them in the Savings Plans, unless a different meaning is clearly required by the context.</w:t>
      </w:r>
    </w:p>
    <w:p>
      <w:pPr>
        <w:spacing w:after="0" w:line="3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u w:val="single" w:color="auto"/>
          <w:color w:val="auto"/>
        </w:rPr>
        <w:t>EXCESS BENEFIT</w:t>
      </w:r>
    </w:p>
    <w:p>
      <w:pPr>
        <w:spacing w:after="0" w:line="315" w:lineRule="exact"/>
        <w:rPr>
          <w:sz w:val="20"/>
          <w:szCs w:val="20"/>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A Participant who dies or terminates employment with an Employer under conditions that make such Participant or beneficiary eligible for a benefit derived from Retirement Contributions under the Savings Plan, who had Excess Compensation and who does not receive a benefit from The Goodyear Tire &amp; Rubber Company Supplementary Pension Plan shall be eligible for an Excess Benefit.</w:t>
      </w:r>
    </w:p>
    <w:p>
      <w:pPr>
        <w:spacing w:after="0" w:line="67" w:lineRule="exact"/>
        <w:rPr>
          <w:rFonts w:ascii="Times New Roman" w:cs="Times New Roman" w:eastAsia="Times New Roman" w:hAnsi="Times New Roman"/>
          <w:sz w:val="18"/>
          <w:szCs w:val="18"/>
          <w:u w:val="single" w:color="auto"/>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Amount of Excess Benefit.</w:t>
      </w:r>
      <w:r>
        <w:rPr>
          <w:rFonts w:ascii="Times New Roman" w:cs="Times New Roman" w:eastAsia="Times New Roman" w:hAnsi="Times New Roman"/>
          <w:sz w:val="18"/>
          <w:szCs w:val="18"/>
          <w:color w:val="auto"/>
        </w:rPr>
        <w:t xml:space="preserve"> The amount of the Excess Benefit shall be the sum of all Excess Contributions notionally credited increased by</w:t>
      </w:r>
    </w:p>
    <w:p>
      <w:pPr>
        <w:spacing w:after="0" w:line="27" w:lineRule="exact"/>
        <w:rPr>
          <w:rFonts w:ascii="Times New Roman" w:cs="Times New Roman" w:eastAsia="Times New Roman" w:hAnsi="Times New Roman"/>
          <w:sz w:val="18"/>
          <w:szCs w:val="18"/>
          <w:u w:val="single" w:color="auto"/>
          <w:color w:val="auto"/>
        </w:rPr>
      </w:pPr>
    </w:p>
    <w:p>
      <w:pPr>
        <w:ind w:left="102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 from January 1, 2005 until September 30, 2008, a seven (7) percent compounded annual return,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commencing October1, 2008, interest credited at 120% of the Applicable Federal Long­ Term Rate as of the first day of each quarter (as prescribed under Section 1274(d) of the Code), compounded monthly, computed from the date of each notional contribution. The amount of the Excess Benefit for any participant who participated in The Goodyear Dunlop Tires North America,Ltd. Excess Savings Plan shall be the amount of the balance earned in such Plan through September 6, 2012 plus benefits earned by the participant in this Plan.</w:t>
      </w:r>
    </w:p>
    <w:p>
      <w:pPr>
        <w:spacing w:after="0" w:line="72" w:lineRule="exact"/>
        <w:rPr>
          <w:sz w:val="20"/>
          <w:szCs w:val="20"/>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Excess Contributions</w:t>
      </w:r>
      <w:r>
        <w:rPr>
          <w:rFonts w:ascii="Times New Roman" w:cs="Times New Roman" w:eastAsia="Times New Roman" w:hAnsi="Times New Roman"/>
          <w:sz w:val="18"/>
          <w:szCs w:val="18"/>
          <w:color w:val="auto"/>
        </w:rPr>
        <w:t>. Excess Contributions will be notionally credited to a Participant on the last day of any calendar month in which the Participant had Excess Compensation. The Excess Contributions will be for the amount that the Participant would have had additional Retirement Contributions to the Savings Plan for such month with respect to the Participant's Excess Compensation.</w:t>
      </w:r>
    </w:p>
    <w:p>
      <w:pPr>
        <w:spacing w:after="0" w:line="67" w:lineRule="exact"/>
        <w:rPr>
          <w:rFonts w:ascii="Times New Roman" w:cs="Times New Roman" w:eastAsia="Times New Roman" w:hAnsi="Times New Roman"/>
          <w:sz w:val="18"/>
          <w:szCs w:val="18"/>
          <w:u w:val="single" w:color="auto"/>
          <w:color w:val="auto"/>
        </w:rPr>
      </w:pP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Minimum Excess Contributions</w:t>
      </w:r>
      <w:r>
        <w:rPr>
          <w:rFonts w:ascii="Times New Roman" w:cs="Times New Roman" w:eastAsia="Times New Roman" w:hAnsi="Times New Roman"/>
          <w:sz w:val="18"/>
          <w:szCs w:val="18"/>
          <w:color w:val="auto"/>
        </w:rPr>
        <w:t>. If a Participant only received Retirement Contributions of four percent (4%) of Compensation under the Savings Plan for any given month then the Excess Contributions under Section 3 of Article II will be six percent (6%) of the Excess Compensation of such Participant for such month. To reflect the effective date of January 1, 2023 of the increase in the minimum retirement contribution in The Goodyear Tire &amp; Rubber Company Employee Savings Plan for Salaried Employees (the “Salaried Savings Plan”) for associates hired on or after April 1, 2007, the Minimum Excess Contributions under the Plan are increased as set forth in the preceding sentence, provided, however, that Participants who participate in the Salaried Savings Plan will receive a one-time, one percent (1%) Excess Contribution to the Plan for all 2023 elective deferral contributions under the Salaried Savings Plan to align with the amendment of the Salaried Savings Plan effective January 1, 2023.</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TIME AND FORM OF PAYMENT</w:t>
      </w:r>
    </w:p>
    <w:p>
      <w:pPr>
        <w:spacing w:after="0" w:line="328" w:lineRule="exact"/>
        <w:rPr>
          <w:sz w:val="20"/>
          <w:szCs w:val="20"/>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xml:space="preserve"> Each Excess Benefit provided for hereunder shall be paid as a lump sum to the Participant or to the Participant's beneficiary under the Savings Plan, if the Participant is deceased. Such lump sum payments will be made within 90 days after death to any</w:t>
      </w: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beneficiary or within 90 days after any Separation from Service if Participant is vested in the Savings Plan and is not a Specified Employee.Any Participant who is a Specified Employee shall be paid such lump sum on the first business day that is more than six months after the date of Separation from Service.</w:t>
      </w:r>
    </w:p>
    <w:p>
      <w:pPr>
        <w:spacing w:after="0" w:line="78" w:lineRule="exact"/>
        <w:rPr>
          <w:sz w:val="20"/>
          <w:szCs w:val="20"/>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xml:space="preserve"> A Specified Employee is an employee who is a specified employee in accordance with Section 409A of the Code. The specified employee identification date for the Plan is December 31 of each year. The specified employee effective date for the Plan is each following January 1.</w:t>
      </w:r>
    </w:p>
    <w:p>
      <w:pPr>
        <w:spacing w:after="0" w:line="67" w:lineRule="exact"/>
        <w:rPr>
          <w:rFonts w:ascii="Times New Roman" w:cs="Times New Roman" w:eastAsia="Times New Roman" w:hAnsi="Times New Roman"/>
          <w:sz w:val="18"/>
          <w:szCs w:val="18"/>
          <w:u w:val="single" w:color="auto"/>
          <w:color w:val="auto"/>
        </w:rPr>
      </w:pPr>
    </w:p>
    <w:p>
      <w:pPr>
        <w:jc w:val="both"/>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.For purposes of establishing whether an employee has a Separation from Service, the employee will be deemed to have a Separation from Service on the date of termination of employment, if the employee after the date of termination of employment is not reasonably anticipated to provide a level of bona fide services that exceeds 25% of the average level of bona fide services provided by the employee in the immediately preceding 36 months (or the total period of employment, if less than 36 months), within the meaning of Section 409A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0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Plan is a plan maintained primarily for the purpose of providing deferred compensation for a select group of management or highly compensated employees. Accordingly, the Plan shall be construed and administered in the manner appropriate to maintain the Plan's status as such under the Act. To the extent that the Act applies to the Plan, the Company shall be the "named fiduciary" of and the "plan administrator" of the Plan. The Company shall be responsible for the general administration of the Plan and for carrying out the provisions hereof. The Employers shall be responsible for making any required benefit payments under the Plan. The Company shall have the sole and absolute authority and power to administer and carry out the provisions of the Plan, except that the Employers shall make any required benefit payments hereunder; to determine all questions relating to eligibility for and the amount of any benefit hereunder and all questions pertaining to claims for benefits and procedures for claim review; to resolve all other questions arising under the Plan, including any questions of construction; and to take such further action as the Company shall deem advisable in the administration of the Plan. All actions taken and decisions made by the Company hereunder be final and binding upon all interested parties.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315" w:lineRule="exact"/>
        <w:rPr>
          <w:sz w:val="20"/>
          <w:szCs w:val="20"/>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Right to Amend or Terminate.</w:t>
      </w:r>
      <w:r>
        <w:rPr>
          <w:rFonts w:ascii="Times New Roman" w:cs="Times New Roman" w:eastAsia="Times New Roman" w:hAnsi="Times New Roman"/>
          <w:sz w:val="18"/>
          <w:szCs w:val="18"/>
          <w:color w:val="auto"/>
        </w:rPr>
        <w:t xml:space="preserve"> The Company reserves the right in its sole and absolute discretion to amend or terminate the Plan at any time by action of its Board of Directors subject to the requirements of this Article; provided, however, that no such action shall adversely affect the right of any Employee or beneficiary to any Excess Benefit determined under the provisions of the Plan previously in effect for any period of time that the Employee was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Notwithstanding the foregoing,no termination or amendment of this Plan may accelerate payment of Excess Benefits to any Participant except under the following conditions subject to the mandatory six-month delay for Specified Employees:</w:t>
      </w:r>
    </w:p>
    <w:p>
      <w:pPr>
        <w:spacing w:after="0" w:line="80" w:lineRule="exact"/>
        <w:rPr>
          <w:rFonts w:ascii="Times New Roman" w:cs="Times New Roman" w:eastAsia="Times New Roman" w:hAnsi="Times New Roman"/>
          <w:sz w:val="18"/>
          <w:szCs w:val="18"/>
          <w:u w:val="single" w:color="auto"/>
          <w:color w:val="auto"/>
        </w:rPr>
      </w:pPr>
    </w:p>
    <w:p>
      <w:pPr>
        <w:jc w:val="both"/>
        <w:ind w:left="1780" w:hanging="515"/>
        <w:spacing w:after="0" w:line="247" w:lineRule="auto"/>
        <w:tabs>
          <w:tab w:leader="none" w:pos="1780" w:val="left"/>
        </w:tabs>
        <w:numPr>
          <w:ilvl w:val="1"/>
          <w:numId w:val="24"/>
        </w:numPr>
        <w:rPr>
          <w:rFonts w:ascii="Times New Roman" w:cs="Times New Roman" w:eastAsia="Times New Roman" w:hAnsi="Times New Roman"/>
          <w:sz w:val="21"/>
          <w:szCs w:val="21"/>
          <w:color w:val="464646"/>
        </w:rPr>
      </w:pPr>
      <w:r>
        <w:rPr>
          <w:rFonts w:ascii="Times New Roman" w:cs="Times New Roman" w:eastAsia="Times New Roman" w:hAnsi="Times New Roman"/>
          <w:sz w:val="18"/>
          <w:szCs w:val="18"/>
          <w:color w:val="auto"/>
        </w:rPr>
        <w:t>The Company may terminate and liquidate the Plan within 12 months of a corporate dissolution taxed under section 331, or with the approval of a bankruptcy court pursuant to 11 U.S.C. §503(b)(l)(A), provided that the amounts deferred under the Plan are included in the Participants' gross incomes in the latest of the following years (or, if earlier the taxable year in which the amount is actually or constructively received):</w:t>
      </w:r>
    </w:p>
    <w:p>
      <w:pPr>
        <w:spacing w:after="0" w:line="84" w:lineRule="exact"/>
        <w:rPr>
          <w:rFonts w:ascii="Times New Roman" w:cs="Times New Roman" w:eastAsia="Times New Roman" w:hAnsi="Times New Roman"/>
          <w:sz w:val="21"/>
          <w:szCs w:val="21"/>
          <w:color w:val="464646"/>
        </w:rPr>
      </w:pPr>
    </w:p>
    <w:p>
      <w:pPr>
        <w:jc w:val="both"/>
        <w:ind w:left="2520" w:hanging="506"/>
        <w:spacing w:after="0" w:line="266" w:lineRule="auto"/>
        <w:tabs>
          <w:tab w:leader="none" w:pos="25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in which the Plan termination and liquidation occurs; (b) the first calendar year in which the amount is no longer subject to a substantial risk of forfeiture; or (c) the first calendar year in which the payment is administratively practicable.</w:t>
      </w:r>
    </w:p>
    <w:p>
      <w:pPr>
        <w:spacing w:after="0" w:line="94" w:lineRule="exact"/>
        <w:rPr>
          <w:rFonts w:ascii="Times New Roman" w:cs="Times New Roman" w:eastAsia="Times New Roman" w:hAnsi="Times New Roman"/>
          <w:sz w:val="18"/>
          <w:szCs w:val="18"/>
          <w:color w:val="auto"/>
        </w:rPr>
      </w:pPr>
    </w:p>
    <w:p>
      <w:pPr>
        <w:jc w:val="both"/>
        <w:ind w:left="1780" w:hanging="515"/>
        <w:spacing w:after="0" w:line="249" w:lineRule="auto"/>
        <w:tabs>
          <w:tab w:leader="none" w:pos="1780" w:val="left"/>
        </w:tabs>
        <w:numPr>
          <w:ilvl w:val="1"/>
          <w:numId w:val="24"/>
        </w:numPr>
        <w:rPr>
          <w:rFonts w:ascii="Times New Roman" w:cs="Times New Roman" w:eastAsia="Times New Roman" w:hAnsi="Times New Roman"/>
          <w:sz w:val="21"/>
          <w:szCs w:val="21"/>
          <w:color w:val="464646"/>
        </w:rPr>
      </w:pPr>
      <w:r>
        <w:rPr>
          <w:rFonts w:ascii="Times New Roman" w:cs="Times New Roman" w:eastAsia="Times New Roman" w:hAnsi="Times New Roman"/>
          <w:sz w:val="18"/>
          <w:szCs w:val="18"/>
          <w:color w:val="auto"/>
        </w:rPr>
        <w:t>The Company may terminate and liquidate the Plan pursuant to irrevocable action taken by the Board of Directors within the 30 days preceding or the 12 months following a change in control event (as defined in Treasury Regulation § l.409A- 3(i)(5)), provided that this paragraph will only apply to a payment under the plan if all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 months of the date the Company irrevocably takes all necessary action to terminate and liquidate the agreements, methods,programs, and other arrangements.</w:t>
      </w:r>
    </w:p>
    <w:p>
      <w:pPr>
        <w:spacing w:after="0" w:line="110" w:lineRule="exact"/>
        <w:rPr>
          <w:rFonts w:ascii="Times New Roman" w:cs="Times New Roman" w:eastAsia="Times New Roman" w:hAnsi="Times New Roman"/>
          <w:sz w:val="21"/>
          <w:szCs w:val="21"/>
          <w:color w:val="464646"/>
        </w:rPr>
      </w:pPr>
    </w:p>
    <w:p>
      <w:pPr>
        <w:jc w:val="both"/>
        <w:ind w:left="1780" w:hanging="515"/>
        <w:spacing w:after="0" w:line="249" w:lineRule="auto"/>
        <w:tabs>
          <w:tab w:leader="none" w:pos="1780" w:val="left"/>
        </w:tabs>
        <w:numPr>
          <w:ilvl w:val="1"/>
          <w:numId w:val="24"/>
        </w:numPr>
        <w:rPr>
          <w:rFonts w:ascii="Times New Roman" w:cs="Times New Roman" w:eastAsia="Times New Roman" w:hAnsi="Times New Roman"/>
          <w:sz w:val="21"/>
          <w:szCs w:val="21"/>
          <w:color w:val="464646"/>
        </w:rPr>
      </w:pPr>
      <w:r>
        <w:rPr>
          <w:rFonts w:ascii="Times New Roman" w:cs="Times New Roman" w:eastAsia="Times New Roman" w:hAnsi="Times New Roman"/>
          <w:sz w:val="18"/>
          <w:szCs w:val="18"/>
          <w:color w:val="auto"/>
        </w:rPr>
        <w:t>The Company may terminate and liquidate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with any terminated and liquidated agreements, methods, programs, and other arrangements under Treasury Regulation §1.409-1(c) if any Participant had deferrals of compensation under all of the agreements, methods, programs, and other arrangements that are terminated and liquidated; (c) no payments in liquidation of the Plan are made within 12 months of the date the Company takes all necessary action to irrevocably terminate and liquidate the Plan other than payments that would be payable under the terms of the Plan if the action to terminate and liquidate the Plan had not occurred; (d) all payments are made within 24 months of the date the Company takes all necessary action to irrevocably terminate and liquidate the Plan; and (e) the Company does not adopt a new plan that would be aggregated with any terminated and liquidated plan under Treasury Regulation §1.409A-l(c) if the same service provider participated in both plans, at any time within three years following the date the service recipient takes all necessary action to irrevocably terminate and liquidate the Plan.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ADOPTION BY AFFILIATED EMPLOYERS</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Any Affiliated Employer that at the time is not an Employer hereunder may adopt the Plan and become an Employer hereunder by action of its Board of Directors and by filing written notice thereof with the Company. Each Employer other than the Company shall have the right to withdraw from the Plan by action of its Board of Directors and by filing written notice thereof with the Company, in which event the Employer shall cease to be an Employer for purposes of the Plan; provided, however, that no withdrawal shall affect the right of any Employee or beneficiary to any Excess Benefits for any period of time that the Employee was an Excess Benefit Employee.</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315" w:lineRule="exact"/>
        <w:rPr>
          <w:sz w:val="20"/>
          <w:szCs w:val="20"/>
          <w:color w:val="auto"/>
        </w:rPr>
      </w:pPr>
    </w:p>
    <w:p>
      <w:pPr>
        <w:jc w:val="both"/>
        <w:ind w:left="1020" w:hanging="503"/>
        <w:spacing w:after="0" w:line="253" w:lineRule="auto"/>
        <w:tabs>
          <w:tab w:leader="none" w:pos="102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Non-Alienation of Retirement Rights or Benefits.</w:t>
      </w:r>
      <w:r>
        <w:rPr>
          <w:rFonts w:ascii="Times New Roman" w:cs="Times New Roman" w:eastAsia="Times New Roman" w:hAnsi="Times New Roman"/>
          <w:sz w:val="18"/>
          <w:szCs w:val="18"/>
          <w:color w:val="auto"/>
        </w:rPr>
        <w:t xml:space="preserve"> No Employee and no beneficiary of an Employee shall encumber or dispose of such person's right to receive any payments hereunder. Payments hereunder, or the right thereto, are expressly declared to be non-assignable and non-transferable. If an Employee or beneficiary attempts to assign, transfer, alienate, or encumber the right to receive any payment hereunder or permits the same to be subject to alienation, garnishment, attachment, execution, or levy of any kind, then thereafter during the life of such Employee or beneficiary, and also during any period in which any Employee or beneficiary is incapable in the judgment of an Employer of attending to personal financial affairs, any payments which an Employer is required to make hereunder may be made, in the sole and absolute discretion of the Employer, either directly to such Employee or beneficiary or to any other person for the future care, use or benefit of such Employee or beneficiary or that of such person's dependents, if any. Each such payment may be made without the intervention of a guardian, the receipt of the payee shall constitute complete satisfaction for the Employer with respect thereto, and the Employer shall have no responsibility for the proper application thereof.</w:t>
      </w:r>
    </w:p>
    <w:p>
      <w:pPr>
        <w:spacing w:after="0" w:line="86" w:lineRule="exact"/>
        <w:rPr>
          <w:rFonts w:ascii="Times New Roman" w:cs="Times New Roman" w:eastAsia="Times New Roman" w:hAnsi="Times New Roman"/>
          <w:sz w:val="18"/>
          <w:szCs w:val="18"/>
          <w:u w:val="single" w:color="auto"/>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Plan Non-Contractual</w:t>
      </w:r>
      <w:r>
        <w:rPr>
          <w:rFonts w:ascii="Times New Roman" w:cs="Times New Roman" w:eastAsia="Times New Roman" w:hAnsi="Times New Roman"/>
          <w:sz w:val="18"/>
          <w:szCs w:val="18"/>
          <w:color w:val="auto"/>
        </w:rPr>
        <w:t>. Nothing herein contained shall be construed as a commitment or agreement on the part of any person employed by an Employer to continue employment with the Employer, and nothing herein contained shall be construed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left="503"/>
        <w:spacing w:after="0" w:line="266" w:lineRule="auto"/>
        <w:rPr>
          <w:sz w:val="20"/>
          <w:szCs w:val="20"/>
          <w:color w:val="auto"/>
        </w:rPr>
      </w:pPr>
      <w:r>
        <w:rPr>
          <w:rFonts w:ascii="Times New Roman" w:cs="Times New Roman" w:eastAsia="Times New Roman" w:hAnsi="Times New Roman"/>
          <w:sz w:val="18"/>
          <w:szCs w:val="18"/>
          <w:color w:val="auto"/>
        </w:rPr>
        <w:t>a commitment on the part of an Employer to continue the employment, the annual rate of compensation, or any term or condition of employment of such person for any period, and all Employees shall remain subject to discharge to the same extent as if the Plan had never been put into effect.</w:t>
      </w:r>
    </w:p>
    <w:p>
      <w:pPr>
        <w:spacing w:after="0" w:line="68" w:lineRule="exact"/>
        <w:rPr>
          <w:sz w:val="20"/>
          <w:szCs w:val="20"/>
          <w:color w:val="auto"/>
        </w:rPr>
      </w:pPr>
    </w:p>
    <w:p>
      <w:pPr>
        <w:jc w:val="both"/>
        <w:ind w:left="503" w:hanging="503"/>
        <w:spacing w:after="0" w:line="258"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Interest of Employee an Unfunded, Unsecured Promise.</w:t>
      </w:r>
      <w:r>
        <w:rPr>
          <w:rFonts w:ascii="Times New Roman" w:cs="Times New Roman" w:eastAsia="Times New Roman" w:hAnsi="Times New Roman"/>
          <w:sz w:val="18"/>
          <w:szCs w:val="18"/>
          <w:color w:val="auto"/>
        </w:rPr>
        <w:t xml:space="preserve"> The provision of this paragraph 3 shall apply notwithstanding any other provision of the Plan to the contrary. All benefits payable under the Plan are payable solely from an Employer's general assets. The obligation of an Employer under the Plan to provide an Employee or beneficiary a benefit is solely the unfunded, unsecured promise of the Employer to make payments as provided herein. No person shall have any interest in, or a lien or prior claim upon, any property of an Employer with respect to such benefits greater than that of a general creditor of the Employer.</w:t>
      </w:r>
    </w:p>
    <w:p>
      <w:pPr>
        <w:spacing w:after="0" w:line="75" w:lineRule="exact"/>
        <w:rPr>
          <w:rFonts w:ascii="Times New Roman" w:cs="Times New Roman" w:eastAsia="Times New Roman" w:hAnsi="Times New Roman"/>
          <w:sz w:val="18"/>
          <w:szCs w:val="18"/>
          <w:u w:val="single" w:color="auto"/>
          <w:color w:val="auto"/>
        </w:rPr>
      </w:pPr>
    </w:p>
    <w:p>
      <w:pPr>
        <w:jc w:val="both"/>
        <w:ind w:left="503" w:hanging="503"/>
        <w:spacing w:after="0" w:line="266"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Claims of Other Persons.</w:t>
      </w:r>
      <w:r>
        <w:rPr>
          <w:rFonts w:ascii="Times New Roman" w:cs="Times New Roman" w:eastAsia="Times New Roman" w:hAnsi="Times New Roman"/>
          <w:sz w:val="18"/>
          <w:szCs w:val="18"/>
          <w:color w:val="auto"/>
        </w:rPr>
        <w:t xml:space="preserve"> The provisions of the Plan shall in no event be construed as giving any person, firm, or corporation any legal or equitable right as against any Employer, its officers, employees, or directors, except any such rights as are specifically provided for in the Plan or are hereafter created in accordance with the terms and provisions of the Plan.</w:t>
      </w:r>
    </w:p>
    <w:p>
      <w:pPr>
        <w:spacing w:after="0" w:line="67" w:lineRule="exact"/>
        <w:rPr>
          <w:rFonts w:ascii="Times New Roman" w:cs="Times New Roman" w:eastAsia="Times New Roman" w:hAnsi="Times New Roman"/>
          <w:sz w:val="18"/>
          <w:szCs w:val="18"/>
          <w:u w:val="single" w:color="auto"/>
          <w:color w:val="auto"/>
        </w:rPr>
      </w:pPr>
    </w:p>
    <w:p>
      <w:pPr>
        <w:jc w:val="both"/>
        <w:ind w:left="503" w:hanging="503"/>
        <w:spacing w:after="0" w:line="266"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Absence of Liability</w:t>
      </w:r>
      <w:r>
        <w:rPr>
          <w:rFonts w:ascii="Times New Roman" w:cs="Times New Roman" w:eastAsia="Times New Roman" w:hAnsi="Times New Roman"/>
          <w:sz w:val="18"/>
          <w:szCs w:val="18"/>
          <w:color w:val="auto"/>
        </w:rPr>
        <w:t>. No member of the Board of Directors of any Employer nor any officer of any Employer shall be liable for any act or action hereunder, whether of commission or omission, taken by any other member, or by an officer, agent, or employee, or, except in circumstances involving his bad faith, for anything done or omitted to be done by himself.</w:t>
      </w:r>
    </w:p>
    <w:p>
      <w:pPr>
        <w:spacing w:after="0" w:line="67" w:lineRule="exact"/>
        <w:rPr>
          <w:rFonts w:ascii="Times New Roman" w:cs="Times New Roman" w:eastAsia="Times New Roman" w:hAnsi="Times New Roman"/>
          <w:sz w:val="18"/>
          <w:szCs w:val="18"/>
          <w:u w:val="single" w:color="auto"/>
          <w:color w:val="auto"/>
        </w:rPr>
      </w:pPr>
    </w:p>
    <w:p>
      <w:pPr>
        <w:jc w:val="both"/>
        <w:ind w:left="503" w:hanging="503"/>
        <w:spacing w:after="0" w:line="255"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Competition.</w:t>
      </w:r>
      <w:r>
        <w:rPr>
          <w:rFonts w:ascii="Times New Roman" w:cs="Times New Roman" w:eastAsia="Times New Roman" w:hAnsi="Times New Roman"/>
          <w:sz w:val="18"/>
          <w:szCs w:val="18"/>
          <w:color w:val="auto"/>
        </w:rPr>
        <w:t xml:space="preserve"> The right of any Employee or beneficiary to an Excess Benefit will be terminated, or, if payment thereof has begun, all further payments will be discontinued and forfeited in the event such Employee (i) at any time subsequent to the effective date wrongfully discloses any secret process or trade secrets of the Company or any Affiliated Employer, or any of the Company's subsidiaries, or (ii) engages, either directly or indirectly, as an officer, trustee, employee, consultant, partner, or substantial shareholder, on his own account or in any other capacity, in a business venture that within the ten-year period following his retirement the Company's Board of Directors reasonably determines to be competitive with the Company's or any of its Affiliated Employers, or any of the Company's subsidiaries, to a degree materially contrary to the best interests of the Company or any of its Affiliated Employers, or any of the Company's subsidiaries.</w:t>
      </w:r>
    </w:p>
    <w:p>
      <w:pPr>
        <w:spacing w:after="0" w:line="80" w:lineRule="exact"/>
        <w:rPr>
          <w:rFonts w:ascii="Times New Roman" w:cs="Times New Roman" w:eastAsia="Times New Roman" w:hAnsi="Times New Roman"/>
          <w:sz w:val="18"/>
          <w:szCs w:val="18"/>
          <w:u w:val="single" w:color="auto"/>
          <w:color w:val="auto"/>
        </w:rPr>
      </w:pPr>
    </w:p>
    <w:p>
      <w:pPr>
        <w:ind w:left="503" w:right="20" w:hanging="503"/>
        <w:spacing w:after="0" w:line="282"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particular provision of the Plan shall not affect any other provision hereof, and the Plan shall be construed in all respects as if such invalid or unenforceable provision were omitted here from.</w:t>
      </w:r>
    </w:p>
    <w:p>
      <w:pPr>
        <w:spacing w:after="0" w:line="53" w:lineRule="exact"/>
        <w:rPr>
          <w:rFonts w:ascii="Times New Roman" w:cs="Times New Roman" w:eastAsia="Times New Roman" w:hAnsi="Times New Roman"/>
          <w:sz w:val="18"/>
          <w:szCs w:val="18"/>
          <w:u w:val="single" w:color="auto"/>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shall be governed by and construed in accordance with the laws of the State of Ohio.</w:t>
      </w:r>
    </w:p>
    <w:p>
      <w:pPr>
        <w:spacing w:after="0" w:line="117" w:lineRule="exact"/>
        <w:rPr>
          <w:rFonts w:ascii="Times New Roman" w:cs="Times New Roman" w:eastAsia="Times New Roman" w:hAnsi="Times New Roman"/>
          <w:sz w:val="18"/>
          <w:szCs w:val="18"/>
          <w:u w:val="single" w:color="auto"/>
          <w:color w:val="auto"/>
        </w:rPr>
      </w:pPr>
    </w:p>
    <w:p>
      <w:pPr>
        <w:jc w:val="both"/>
        <w:ind w:left="503" w:hanging="503"/>
        <w:spacing w:after="0" w:line="261" w:lineRule="auto"/>
        <w:tabs>
          <w:tab w:leader="none" w:pos="503"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Compliance with Section409A of the Code</w:t>
      </w:r>
      <w:r>
        <w:rPr>
          <w:rFonts w:ascii="Times New Roman" w:cs="Times New Roman" w:eastAsia="Times New Roman" w:hAnsi="Times New Roman"/>
          <w:sz w:val="18"/>
          <w:szCs w:val="18"/>
          <w:color w:val="auto"/>
        </w:rPr>
        <w:t>. (a) It is intended that the Plan comply with the provisions of Section 409A of the Code, so as to prevent the inclusion in gross 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affects such intent, and the Committee shall not take any action that would be inconsistent with such intent.</w:t>
      </w:r>
    </w:p>
    <w:p>
      <w:pPr>
        <w:spacing w:after="0" w:line="71" w:lineRule="exact"/>
        <w:rPr>
          <w:rFonts w:ascii="Times New Roman" w:cs="Times New Roman" w:eastAsia="Times New Roman" w:hAnsi="Times New Roman"/>
          <w:sz w:val="18"/>
          <w:szCs w:val="18"/>
          <w:u w:val="single" w:color="auto"/>
          <w:color w:val="auto"/>
        </w:rPr>
      </w:pPr>
    </w:p>
    <w:p>
      <w:pPr>
        <w:jc w:val="both"/>
        <w:ind w:left="2003" w:hanging="506"/>
        <w:spacing w:after="0" w:line="258" w:lineRule="auto"/>
        <w:tabs>
          <w:tab w:leader="none" w:pos="20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Committee shall use its best efforts to avoid the imposition of taxation, interest and penalties under Section 409A of the Code, the tax treatment of deferrals under this Plan is not warranted or guaranteed. Neither the Company, the other members of the Affiliated Group, the Board, nor the Committee(nor its designee)shall be held liable for any taxes, interest, penalties or other monetary amounts owed by any Participant, Beneficiary or other taxpayer as a result of the Plan.</w:t>
      </w:r>
    </w:p>
    <w:p>
      <w:pPr>
        <w:spacing w:after="0" w:line="75" w:lineRule="exact"/>
        <w:rPr>
          <w:rFonts w:ascii="Times New Roman" w:cs="Times New Roman" w:eastAsia="Times New Roman" w:hAnsi="Times New Roman"/>
          <w:sz w:val="18"/>
          <w:szCs w:val="18"/>
          <w:color w:val="auto"/>
        </w:rPr>
      </w:pPr>
    </w:p>
    <w:p>
      <w:pPr>
        <w:jc w:val="both"/>
        <w:ind w:left="2003" w:hanging="506"/>
        <w:spacing w:after="0" w:line="256" w:lineRule="auto"/>
        <w:tabs>
          <w:tab w:leader="none" w:pos="20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Plan to Section 409A of the Code will also include any proposed, temporary or final regulations, or any other guidance promulgated with respect to such Section 409A by the U.S. Department of Treasury or the Internal Revenue Service.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409(A)(a)(l) of the Code.</w:t>
      </w:r>
    </w:p>
    <w:p>
      <w:pPr>
        <w:spacing w:after="0" w:line="183" w:lineRule="exact"/>
        <w:rPr>
          <w:sz w:val="20"/>
          <w:szCs w:val="20"/>
          <w:color w:val="auto"/>
        </w:rPr>
      </w:pPr>
    </w:p>
    <w:p>
      <w:pPr>
        <w:jc w:val="center"/>
        <w:ind w:right="1637"/>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ind w:right="1637"/>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BASED BENEFIT</w:t>
      </w:r>
    </w:p>
    <w:p>
      <w:pPr>
        <w:spacing w:after="0" w:line="99" w:lineRule="exact"/>
        <w:rPr>
          <w:sz w:val="20"/>
          <w:szCs w:val="20"/>
          <w:color w:val="auto"/>
        </w:rPr>
      </w:pPr>
    </w:p>
    <w:p>
      <w:pPr>
        <w:jc w:val="both"/>
        <w:ind w:left="503" w:hanging="503"/>
        <w:spacing w:after="0" w:line="256" w:lineRule="auto"/>
        <w:tabs>
          <w:tab w:leader="none" w:pos="503"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Individuals employed by any Employer as selected from time to time by the Committee shall be eligible for a Performance Based Benefit, provided such individuals are part of a select group of management or highly compensated employees and are not participating in The Goodyear Tire &amp; Rubber Company Supplementary Pension Plan. Employees eligible for a Performance Based Benefit shall be referred to herein as “Performance Eligible Participants.” For the avoidance of doubt, an Employee who is selected as a Performance Eligible Participant with respect to a Performance Based Benefit may also be a Participant with respect to an Excess Benefit under the terms of the Plan.</w:t>
      </w:r>
    </w:p>
    <w:p>
      <w:pPr>
        <w:spacing w:after="0" w:line="79" w:lineRule="exact"/>
        <w:rPr>
          <w:rFonts w:ascii="Times New Roman" w:cs="Times New Roman" w:eastAsia="Times New Roman" w:hAnsi="Times New Roman"/>
          <w:sz w:val="18"/>
          <w:szCs w:val="18"/>
          <w:u w:val="single" w:color="auto"/>
          <w:color w:val="auto"/>
        </w:rPr>
      </w:pPr>
    </w:p>
    <w:p>
      <w:pPr>
        <w:jc w:val="both"/>
        <w:ind w:left="503" w:hanging="503"/>
        <w:spacing w:after="0" w:line="266" w:lineRule="auto"/>
        <w:tabs>
          <w:tab w:leader="none" w:pos="503"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Amount of Performance Based Benefit</w:t>
      </w:r>
      <w:r>
        <w:rPr>
          <w:rFonts w:ascii="Times New Roman" w:cs="Times New Roman" w:eastAsia="Times New Roman" w:hAnsi="Times New Roman"/>
          <w:sz w:val="18"/>
          <w:szCs w:val="18"/>
          <w:color w:val="auto"/>
        </w:rPr>
        <w:t>. The amount of the Performance Based Benefit shall be the sum of all Performance Based Contributions notionally credited increased by interest credited at 120% of the Applicable Federal Long-Term Rate as of the first day of each quarter (as prescribed under Section 1274(d) of the Code), compounded monthly, computed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453390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877" w:right="339" w:bottom="1440" w:gutter="0" w:footer="0" w:header="0"/>
        </w:sectPr>
      </w:pPr>
    </w:p>
    <w:bookmarkStart w:id="57" w:name="page58"/>
    <w:bookmarkEnd w:id="57"/>
    <w:p>
      <w:pPr>
        <w:ind w:left="1020"/>
        <w:spacing w:after="0"/>
        <w:rPr>
          <w:sz w:val="20"/>
          <w:szCs w:val="20"/>
          <w:color w:val="auto"/>
        </w:rPr>
      </w:pPr>
      <w:r>
        <w:rPr>
          <w:rFonts w:ascii="Times New Roman" w:cs="Times New Roman" w:eastAsia="Times New Roman" w:hAnsi="Times New Roman"/>
          <w:sz w:val="18"/>
          <w:szCs w:val="18"/>
          <w:color w:val="auto"/>
        </w:rPr>
        <w:t>the date of each notional contribution.</w:t>
      </w:r>
    </w:p>
    <w:p>
      <w:pPr>
        <w:spacing w:after="0" w:line="117" w:lineRule="exact"/>
        <w:rPr>
          <w:sz w:val="20"/>
          <w:szCs w:val="20"/>
          <w:color w:val="auto"/>
        </w:rPr>
      </w:pPr>
    </w:p>
    <w:p>
      <w:pPr>
        <w:jc w:val="both"/>
        <w:ind w:left="1020" w:hanging="503"/>
        <w:spacing w:after="0" w:line="254" w:lineRule="auto"/>
        <w:tabs>
          <w:tab w:leader="none" w:pos="1020"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Performance Based Contributions</w:t>
      </w:r>
      <w:r>
        <w:rPr>
          <w:rFonts w:ascii="Times New Roman" w:cs="Times New Roman" w:eastAsia="Times New Roman" w:hAnsi="Times New Roman"/>
          <w:sz w:val="18"/>
          <w:szCs w:val="18"/>
          <w:color w:val="auto"/>
        </w:rPr>
        <w:t>. Performance Based Contributions will be notionally credited to a Performance Eligible Participant on the last day of the Performance Period for which the Committee determines that a Performance Based Contribution shall be credited for such Performance Eligible Participant as described herein. The amount of any Performance Based Contribution credited to a Performance Eligible Participant for any Performance Period shall be the Performance Eligible Participant’s annual base salary paid during the applicable Performance Period, limited to twelve (12) months, plus the award determined to be payable to the Performance Eligible Participant for the Performance Period under the Company’s Executive Annual Incentive Plan (the “EAIP”), if any, multiplied by the applicable percentage set forth below, depending upon the extent to which the Company-wide Performance Objectives for that Performance Period have been achieved under the EAIP:</w:t>
      </w:r>
    </w:p>
    <w:p>
      <w:pPr>
        <w:spacing w:after="0" w:line="17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Under EAIP</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0"/>
        </w:trPr>
        <w:tc>
          <w:tcPr>
            <w:tcW w:w="7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Minimum</w:t>
            </w: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8"/>
                <w:szCs w:val="18"/>
                <w:color w:val="auto"/>
              </w:rPr>
            </w:pPr>
          </w:p>
        </w:tc>
        <w:tc>
          <w:tcPr>
            <w:tcW w:w="14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Threshold</w:t>
            </w: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8"/>
                <w:szCs w:val="18"/>
                <w:color w:val="auto"/>
              </w:rPr>
            </w:pPr>
          </w:p>
        </w:tc>
        <w:tc>
          <w:tcPr>
            <w:tcW w:w="14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14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200%</w:t>
            </w:r>
          </w:p>
        </w:tc>
        <w:tc>
          <w:tcPr>
            <w:tcW w:w="14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28%</w:t>
            </w:r>
          </w:p>
        </w:tc>
      </w:tr>
    </w:tbl>
    <w:p>
      <w:pPr>
        <w:jc w:val="both"/>
        <w:ind w:firstLine="15"/>
        <w:spacing w:after="0" w:line="253" w:lineRule="auto"/>
        <w:rPr>
          <w:sz w:val="20"/>
          <w:szCs w:val="20"/>
          <w:color w:val="auto"/>
        </w:rPr>
      </w:pPr>
      <w:r>
        <w:rPr>
          <w:rFonts w:ascii="Times New Roman" w:cs="Times New Roman" w:eastAsia="Times New Roman" w:hAnsi="Times New Roman"/>
          <w:sz w:val="18"/>
          <w:szCs w:val="18"/>
          <w:color w:val="auto"/>
        </w:rPr>
        <w:t>For achievement of Company-wide Performance Objectives established under the EAIP between the above stated percentages, the percentages below 7% and between the breakpoints up to 28% shall be interpolated, provided, however that the percentage cannot exceed 28%, regardless of the extent to which Company-wide Performance Objectives are achieved under the EAIP. For the avoidance of doubt, a Performance Eligible Participant may be eligible to have both Excess Contributions and Performance Based Contributions notionally credited to him under the terms of the Plan for any Performance Period.</w:t>
      </w:r>
    </w:p>
    <w:p>
      <w:pPr>
        <w:spacing w:after="0" w:line="189" w:lineRule="exact"/>
        <w:rPr>
          <w:sz w:val="20"/>
          <w:szCs w:val="20"/>
          <w:color w:val="auto"/>
        </w:rPr>
      </w:pPr>
    </w:p>
    <w:p>
      <w:pPr>
        <w:ind w:right="20" w:firstLine="1216"/>
        <w:spacing w:after="0" w:line="282" w:lineRule="auto"/>
        <w:tabs>
          <w:tab w:leader="none" w:pos="17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Performance Based Contributions</w:t>
      </w:r>
      <w:r>
        <w:rPr>
          <w:rFonts w:ascii="Times New Roman" w:cs="Times New Roman" w:eastAsia="Times New Roman" w:hAnsi="Times New Roman"/>
          <w:sz w:val="18"/>
          <w:szCs w:val="18"/>
          <w:color w:val="auto"/>
        </w:rPr>
        <w:t>. A Performance Eligible Participant shall vest in his Performance Based Contributions under the Plan in accordance with the following:</w:t>
      </w:r>
    </w:p>
    <w:p>
      <w:pPr>
        <w:spacing w:after="0" w:line="14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of Participation</w:t>
            </w:r>
          </w:p>
        </w:tc>
        <w:tc>
          <w:tcPr>
            <w:tcW w:w="26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7"/>
              </w:rPr>
              <w:t>Vesting Percentage</w:t>
            </w:r>
          </w:p>
        </w:tc>
      </w:tr>
      <w:tr>
        <w:trPr>
          <w:trHeight w:val="218"/>
        </w:trPr>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than 5 years</w:t>
            </w:r>
          </w:p>
        </w:tc>
        <w:tc>
          <w:tcPr>
            <w:tcW w:w="3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top w:val="single" w:sz="8" w:color="auto"/>
            </w:tcBorders>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years</w:t>
            </w: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years</w:t>
            </w: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75%</w:t>
            </w:r>
          </w:p>
        </w:tc>
        <w:tc>
          <w:tcPr>
            <w:tcW w:w="1380" w:type="dxa"/>
            <w:vAlign w:val="bottom"/>
          </w:tcPr>
          <w:p>
            <w:pPr>
              <w:spacing w:after="0"/>
              <w:rPr>
                <w:sz w:val="18"/>
                <w:szCs w:val="18"/>
                <w:color w:val="auto"/>
              </w:rPr>
            </w:pP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years or more</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20"/>
                <w:szCs w:val="20"/>
                <w:color w:val="auto"/>
              </w:rPr>
            </w:pPr>
          </w:p>
        </w:tc>
      </w:tr>
    </w:tbl>
    <w:p>
      <w:pPr>
        <w:jc w:val="both"/>
        <w:ind w:firstLine="15"/>
        <w:spacing w:after="0" w:line="251" w:lineRule="auto"/>
        <w:rPr>
          <w:sz w:val="20"/>
          <w:szCs w:val="20"/>
          <w:color w:val="auto"/>
        </w:rPr>
      </w:pPr>
      <w:r>
        <w:rPr>
          <w:rFonts w:ascii="Times New Roman" w:cs="Times New Roman" w:eastAsia="Times New Roman" w:hAnsi="Times New Roman"/>
          <w:sz w:val="18"/>
          <w:szCs w:val="18"/>
          <w:color w:val="auto"/>
        </w:rPr>
        <w:t>Notwithstanding the above vesting schedule, a Performance Eligible Participant shall become 100% vested in his Performance Based Contributions upon attainment of age 62, regardless of his Years of Participation. A “Year of Participation” shall be the twelve (12) consecutive month period beginning with the date the individual becomes a Performance Eligible Participant and each succeeding twelve (12) month period, provided the individual remains a Performance Eligible Participant. For purposes of determining a Year of Participation, a Performance Eligible Participant shall be credited for each month in which he is a Performance Eligible Participant for one (1) day or more. Upon an individual’s ceasing to be a Performance Eligible Participant, all credit for Years of Participation in the Plan shall cease and any Performance Based Contributions that remain unvested shall be forfeited. A Performance Eligible Participant shall cease to be a Performance Eligible Participant upon his Separation from Service for any reason or as determined in the sole discretion of the Committee. A Performance Eligible Participant shall be credited with full Years of Participation in the Plan and no partial Years of Participation shall be credited. Notwithstanding anything herein to the contrary, a Performance Eligible Participant shall become 100% vested in his Performance Based Contributions in the event of his death or Separation from Service due to Disability while he is a Performance Eligible Participant.</w:t>
      </w:r>
    </w:p>
    <w:p>
      <w:pPr>
        <w:spacing w:after="0" w:line="85" w:lineRule="exact"/>
        <w:rPr>
          <w:sz w:val="20"/>
          <w:szCs w:val="20"/>
          <w:color w:val="auto"/>
        </w:rPr>
      </w:pPr>
    </w:p>
    <w:p>
      <w:pPr>
        <w:jc w:val="both"/>
        <w:ind w:left="1020" w:hanging="503"/>
        <w:spacing w:after="0" w:line="255" w:lineRule="auto"/>
        <w:tabs>
          <w:tab w:leader="none" w:pos="1020"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Time and Form of Payment of Performance Based Contributions</w:t>
      </w:r>
      <w:r>
        <w:rPr>
          <w:rFonts w:ascii="Times New Roman" w:cs="Times New Roman" w:eastAsia="Times New Roman" w:hAnsi="Times New Roman"/>
          <w:sz w:val="18"/>
          <w:szCs w:val="18"/>
          <w:color w:val="auto"/>
        </w:rPr>
        <w:t>. Provided a Performance Eligible Participant has completed at least five (5) Years of Participation in the Plan or has attained age 62 at the time of his Separation from Service, the vested portion of his Performance Based Benefit provided for hereunder shall be paid as a lump sum to the Performance Eligible Participant or his Beneficiary if the Participant is deceased. Notwithstanding the foregoing, in the event of a Performance Eligible Participant’s death or Separation from Service due to Disability, in either case, prior to completion of at least five (5) Years of Participation or attainment of age 62, the vested Performance Based Benefit shall be paid as a lump sum to the Performance Eligible Participant or his Beneficiary if the Participant is deceased. Such lump sum payment will be made within 90 days after death to the Beneficiary, or within 90 days after any Separation from Service if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left="503"/>
        <w:spacing w:after="0" w:line="266" w:lineRule="auto"/>
        <w:rPr>
          <w:sz w:val="20"/>
          <w:szCs w:val="20"/>
          <w:color w:val="auto"/>
        </w:rPr>
      </w:pPr>
      <w:r>
        <w:rPr>
          <w:rFonts w:ascii="Times New Roman" w:cs="Times New Roman" w:eastAsia="Times New Roman" w:hAnsi="Times New Roman"/>
          <w:sz w:val="18"/>
          <w:szCs w:val="18"/>
          <w:color w:val="auto"/>
        </w:rPr>
        <w:t>Eligible Participant is vested in any portion of the Performance Based Contributions and is not a Specified Employee. Any Performance Eligible Participant who is a Specified Employee shall be paid such lump sum on the first business day that is more than six months after the date of Separation from Service.</w:t>
      </w:r>
    </w:p>
    <w:p>
      <w:pPr>
        <w:spacing w:after="0" w:line="68" w:lineRule="exact"/>
        <w:rPr>
          <w:sz w:val="20"/>
          <w:szCs w:val="20"/>
          <w:color w:val="auto"/>
        </w:rPr>
      </w:pPr>
    </w:p>
    <w:p>
      <w:pPr>
        <w:jc w:val="both"/>
        <w:ind w:left="503" w:hanging="503"/>
        <w:spacing w:after="0" w:line="255" w:lineRule="auto"/>
        <w:tabs>
          <w:tab w:leader="none" w:pos="503"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Termination of Plan with Respect to Vested Performance Based Benefits</w:t>
      </w:r>
      <w:r>
        <w:rPr>
          <w:rFonts w:ascii="Times New Roman" w:cs="Times New Roman" w:eastAsia="Times New Roman" w:hAnsi="Times New Roman"/>
          <w:sz w:val="18"/>
          <w:szCs w:val="18"/>
          <w:color w:val="auto"/>
        </w:rPr>
        <w:t>. In addition to its reservations of rights with respect to Excess Benefits as described in Article V, Section 1, the Company reserves the right in its sole and absolute discretion to amend or terminate the Plan at any time by action of its Board of Directors, subject to Article V, provided, however, that no such action shall adversely affect the right of any Performance Eligible Participant or Beneficiary to any vested Performance Based Benefit determined under the provisions of the Plan previously in effect for any period of time that the individual was a Performance Eligible Participant. Further, the provisions of Article V, Section 2 that provide that no termination or amendment of this Plan may accelerate payment of Excess Benefits except under the conditions specified in said Section 2, shall apply to the vested Performance Based Benefits as well.</w:t>
      </w:r>
    </w:p>
    <w:p>
      <w:pPr>
        <w:spacing w:after="0" w:line="80" w:lineRule="exact"/>
        <w:rPr>
          <w:rFonts w:ascii="Times New Roman" w:cs="Times New Roman" w:eastAsia="Times New Roman" w:hAnsi="Times New Roman"/>
          <w:sz w:val="18"/>
          <w:szCs w:val="18"/>
          <w:u w:val="single" w:color="auto"/>
          <w:color w:val="auto"/>
        </w:rPr>
      </w:pPr>
    </w:p>
    <w:p>
      <w:pPr>
        <w:jc w:val="both"/>
        <w:ind w:left="503" w:hanging="503"/>
        <w:spacing w:after="0" w:line="266" w:lineRule="auto"/>
        <w:tabs>
          <w:tab w:leader="none" w:pos="503"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Adoption by Affiliated Employers with Respect to Vested Performance Based Benefits</w:t>
      </w:r>
      <w:r>
        <w:rPr>
          <w:rFonts w:ascii="Times New Roman" w:cs="Times New Roman" w:eastAsia="Times New Roman" w:hAnsi="Times New Roman"/>
          <w:sz w:val="18"/>
          <w:szCs w:val="18"/>
          <w:color w:val="auto"/>
        </w:rPr>
        <w:t>. The withdrawal of any Employer from the Plan pursuant to Article VI shall not affect the right of any Performance Eligible Participant or Beneficiary to any vested Performance Based Benefit for any period of time that the individual was a Performance Eligible Participant.</w:t>
      </w:r>
    </w:p>
    <w:p>
      <w:pPr>
        <w:spacing w:after="0" w:line="67" w:lineRule="exact"/>
        <w:rPr>
          <w:rFonts w:ascii="Times New Roman" w:cs="Times New Roman" w:eastAsia="Times New Roman" w:hAnsi="Times New Roman"/>
          <w:sz w:val="18"/>
          <w:szCs w:val="18"/>
          <w:u w:val="single" w:color="auto"/>
          <w:color w:val="auto"/>
        </w:rPr>
      </w:pPr>
    </w:p>
    <w:p>
      <w:pPr>
        <w:ind w:left="503" w:hanging="503"/>
        <w:spacing w:after="0"/>
        <w:tabs>
          <w:tab w:leader="none" w:pos="503"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Application of Article VII of the Plan</w:t>
      </w:r>
      <w:r>
        <w:rPr>
          <w:rFonts w:ascii="Times New Roman" w:cs="Times New Roman" w:eastAsia="Times New Roman" w:hAnsi="Times New Roman"/>
          <w:sz w:val="18"/>
          <w:szCs w:val="18"/>
          <w:color w:val="auto"/>
        </w:rPr>
        <w:t>. The terms and provisions of Article VII of the Plan shall apply to this Article VIII.</w:t>
      </w:r>
    </w:p>
    <w:p>
      <w:pPr>
        <w:spacing w:after="0" w:line="117" w:lineRule="exact"/>
        <w:rPr>
          <w:rFonts w:ascii="Times New Roman" w:cs="Times New Roman" w:eastAsia="Times New Roman" w:hAnsi="Times New Roman"/>
          <w:sz w:val="18"/>
          <w:szCs w:val="18"/>
          <w:u w:val="single" w:color="auto"/>
          <w:color w:val="auto"/>
        </w:rPr>
      </w:pPr>
    </w:p>
    <w:p>
      <w:pPr>
        <w:ind w:left="503" w:hanging="503"/>
        <w:spacing w:after="0"/>
        <w:tabs>
          <w:tab w:leader="none" w:pos="503"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words and phrases shall have the meanings indicated below:</w:t>
      </w:r>
    </w:p>
    <w:p>
      <w:pPr>
        <w:spacing w:after="0" w:line="117" w:lineRule="exact"/>
        <w:rPr>
          <w:rFonts w:ascii="Times New Roman" w:cs="Times New Roman" w:eastAsia="Times New Roman" w:hAnsi="Times New Roman"/>
          <w:sz w:val="18"/>
          <w:szCs w:val="18"/>
          <w:u w:val="single" w:color="auto"/>
          <w:color w:val="auto"/>
        </w:rPr>
      </w:pPr>
    </w:p>
    <w:p>
      <w:pPr>
        <w:jc w:val="both"/>
        <w:ind w:left="1263" w:hanging="515"/>
        <w:spacing w:after="0" w:line="266" w:lineRule="auto"/>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shall mean the Performance Eligible Participant’s beneficiary under the Savings Plan and if the Performance Eligible Participant is not eligible to participate in the Savings Plan, the beneficiary or beneficiaries designated by the Performance Eligible Participant in the form and manner prescribed by the Company.</w:t>
      </w:r>
    </w:p>
    <w:p>
      <w:pPr>
        <w:spacing w:after="0" w:line="6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Compensation Committee of the Company’s Board of Directors.</w:t>
      </w:r>
    </w:p>
    <w:p>
      <w:pPr>
        <w:spacing w:after="0" w:line="11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“disability” as defined in the Company’s long term disability plan.</w:t>
      </w:r>
    </w:p>
    <w:p>
      <w:pPr>
        <w:spacing w:after="0" w:line="11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Based Benefit” shall mean the benefit payable under this Plan pursuant to Article VIII.</w:t>
      </w:r>
    </w:p>
    <w:p>
      <w:pPr>
        <w:spacing w:after="0" w:line="11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Based Contribution” shall mean the amount of contribution notionally credited pursuant to Section 3 of Article VIII.</w:t>
      </w:r>
    </w:p>
    <w:p>
      <w:pPr>
        <w:spacing w:after="0" w:line="11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Objective” shall have the same meaning as defined in the EAIP.</w:t>
      </w:r>
    </w:p>
    <w:p>
      <w:pPr>
        <w:spacing w:after="0" w:line="117" w:lineRule="exact"/>
        <w:rPr>
          <w:rFonts w:ascii="Times New Roman" w:cs="Times New Roman" w:eastAsia="Times New Roman" w:hAnsi="Times New Roman"/>
          <w:sz w:val="18"/>
          <w:szCs w:val="18"/>
          <w:color w:val="auto"/>
        </w:rPr>
      </w:pPr>
    </w:p>
    <w:p>
      <w:pPr>
        <w:ind w:left="1263" w:hanging="515"/>
        <w:spacing w:after="0"/>
        <w:tabs>
          <w:tab w:leader="none" w:pos="12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shall have the same meaning as defined in the EAIP.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87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June 30, 2024, guarantors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senior notes due 2025, 5% senior notes due 2026, 4.875% senior notes due 2027, 5% senior notes due 2029, 5.25% senior notes due April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 senior notes due July 2031 and 5.625% senior notes due 2033: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4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1208"/>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225" w:lineRule="exact"/>
        <w:rPr>
          <w:sz w:val="20"/>
          <w:szCs w:val="20"/>
          <w:color w:val="auto"/>
        </w:rPr>
      </w:pPr>
    </w:p>
    <w:p>
      <w:pPr>
        <w:ind w:left="460" w:hanging="43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3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225" w:lineRule="exact"/>
        <w:rPr>
          <w:sz w:val="20"/>
          <w:szCs w:val="20"/>
          <w:color w:val="auto"/>
        </w:rPr>
      </w:pPr>
    </w:p>
    <w:p>
      <w:pPr>
        <w:ind w:left="460" w:hanging="439"/>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2024, as filed with the Securities and Exchange Commission (the “10-Q Report”) that to their knowledge:</w:t>
      </w:r>
    </w:p>
    <w:p>
      <w:pPr>
        <w:spacing w:after="0" w:line="176" w:lineRule="exact"/>
        <w:rPr>
          <w:sz w:val="20"/>
          <w:szCs w:val="20"/>
          <w:color w:val="auto"/>
        </w:rPr>
      </w:pPr>
    </w:p>
    <w:p>
      <w:pPr>
        <w:ind w:left="940" w:hanging="514"/>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940" w:right="20" w:hanging="514"/>
        <w:spacing w:after="0" w:line="282"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 2024</w:t>
            </w:r>
          </w:p>
        </w:tc>
        <w:tc>
          <w:tcPr>
            <w:tcW w:w="69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Stewart</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9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 2024</w:t>
            </w:r>
          </w:p>
        </w:tc>
        <w:tc>
          <w:tcPr>
            <w:tcW w:w="69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L. Zamarro</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1640"/>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lowerRoman"/>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22"/>
    </w:lvl>
  </w:abstractNum>
  <w:abstractNum w:abstractNumId="14">
    <w:nsid w:val="8EDBDAB"/>
    <w:multiLevelType w:val="hybridMultilevel"/>
    <w:lvl w:ilvl="0">
      <w:lvlJc w:val="left"/>
      <w:lvlText w:val="%1"/>
      <w:numFmt w:val="decimal"/>
      <w:start w:val="31"/>
    </w:lvl>
  </w:abstractNum>
  <w:abstractNum w:abstractNumId="15">
    <w:nsid w:val="79838CB2"/>
    <w:multiLevelType w:val="hybridMultilevel"/>
    <w:lvl w:ilvl="0">
      <w:lvlJc w:val="left"/>
      <w:lvlText w:val="%1"/>
      <w:numFmt w:val="decimal"/>
      <w:start w:val="32"/>
    </w:lvl>
  </w:abstractNum>
  <w:abstractNum w:abstractNumId="16">
    <w:nsid w:val="4353D0CD"/>
    <w:multiLevelType w:val="hybridMultilevel"/>
    <w:lvl w:ilvl="0">
      <w:lvlJc w:val="left"/>
      <w:lvlText w:val="%1"/>
      <w:numFmt w:val="decimal"/>
      <w:start w:val="104"/>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3"/>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3"/>
    </w:lvl>
    <w:lvl w:ilvl="1">
      <w:lvlJc w:val="left"/>
      <w:lvlText w:val="%2)"/>
      <w:numFmt w:val="lowerLetter"/>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4"/>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decimal"/>
      <w:start w:val="6"/>
    </w:lvl>
    <w:lvl w:ilvl="1">
      <w:lvlJc w:val="left"/>
      <w:lvlText w:val="(%2)"/>
      <w:numFmt w:val="lowerRoman"/>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2024-08-01T09:30:37Z</dcterms:created>
  <dcterms:modified xsi:type="dcterms:W3CDTF">2024-08-01T09:30:37Z</dcterms:modified>
</cp:coreProperties>
</file>