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2"/>
              </w:rPr>
              <w:t>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16"/>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(State or Other Jurisdiction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1"/>
              </w:rPr>
              <w:t>200 Innovation Way, Akron, 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29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r>
      <w:tr>
        <w:trPr>
          <w:trHeight w:val="283"/>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9"/>
              </w:rPr>
              <w:t>Symbol(s)</w:t>
            </w:r>
          </w:p>
        </w:tc>
        <w:tc>
          <w:tcPr>
            <w:tcW w:w="3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GT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r>
    </w:tbl>
    <w:p>
      <w:pPr>
        <w:spacing w:after="0" w:line="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p>
      <w:pPr>
        <w:ind w:left="220"/>
        <w:spacing w:after="0" w:line="207" w:lineRule="exact"/>
        <w:tabs>
          <w:tab w:leader="none" w:pos="2060" w:val="left"/>
          <w:tab w:leader="none" w:pos="2660" w:val="left"/>
          <w:tab w:leader="none" w:pos="4320" w:val="left"/>
          <w:tab w:leader="none" w:pos="4760" w:val="left"/>
          <w:tab w:leader="none" w:pos="65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4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3040" w:type="dxa"/>
            <w:vAlign w:val="bottom"/>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Without Par Value, Outstanding at March 31, 2021:</w:t>
            </w:r>
          </w:p>
        </w:tc>
        <w:tc>
          <w:tcPr>
            <w:tcW w:w="3040" w:type="dxa"/>
            <w:vAlign w:val="bottom"/>
          </w:tcPr>
          <w:p>
            <w:pPr>
              <w:jc w:val="right"/>
              <w:spacing w:after="0"/>
              <w:rPr>
                <w:sz w:val="20"/>
                <w:szCs w:val="20"/>
                <w:color w:val="auto"/>
              </w:rPr>
            </w:pPr>
            <w:r>
              <w:rPr>
                <w:rFonts w:ascii="Arial" w:cs="Arial" w:eastAsia="Arial" w:hAnsi="Arial"/>
                <w:sz w:val="18"/>
                <w:szCs w:val="18"/>
                <w:color w:val="auto"/>
              </w:rPr>
              <w:t>234,980,029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9" w:lineRule="exact"/>
        <w:rPr>
          <w:sz w:val="20"/>
          <w:szCs w:val="20"/>
          <w:color w:val="auto"/>
        </w:rPr>
      </w:pPr>
    </w:p>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ind w:left="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ind w:left="5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left="520" w:right="59"/>
        <w:spacing w:after="0" w:line="250"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EX-22.1</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EX-31.1</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EX-31.2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EX-32.1</w:t>
        </w:r>
      </w:hyperlink>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EX-101.INS INSTANCE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EX-101.SCH SCHEMA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EX-101.CAL CALCULATION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EX-101.DEF DEFINITION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EX-101.LAB LABELS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EX-101.PRE PRESENTATION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58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2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2020</w:t>
            </w: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Sales (Note 2)</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3,511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3,056</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2,751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2,552</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581</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Goodwill Impairment</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182</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Rationalizations (Note 3)</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73</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(Note 4)</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 and Foreign Tax Expense (Note 5)</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249</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Minority Shareholders’ Net Income</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Goodyear Net Income (Loss)</w:t>
            </w:r>
          </w:p>
        </w:tc>
        <w:tc>
          <w:tcPr>
            <w:tcW w:w="12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1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8"/>
                <w:szCs w:val="18"/>
                <w:b w:val="1"/>
                <w:bCs w:val="1"/>
                <w:color w:val="auto"/>
              </w:rPr>
              <w:t>Basic</w:t>
            </w:r>
          </w:p>
        </w:tc>
        <w:tc>
          <w:tcPr>
            <w:tcW w:w="16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b w:val="1"/>
                <w:bCs w:val="1"/>
                <w:color w:val="auto"/>
              </w:rPr>
              <w:t>0.05</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r>
      <w:tr>
        <w:trPr>
          <w:trHeight w:val="210"/>
        </w:trPr>
        <w:tc>
          <w:tcPr>
            <w:tcW w:w="5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1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r>
        <w:trPr>
          <w:trHeight w:val="270"/>
        </w:trPr>
        <w:tc>
          <w:tcPr>
            <w:tcW w:w="5860" w:type="dxa"/>
            <w:vAlign w:val="bottom"/>
          </w:tcPr>
          <w:p>
            <w:pPr>
              <w:ind w:left="140"/>
              <w:spacing w:after="0"/>
              <w:rPr>
                <w:sz w:val="20"/>
                <w:szCs w:val="20"/>
                <w:color w:val="auto"/>
              </w:rPr>
            </w:pPr>
            <w:r>
              <w:rPr>
                <w:rFonts w:ascii="Arial" w:cs="Arial" w:eastAsia="Arial" w:hAnsi="Arial"/>
                <w:sz w:val="18"/>
                <w:szCs w:val="18"/>
                <w:b w:val="1"/>
                <w:bCs w:val="1"/>
                <w:color w:val="auto"/>
              </w:rPr>
              <w:t>Diluted</w:t>
            </w:r>
          </w:p>
        </w:tc>
        <w:tc>
          <w:tcPr>
            <w:tcW w:w="16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b w:val="1"/>
                <w:bCs w:val="1"/>
                <w:color w:val="auto"/>
              </w:rPr>
              <w:t>0.05</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r>
      <w:tr>
        <w:trPr>
          <w:trHeight w:val="210"/>
        </w:trPr>
        <w:tc>
          <w:tcPr>
            <w:tcW w:w="5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1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6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net of tax of ($1) in 2021 (($8) in 2020)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Defined benefit plans: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5"/>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4"/>
              </w:rPr>
              <w:t>Amortization of prior service cost and unrecognized gains and losses included in total</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benefit cost, net of tax of $9 in 2021 ($9 in 2020)</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r>
      <w:tr>
        <w:trPr>
          <w:trHeight w:val="229"/>
        </w:trPr>
        <w:tc>
          <w:tcPr>
            <w:tcW w:w="6920" w:type="dxa"/>
            <w:vAlign w:val="bottom"/>
          </w:tcPr>
          <w:p>
            <w:pPr>
              <w:ind w:left="500"/>
              <w:spacing w:after="0"/>
              <w:rPr>
                <w:sz w:val="20"/>
                <w:szCs w:val="20"/>
                <w:color w:val="auto"/>
              </w:rPr>
            </w:pPr>
            <w:r>
              <w:rPr>
                <w:rFonts w:ascii="Arial" w:cs="Arial" w:eastAsia="Arial" w:hAnsi="Arial"/>
                <w:sz w:val="18"/>
                <w:szCs w:val="18"/>
                <w:color w:val="auto"/>
              </w:rPr>
              <w:t>Decrease/(increase) in net actuarial losses, net of tax of $3 in 2021 ($0 in 2020)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4"/>
              </w:rPr>
              <w:t>Immediate recognition of prior service cost and unrecognized gains and losses due to</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curtailments, settlements and divestitures, net of tax of $0 in 2021 (($1) in 2020)</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Deferred derivative gains, net of tax of $0 in 2021 ($5 in 2020)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15"/>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3"/>
              </w:rPr>
              <w:t>Reclassification adjustment for amounts recognized in income, net of tax of $0 in 2021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($0 in 2020)</w:t>
            </w:r>
          </w:p>
        </w:tc>
        <w:tc>
          <w:tcPr>
            <w:tcW w:w="14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(803)</w:t>
            </w:r>
          </w:p>
        </w:tc>
      </w:tr>
      <w:tr>
        <w:trPr>
          <w:trHeight w:val="229"/>
        </w:trPr>
        <w:tc>
          <w:tcPr>
            <w:tcW w:w="6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Goodyear Comprehensive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(796)</w:t>
            </w: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0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share data)</w:t>
            </w:r>
          </w:p>
        </w:tc>
        <w:tc>
          <w:tcPr>
            <w:tcW w:w="9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1,223</w:t>
            </w:r>
          </w:p>
        </w:tc>
        <w:tc>
          <w:tcPr>
            <w:tcW w:w="1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1,539</w:t>
            </w: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Accounts Receivable, less Allowance — $144 ($150 in 2020)</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1,691</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80" w:type="dxa"/>
            <w:vAlign w:val="bottom"/>
          </w:tcPr>
          <w:p>
            <w:pPr>
              <w:ind w:left="260"/>
              <w:spacing w:after="0"/>
              <w:rPr>
                <w:sz w:val="20"/>
                <w:szCs w:val="20"/>
                <w:color w:val="auto"/>
              </w:rPr>
            </w:pPr>
            <w:r>
              <w:rPr>
                <w:rFonts w:ascii="Arial" w:cs="Arial" w:eastAsia="Arial" w:hAnsi="Arial"/>
                <w:sz w:val="16"/>
                <w:szCs w:val="16"/>
                <w:color w:val="auto"/>
              </w:rPr>
              <w:t>Raw Materials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517</w:t>
            </w:r>
          </w:p>
        </w:tc>
      </w:tr>
      <w:tr>
        <w:trPr>
          <w:trHeight w:val="219"/>
        </w:trPr>
        <w:tc>
          <w:tcPr>
            <w:tcW w:w="7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 in Process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w:t>
            </w:r>
          </w:p>
        </w:tc>
      </w:tr>
      <w:tr>
        <w:trPr>
          <w:trHeight w:val="213"/>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Finished Products</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1,638</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1,493</w:t>
            </w:r>
          </w:p>
        </w:tc>
      </w:tr>
      <w:tr>
        <w:trPr>
          <w:trHeight w:val="213"/>
        </w:trPr>
        <w:tc>
          <w:tcPr>
            <w:tcW w:w="7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2,153</w:t>
            </w:r>
          </w:p>
        </w:tc>
      </w:tr>
      <w:tr>
        <w:trPr>
          <w:trHeight w:val="213"/>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r>
      <w:tr>
        <w:trPr>
          <w:trHeight w:val="213"/>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5,948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5,620</w:t>
            </w: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408</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1,467</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952</w:t>
            </w: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851</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less Accumulated Depreciation — $10,935 ($10,991 in 2020)</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7,073</w:t>
            </w:r>
          </w:p>
        </w:tc>
      </w:tr>
      <w:tr>
        <w:trPr>
          <w:trHeight w:val="247"/>
        </w:trPr>
        <w:tc>
          <w:tcPr>
            <w:tcW w:w="7080" w:type="dxa"/>
            <w:vAlign w:val="bottom"/>
            <w:tcBorders>
              <w:bottom w:val="single" w:sz="8" w:color="CFF0FC"/>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9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16,569</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16,506</w:t>
            </w:r>
          </w:p>
        </w:tc>
      </w:tr>
      <w:tr>
        <w:trPr>
          <w:trHeight w:val="199"/>
        </w:trPr>
        <w:tc>
          <w:tcPr>
            <w:tcW w:w="70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3,037</w:t>
            </w:r>
          </w:p>
        </w:tc>
        <w:tc>
          <w:tcPr>
            <w:tcW w:w="18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2,945</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Compensation and Benefits (Notes 10 and 11)</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865</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 Payable and Overdrafts (Note 8)</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406</w:t>
            </w: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Operating Lease Liabilities due Within One Year</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and Finance Leases due Within One Year (Note 8)</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w:t>
            </w:r>
          </w:p>
        </w:tc>
      </w:tr>
      <w:tr>
        <w:trPr>
          <w:trHeight w:val="207"/>
        </w:trPr>
        <w:tc>
          <w:tcPr>
            <w:tcW w:w="708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5,333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5,106</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684</w:t>
            </w: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Long Term Debt and Finance Leases (Note 8)</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5,432</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(Notes 10 and 11)</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1,470</w:t>
            </w: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Other Long Term Liabilities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471</w:t>
            </w:r>
          </w:p>
        </w:tc>
      </w:tr>
      <w:tr>
        <w:trPr>
          <w:trHeight w:val="207"/>
        </w:trPr>
        <w:tc>
          <w:tcPr>
            <w:tcW w:w="708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13,283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13,247</w:t>
            </w: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Contingent Liabilities (Note 12)</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Common Stock, no par value: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7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Authorized, 450 million shares, Outstanding shares — 235 million in 2021</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2"/>
        </w:trPr>
        <w:tc>
          <w:tcPr>
            <w:tcW w:w="7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(233 million in 2020)</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Capital Surplus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2,171</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Retained Earnings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4,809</w:t>
            </w:r>
          </w:p>
        </w:tc>
      </w:tr>
      <w:tr>
        <w:trPr>
          <w:trHeight w:val="213"/>
        </w:trPr>
        <w:tc>
          <w:tcPr>
            <w:tcW w:w="70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r>
      <w:tr>
        <w:trPr>
          <w:trHeight w:val="213"/>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3,106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3,078</w:t>
            </w:r>
          </w:p>
        </w:tc>
      </w:tr>
      <w:tr>
        <w:trPr>
          <w:trHeight w:val="213"/>
        </w:trPr>
        <w:tc>
          <w:tcPr>
            <w:tcW w:w="7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Minority Shareholders’ Equity — Nonredeemable</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r>
      <w:tr>
        <w:trPr>
          <w:trHeight w:val="213"/>
        </w:trPr>
        <w:tc>
          <w:tcPr>
            <w:tcW w:w="708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Shareholders’ Equity</w:t>
            </w:r>
          </w:p>
        </w:tc>
        <w:tc>
          <w:tcPr>
            <w:tcW w:w="9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3,286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3,259</w:t>
            </w:r>
          </w:p>
        </w:tc>
      </w:tr>
      <w:tr>
        <w:trPr>
          <w:trHeight w:val="207"/>
        </w:trPr>
        <w:tc>
          <w:tcPr>
            <w:tcW w:w="708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Shareholders’ Equity</w:t>
            </w:r>
          </w:p>
        </w:tc>
        <w:tc>
          <w:tcPr>
            <w:tcW w:w="98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16,569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16,506</w:t>
            </w:r>
          </w:p>
        </w:tc>
      </w:tr>
      <w:tr>
        <w:trPr>
          <w:trHeight w:val="20"/>
        </w:trPr>
        <w:tc>
          <w:tcPr>
            <w:tcW w:w="7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Minority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Goodyear</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Shareholders'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8"/>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1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gridSpan w:val="8"/>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14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1"/>
              </w:rPr>
              <w:t>Surplus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Equity</w:t>
            </w:r>
          </w:p>
        </w:tc>
        <w:tc>
          <w:tcPr>
            <w:tcW w:w="104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14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4"/>
                <w:szCs w:val="14"/>
                <w:color w:val="auto"/>
              </w:rPr>
              <w:t>(after deducting 45,243,329 common treasury shares)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233,220,098</w:t>
            </w:r>
          </w:p>
        </w:tc>
        <w:tc>
          <w:tcPr>
            <w:tcW w:w="26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2,171</w:t>
            </w:r>
          </w:p>
        </w:tc>
        <w:tc>
          <w:tcPr>
            <w:tcW w:w="280" w:type="dxa"/>
            <w:vAlign w:val="bottom"/>
            <w:gridSpan w:val="3"/>
          </w:tcPr>
          <w:p>
            <w:pPr>
              <w:ind w:lef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4,809</w:t>
            </w:r>
          </w:p>
        </w:tc>
        <w:tc>
          <w:tcPr>
            <w:tcW w:w="80" w:type="dxa"/>
            <w:vAlign w:val="bottom"/>
          </w:tcPr>
          <w:p>
            <w:pPr>
              <w:spacing w:after="0"/>
              <w:rPr>
                <w:sz w:val="14"/>
                <w:szCs w:val="14"/>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(4,135)</w:t>
            </w:r>
          </w:p>
        </w:tc>
        <w:tc>
          <w:tcPr>
            <w:tcW w:w="40" w:type="dxa"/>
            <w:vAlign w:val="bottom"/>
          </w:tcPr>
          <w:p>
            <w:pPr>
              <w:spacing w:after="0"/>
              <w:rPr>
                <w:sz w:val="14"/>
                <w:szCs w:val="14"/>
                <w:color w:val="auto"/>
              </w:rPr>
            </w:pPr>
          </w:p>
        </w:tc>
        <w:tc>
          <w:tcPr>
            <w:tcW w:w="160" w:type="dxa"/>
            <w:vAlign w:val="bottom"/>
            <w:gridSpan w:val="3"/>
          </w:tcPr>
          <w:p>
            <w:pPr>
              <w:ind w:left="8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3,078</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3,259</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jc w:val="right"/>
              <w:ind w:right="8"/>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4"/>
                <w:szCs w:val="14"/>
                <w:color w:val="auto"/>
              </w:rPr>
              <w:t>Stock-based compensation plans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from treasury</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1,759,931</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(after deducting 43,483,398 common treasury shares)</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234,980,029</w:t>
            </w:r>
          </w:p>
        </w:tc>
        <w:tc>
          <w:tcPr>
            <w:tcW w:w="26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235</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2,182</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4,821</w:t>
            </w:r>
          </w:p>
        </w:tc>
        <w:tc>
          <w:tcPr>
            <w:tcW w:w="80" w:type="dxa"/>
            <w:vAlign w:val="bottom"/>
            <w:shd w:val="clear" w:color="auto" w:fill="CFF0FC"/>
          </w:tcPr>
          <w:p>
            <w:pPr>
              <w:spacing w:after="0"/>
              <w:rPr>
                <w:sz w:val="14"/>
                <w:szCs w:val="14"/>
                <w:color w:val="auto"/>
              </w:rPr>
            </w:pPr>
          </w:p>
        </w:tc>
        <w:tc>
          <w:tcPr>
            <w:tcW w:w="22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(4,132)</w:t>
            </w:r>
          </w:p>
        </w:tc>
        <w:tc>
          <w:tcPr>
            <w:tcW w:w="40" w:type="dxa"/>
            <w:vAlign w:val="bottom"/>
            <w:shd w:val="clear" w:color="auto" w:fill="CFF0FC"/>
          </w:tcPr>
          <w:p>
            <w:pPr>
              <w:spacing w:after="0"/>
              <w:rPr>
                <w:sz w:val="14"/>
                <w:szCs w:val="14"/>
                <w:color w:val="auto"/>
              </w:rPr>
            </w:pPr>
          </w:p>
        </w:tc>
        <w:tc>
          <w:tcPr>
            <w:tcW w:w="160" w:type="dxa"/>
            <w:vAlign w:val="bottom"/>
            <w:gridSpan w:val="3"/>
            <w:shd w:val="clear" w:color="auto" w:fill="CFF0FC"/>
          </w:tcPr>
          <w:p>
            <w:pPr>
              <w:ind w:left="80"/>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3,106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180</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3,286</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Minority</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Goodyear</w:t>
            </w: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Shareholders'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1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Shareholders'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gridSpan w:val="5"/>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6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Surplus</w:t>
            </w:r>
          </w:p>
        </w:tc>
        <w:tc>
          <w:tcPr>
            <w:tcW w:w="840" w:type="dxa"/>
            <w:vAlign w:val="bottom"/>
            <w:gridSpan w:val="5"/>
          </w:tcPr>
          <w:p>
            <w:pPr>
              <w:ind w:left="100"/>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4"/>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Redeemable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4"/>
                <w:szCs w:val="14"/>
                <w:color w:val="auto"/>
              </w:rPr>
              <w:t>(after deducting 45,813,109 common treasury shares)</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232,650,318</w:t>
            </w:r>
          </w:p>
        </w:tc>
        <w:tc>
          <w:tcPr>
            <w:tcW w:w="60" w:type="dxa"/>
            <w:vAlign w:val="bottom"/>
          </w:tcPr>
          <w:p>
            <w:pPr>
              <w:spacing w:after="0"/>
              <w:rPr>
                <w:sz w:val="14"/>
                <w:szCs w:val="14"/>
                <w:color w:val="auto"/>
              </w:rPr>
            </w:pPr>
          </w:p>
        </w:tc>
        <w:tc>
          <w:tcPr>
            <w:tcW w:w="140" w:type="dxa"/>
            <w:vAlign w:val="bottom"/>
            <w:gridSpan w:val="3"/>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233</w:t>
            </w:r>
          </w:p>
        </w:tc>
        <w:tc>
          <w:tcPr>
            <w:tcW w:w="100" w:type="dxa"/>
            <w:vAlign w:val="bottom"/>
          </w:tcPr>
          <w:p>
            <w:pPr>
              <w:spacing w:after="0"/>
              <w:rPr>
                <w:sz w:val="14"/>
                <w:szCs w:val="14"/>
                <w:color w:val="auto"/>
              </w:rPr>
            </w:pPr>
          </w:p>
        </w:tc>
        <w:tc>
          <w:tcPr>
            <w:tcW w:w="80" w:type="dxa"/>
            <w:vAlign w:val="bottom"/>
            <w:gridSpan w:val="2"/>
          </w:tcPr>
          <w:p>
            <w:pPr>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2,141</w:t>
            </w:r>
          </w:p>
        </w:tc>
        <w:tc>
          <w:tcPr>
            <w:tcW w:w="280" w:type="dxa"/>
            <w:vAlign w:val="bottom"/>
            <w:gridSpan w:val="3"/>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6,113</w:t>
            </w:r>
          </w:p>
        </w:tc>
        <w:tc>
          <w:tcPr>
            <w:tcW w:w="80" w:type="dxa"/>
            <w:vAlign w:val="bottom"/>
          </w:tcPr>
          <w:p>
            <w:pPr>
              <w:spacing w:after="0"/>
              <w:rPr>
                <w:sz w:val="14"/>
                <w:szCs w:val="14"/>
                <w:color w:val="auto"/>
              </w:rPr>
            </w:pPr>
          </w:p>
        </w:tc>
        <w:tc>
          <w:tcPr>
            <w:tcW w:w="2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(4,136)</w:t>
            </w:r>
          </w:p>
        </w:tc>
        <w:tc>
          <w:tcPr>
            <w:tcW w:w="40" w:type="dxa"/>
            <w:vAlign w:val="bottom"/>
          </w:tcPr>
          <w:p>
            <w:pPr>
              <w:spacing w:after="0"/>
              <w:rPr>
                <w:sz w:val="14"/>
                <w:szCs w:val="14"/>
                <w:color w:val="auto"/>
              </w:rPr>
            </w:pPr>
          </w:p>
        </w:tc>
        <w:tc>
          <w:tcPr>
            <w:tcW w:w="160" w:type="dxa"/>
            <w:vAlign w:val="bottom"/>
            <w:gridSpan w:val="3"/>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4,351</w:t>
            </w: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194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4,545</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(177)</w:t>
            </w:r>
          </w:p>
        </w:tc>
        <w:tc>
          <w:tcPr>
            <w:tcW w:w="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(796)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4"/>
                <w:szCs w:val="14"/>
                <w:color w:val="auto"/>
              </w:rPr>
              <w:t>Adoption of new accounting standards update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 plans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347,232</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(after deducting 45,465,877 common treasury shares)</w:t>
            </w:r>
          </w:p>
        </w:tc>
        <w:tc>
          <w:tcPr>
            <w:tcW w:w="9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232,997,550</w:t>
            </w:r>
          </w:p>
        </w:tc>
        <w:tc>
          <w:tcPr>
            <w:tcW w:w="60" w:type="dxa"/>
            <w:vAlign w:val="bottom"/>
            <w:shd w:val="clear" w:color="auto" w:fill="CFF0FC"/>
          </w:tcPr>
          <w:p>
            <w:pPr>
              <w:spacing w:after="0"/>
              <w:rPr>
                <w:sz w:val="14"/>
                <w:szCs w:val="14"/>
                <w:color w:val="auto"/>
              </w:rPr>
            </w:pPr>
          </w:p>
        </w:tc>
        <w:tc>
          <w:tcPr>
            <w:tcW w:w="14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5"/>
              </w:rPr>
              <w:t>233</w:t>
            </w:r>
          </w:p>
        </w:tc>
        <w:tc>
          <w:tcPr>
            <w:tcW w:w="100" w:type="dxa"/>
            <w:vAlign w:val="bottom"/>
            <w:shd w:val="clear" w:color="auto" w:fill="CFF0FC"/>
          </w:tcPr>
          <w:p>
            <w:pPr>
              <w:spacing w:after="0"/>
              <w:rPr>
                <w:sz w:val="14"/>
                <w:szCs w:val="14"/>
                <w:color w:val="auto"/>
              </w:rPr>
            </w:pPr>
          </w:p>
        </w:tc>
        <w:tc>
          <w:tcPr>
            <w:tcW w:w="8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2,146</w:t>
            </w:r>
          </w:p>
        </w:tc>
        <w:tc>
          <w:tcPr>
            <w:tcW w:w="280" w:type="dxa"/>
            <w:vAlign w:val="bottom"/>
            <w:gridSpan w:val="3"/>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96"/>
              </w:rPr>
              <w:t>5,444</w:t>
            </w:r>
          </w:p>
        </w:tc>
        <w:tc>
          <w:tcPr>
            <w:tcW w:w="80" w:type="dxa"/>
            <w:vAlign w:val="bottom"/>
            <w:shd w:val="clear" w:color="auto" w:fill="CFF0FC"/>
          </w:tcPr>
          <w:p>
            <w:pPr>
              <w:spacing w:after="0"/>
              <w:rPr>
                <w:sz w:val="14"/>
                <w:szCs w:val="14"/>
                <w:color w:val="auto"/>
              </w:rPr>
            </w:pPr>
          </w:p>
        </w:tc>
        <w:tc>
          <w:tcPr>
            <w:tcW w:w="22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(4,313)</w:t>
            </w:r>
          </w:p>
        </w:tc>
        <w:tc>
          <w:tcPr>
            <w:tcW w:w="40" w:type="dxa"/>
            <w:vAlign w:val="bottom"/>
            <w:shd w:val="clear" w:color="auto" w:fill="CFF0FC"/>
          </w:tcPr>
          <w:p>
            <w:pPr>
              <w:spacing w:after="0"/>
              <w:rPr>
                <w:sz w:val="14"/>
                <w:szCs w:val="14"/>
                <w:color w:val="auto"/>
              </w:rPr>
            </w:pPr>
          </w:p>
        </w:tc>
        <w:tc>
          <w:tcPr>
            <w:tcW w:w="160" w:type="dxa"/>
            <w:vAlign w:val="bottom"/>
            <w:gridSpan w:val="3"/>
            <w:shd w:val="clear" w:color="auto" w:fill="CFF0FC"/>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3,510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187</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3,697</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declared and paid cash dividends of $0.00 and $0.16 for the three months ended March 31, 2021 and 2020,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4"/>
                <w:szCs w:val="14"/>
                <w:color w:val="auto"/>
              </w:rPr>
            </w:pPr>
          </w:p>
        </w:tc>
      </w:tr>
      <w:tr>
        <w:trPr>
          <w:trHeight w:val="171"/>
        </w:trPr>
        <w:tc>
          <w:tcPr>
            <w:tcW w:w="6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2020</w:t>
            </w:r>
          </w:p>
        </w:tc>
      </w:tr>
      <w:tr>
        <w:trPr>
          <w:trHeight w:val="20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0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18</w:t>
            </w:r>
          </w:p>
        </w:tc>
        <w:tc>
          <w:tcPr>
            <w:tcW w:w="180" w:type="dxa"/>
            <w:vAlign w:val="bottom"/>
          </w:tcPr>
          <w:p>
            <w:pPr>
              <w:spacing w:after="0"/>
              <w:rPr>
                <w:sz w:val="18"/>
                <w:szCs w:val="18"/>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(617)</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196</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and Write-Off of Debt Issuance Costs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Goodwill Impairment</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182</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Deferred Income Taxes (Note 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Net Pension Curtailments and Settlements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Rationalization Charges (Note 3)</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Rationalization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(Gains) Losses on Asset Sales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Operating Lease Expense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Payments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Pension Contributions and Direct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 and Benefits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and Liabilities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Operating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(561)</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Securities Acquired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Securities Redeemed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 Receivable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 Transactions</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2"/>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Total Cash Flows from Investing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(257)</w:t>
            </w:r>
          </w:p>
        </w:tc>
      </w:tr>
      <w:tr>
        <w:trPr>
          <w:trHeight w:val="213"/>
        </w:trPr>
        <w:tc>
          <w:tcPr>
            <w:tcW w:w="69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Debt and Overdrafts Incurred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629</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Debt and Overdrafts Paid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Incurred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2,188</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Long Term Debt Paid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Issued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Common Stock Dividends Paid (Note 13)</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Debt Related Costs and Other Transactions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Financing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939</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62</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108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1,036</w:t>
            </w:r>
          </w:p>
        </w:tc>
      </w:tr>
      <w:tr>
        <w:trPr>
          <w:trHeight w:val="20"/>
        </w:trPr>
        <w:tc>
          <w:tcPr>
            <w:tcW w:w="6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2020 (the “2020 Form 10-K”).</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2021 are not necessarily indicative of the results expected in subsequent quarters or for the year ending December 31, 2021.</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22, 2021, we entered into an Agreement and Plan of Merger (the “Merger Agreement”) by and among Goodyear, Cooper Tire &amp; Rubber Company (“Cooper Tire”) and Vulcan Merger Sub Inc., a direct, wholly owned subsidiary of Goodyear (“Merger Sub”), pursuant to which and subject to the satisfaction or waiver of the conditions set forth in the Merger Agreement, Goodyear will acquire Cooper Tire by way of the merger of Merger Sub with and into Cooper Tire (the “Merger”), with Cooper Tire surviving such Merger as a wholly owned subsidiary of Goodyear. Under the terms of the Merger Agreement, at the closing of the Merger, Cooper Tire stockholders will be entitled to receive $41.75 per share in cash and a fixed exchange ratio of 0.907 shares of Goodyear common stock per share of Cooper Tire common stock. We expect to complete the Merger in the second half of 2021, however the transaction could close earlier, following and subject to the satisfaction of customary closing conditions, including receipt of required regulatory approvals and the approval of Cooper Tire’s stockholders. Neither our consolidated balance sheet nor our operating results or cash flows, as of and for the three months ended March 31, 2021, reflect the impact of the Merger as the transaction has not been completed.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2021, we adopted an accounting standards update which eliminates differences in practice among fair value accounting for investments in equity securities, equity method investments and certain derivative instruments. The adoption of this standards update did not have a material impact on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152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2020</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971</w:t>
            </w:r>
          </w:p>
        </w:tc>
      </w:tr>
      <w:tr>
        <w:trPr>
          <w:trHeight w:val="22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65</w:t>
            </w: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1,272</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1,036</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Cash, which is included in Prepaid Expenses and Other Current Assets in the Consolidated Balance Sheets, primarily represents amounts required to be set aside in connection with accounts receivable factoring programs. The restrictions lapse when cash from factored accounts receivable is remitted to the purchaser of those receivables.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 Additionally, in the first quarter of 2021, we recorded out of period adjustments totaling $20 million of expense, primarily related to the valuation of inventory in Americas. The adjustments relate to the years, and interim periods therein, of 2016 to 2020, with the majority attributable to 2019 and 2020. The adjustments did not have a material effect on any of the periods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1,394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1,122</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2,970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241</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180</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113</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7</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1,787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1,231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3,511</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 2020</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6"/>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and Africa</w:t>
            </w:r>
          </w:p>
        </w:tc>
        <w:tc>
          <w:tcPr>
            <w:tcW w:w="240" w:type="dxa"/>
            <w:vAlign w:val="bottom"/>
          </w:tcPr>
          <w:p>
            <w:pPr>
              <w:spacing w:after="0"/>
              <w:rPr>
                <w:sz w:val="14"/>
                <w:szCs w:val="1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1,306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904</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2,553</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246</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163</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Chemical sales</w:t>
            </w:r>
          </w:p>
        </w:tc>
        <w:tc>
          <w:tcPr>
            <w:tcW w:w="2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91</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w:t>
            </w: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1,673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ind w:right="36"/>
              <w:spacing w:after="0"/>
              <w:rPr>
                <w:sz w:val="20"/>
                <w:szCs w:val="20"/>
                <w:color w:val="auto"/>
              </w:rPr>
            </w:pPr>
            <w:r>
              <w:rPr>
                <w:rFonts w:ascii="Arial" w:cs="Arial" w:eastAsia="Arial" w:hAnsi="Arial"/>
                <w:sz w:val="18"/>
                <w:szCs w:val="18"/>
                <w:b w:val="1"/>
                <w:bCs w:val="1"/>
                <w:color w:val="auto"/>
              </w:rPr>
              <w:t>995</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b w:val="1"/>
                <w:bCs w:val="1"/>
                <w:color w:val="auto"/>
              </w:rPr>
              <w:t>388</w:t>
            </w:r>
          </w:p>
        </w:tc>
        <w:tc>
          <w:tcPr>
            <w:tcW w:w="220" w:type="dxa"/>
            <w:vAlign w:val="bottom"/>
            <w:gridSpan w:val="2"/>
          </w:tcPr>
          <w:p>
            <w:pPr>
              <w:spacing w:after="0"/>
              <w:rPr>
                <w:sz w:val="19"/>
                <w:szCs w:val="19"/>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Pr>
          <w:p>
            <w:pPr>
              <w:jc w:val="right"/>
              <w:ind w:right="53"/>
              <w:spacing w:after="0"/>
              <w:rPr>
                <w:sz w:val="20"/>
                <w:szCs w:val="20"/>
                <w:color w:val="auto"/>
              </w:rPr>
            </w:pPr>
            <w:r>
              <w:rPr>
                <w:rFonts w:ascii="Arial" w:cs="Arial" w:eastAsia="Arial" w:hAnsi="Arial"/>
                <w:sz w:val="18"/>
                <w:szCs w:val="18"/>
                <w:b w:val="1"/>
                <w:bCs w:val="1"/>
                <w:color w:val="auto"/>
              </w:rPr>
              <w:t>3,056</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$23 million at March 31, 2021 and December 31, 2020. Deferred revenue included in Other Long Term Liabilities in the Consolidated Balance Sheets totaled $25 million and $27 million at March 31, 2021 and December 31, 2020, respectively. We recognize deferred revenue after we have transferred control of the goods or services to the customer and all revenue recognition criteria are met.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of deferred revenue related to contracts with customers, and changes during the three months ended March 31, 2021: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gridSpan w:val="2"/>
          </w:tcPr>
          <w:p>
            <w:pPr>
              <w:ind w:left="1140"/>
              <w:spacing w:after="0"/>
              <w:rPr>
                <w:sz w:val="20"/>
                <w:szCs w:val="20"/>
                <w:color w:val="auto"/>
              </w:rPr>
            </w:pPr>
            <w:r>
              <w:rPr>
                <w:rFonts w:ascii="Arial" w:cs="Arial" w:eastAsia="Arial" w:hAnsi="Arial"/>
                <w:sz w:val="14"/>
                <w:szCs w:val="14"/>
                <w:i w:val="1"/>
                <w:iCs w:val="1"/>
                <w:color w:val="auto"/>
              </w:rPr>
              <w:t>(In millions)</w:t>
            </w:r>
          </w:p>
        </w:tc>
        <w:tc>
          <w:tcPr>
            <w:tcW w:w="3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45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3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3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foreign currency translation</w:t>
            </w:r>
          </w:p>
        </w:tc>
        <w:tc>
          <w:tcPr>
            <w:tcW w:w="38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38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40" w:type="dxa"/>
            <w:vAlign w:val="bottom"/>
            <w:vMerge w:val="restart"/>
          </w:tcPr>
          <w:p>
            <w:pPr>
              <w:jc w:val="right"/>
              <w:ind w:right="2810"/>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roll-forward of the liability balance between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Associate-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Related Costs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 Costs</w:t>
            </w:r>
          </w:p>
        </w:tc>
        <w:tc>
          <w:tcPr>
            <w:tcW w:w="360" w:type="dxa"/>
            <w:vAlign w:val="bottom"/>
          </w:tcPr>
          <w:p>
            <w:pPr>
              <w:spacing w:after="0"/>
              <w:rPr>
                <w:sz w:val="14"/>
                <w:szCs w:val="14"/>
                <w:color w:val="auto"/>
              </w:rPr>
            </w:pPr>
          </w:p>
        </w:tc>
        <w:tc>
          <w:tcPr>
            <w:tcW w:w="1360" w:type="dxa"/>
            <w:vAlign w:val="bottom"/>
          </w:tcPr>
          <w:p>
            <w:pPr>
              <w:jc w:val="right"/>
              <w:ind w:right="694"/>
              <w:spacing w:after="0"/>
              <w:rPr>
                <w:sz w:val="20"/>
                <w:szCs w:val="20"/>
                <w:color w:val="auto"/>
              </w:rPr>
            </w:pPr>
            <w:r>
              <w:rPr>
                <w:rFonts w:ascii="Arial" w:cs="Arial" w:eastAsia="Arial" w:hAnsi="Arial"/>
                <w:sz w:val="14"/>
                <w:szCs w:val="14"/>
                <w:b w:val="1"/>
                <w:bCs w:val="1"/>
                <w:color w:val="auto"/>
              </w:rPr>
              <w:t>Total</w:t>
            </w: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200</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200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2021 Charges</w:t>
            </w:r>
          </w:p>
        </w:tc>
        <w:tc>
          <w:tcPr>
            <w:tcW w:w="24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50</w:t>
            </w:r>
          </w:p>
        </w:tc>
      </w:tr>
      <w:tr>
        <w:trPr>
          <w:trHeight w:val="21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w w:val="98"/>
              </w:rPr>
              <w:t>Incurred, net of foreign currency translation of ($6) million and $0 million,</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161</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161</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2021, we approved a plan primarily designed to reduce Selling, Administrative and General Expense (“SAG”) in Europe, Middle East and Africa (“EMEA”), which will result in approximately 60 job reductions. We have $19 million accrued related to this plan at March 31, 2021, which is expected to be substantially paid through 2021.</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first quarter of 2021, we increased by $32 million the estimated total cost of our previously announced plan to permanently close our Gadsden, Alabama tire manufacturing facility (“Gadsden”), primarily to reflect our decision to transfer additional machinery and equipment from Gadsden to other tire manufacturing facilities. We have $28 million accrued at March 31, 2021 related to this plan, which is expected to be substantially paid through 2021. In addition, we increased by $21 million the estimated total cost of our previously announced plan to modernize two of our tire manufacturing facilities in Germany, primarily to increase expected associate severance costs based on actual payout history to date and the mix of associates electing lump sum vs. annuity settlements. We have $63 million accrued at March 31, 2021 related to this plan, which is expected to be substantially paid through 2022.</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remainder of the accrual balance at March 31, 2021 is expected to be substantially utilized in the next 12 months and includes $16 million related to global plans to reduce SAG headcount, $9 million related to plans to reduce manufacturing headcount and improve operating efficiency in EMEA, $8 million related to the closed Amiens, France tire manufacturing facility, and $6 million related to a plan primarily to offer voluntary buy-outs to certain associates at Gadsden.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ind w:left="126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57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Year Plans</w:t>
            </w:r>
          </w:p>
        </w:tc>
        <w:tc>
          <w:tcPr>
            <w:tcW w:w="1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18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ind w:left="124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w:t>
            </w:r>
          </w:p>
        </w:tc>
      </w:tr>
      <w:tr>
        <w:trPr>
          <w:trHeight w:val="223"/>
        </w:trPr>
        <w:tc>
          <w:tcPr>
            <w:tcW w:w="5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Current Year Plans - Net Charges</w:t>
            </w:r>
          </w:p>
        </w:tc>
        <w:tc>
          <w:tcPr>
            <w:tcW w:w="13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FF0FC"/>
          </w:tcPr>
          <w:p>
            <w:pPr>
              <w:ind w:left="1240"/>
              <w:spacing w:after="0"/>
              <w:rPr>
                <w:sz w:val="20"/>
                <w:szCs w:val="20"/>
                <w:color w:val="auto"/>
              </w:rPr>
            </w:pPr>
            <w:r>
              <w:rPr>
                <w:rFonts w:ascii="Arial" w:cs="Arial" w:eastAsia="Arial" w:hAnsi="Arial"/>
                <w:sz w:val="18"/>
                <w:szCs w:val="18"/>
                <w:b w:val="1"/>
                <w:bCs w:val="1"/>
                <w:color w:val="auto"/>
              </w:rPr>
              <w:t>20</w:t>
            </w: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w:t>
            </w:r>
          </w:p>
        </w:tc>
      </w:tr>
      <w:tr>
        <w:trPr>
          <w:trHeight w:val="230"/>
        </w:trPr>
        <w:tc>
          <w:tcPr>
            <w:tcW w:w="5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Prior Year Plans</w:t>
            </w:r>
          </w:p>
        </w:tc>
        <w:tc>
          <w:tcPr>
            <w:tcW w:w="1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18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ind w:left="124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w:t>
            </w: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Benefit Plan Curtailments/Settlements/Termination Benefits</w:t>
            </w:r>
          </w:p>
        </w:tc>
        <w:tc>
          <w:tcPr>
            <w:tcW w:w="1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Exit Costs</w:t>
            </w:r>
          </w:p>
        </w:tc>
        <w:tc>
          <w:tcPr>
            <w:tcW w:w="1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Prior Year Plans - Net Charges</w:t>
            </w:r>
          </w:p>
        </w:tc>
        <w:tc>
          <w:tcPr>
            <w:tcW w:w="1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ind w:left="1240"/>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w:t>
            </w:r>
          </w:p>
        </w:tc>
      </w:tr>
      <w:tr>
        <w:trPr>
          <w:trHeight w:val="26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Charges</w:t>
            </w:r>
          </w:p>
        </w:tc>
        <w:tc>
          <w:tcPr>
            <w:tcW w:w="13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50</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w:t>
            </w: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Write-off and Accelerated Depreciation Charges</w:t>
            </w:r>
          </w:p>
        </w:tc>
        <w:tc>
          <w:tcPr>
            <w:tcW w:w="1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r>
      <w:tr>
        <w:trPr>
          <w:trHeight w:val="20"/>
        </w:trPr>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new charges for the three months ended March 31, 2021 and 2020 related to future cash outflows. Current year plan charges for the three months ended March 31, 2021 primarily related to efforts to reduce SAG headcount in EMEA.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prior year plan charges for the three months ended March 31, 2021 included $14 million related to the modernization of two of our tire manufacturing facilities in Germany, $8 million related to Gadsden and $6 million related to various plans to reduce manufacturing headcount and improve operating efficiency. Net prior year plan charges for the three months ended March 31, 2020 included $5 million related to the plan to modernize two of our tire manufacturing facilities in Germany and $3 million related to a plan primarily to offer voluntary buy-outs to certain associates at Gadsden. Net prior year plan charges for the three months ended March 31, 2020 also include a curtailment credit of $4 million for a postretirement benefit plan related to the exit of employees under an approved rationalization plan.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Ongoing rationalization plans had approximately $740 million in charges incurred prior to 2021 and approximately $70 million is expected to be incurred in future periods.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60 associates will be released under new plans initiated in 2021. In the first three months of 2021, approximately 100 associates were released under plans initiated in prior years. Approximately 400 associates remain to be released under all ongoing rationalization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OTHER (INCOME) EXPENSE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7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70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Non-service related pension and other postretirement benefits cost</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Financing fees and financial instruments expense</w:t>
            </w:r>
          </w:p>
        </w:tc>
        <w:tc>
          <w:tcPr>
            <w:tcW w:w="44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7</w:t>
            </w: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foreign currency exchange (gains) losses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General and product liability expense - discontinued products</w:t>
            </w:r>
          </w:p>
        </w:tc>
        <w:tc>
          <w:tcPr>
            <w:tcW w:w="44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w:t>
            </w: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Royalty income</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Net (gains) losses on asset sales</w:t>
            </w:r>
          </w:p>
        </w:tc>
        <w:tc>
          <w:tcPr>
            <w:tcW w:w="44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Miscellaneous (income) expense</w:t>
            </w:r>
          </w:p>
        </w:tc>
        <w:tc>
          <w:tcPr>
            <w:tcW w:w="4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w:t>
            </w:r>
          </w:p>
        </w:tc>
      </w:tr>
      <w:tr>
        <w:trPr>
          <w:trHeight w:val="223"/>
        </w:trPr>
        <w:tc>
          <w:tcPr>
            <w:tcW w:w="70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w:t>
            </w: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10, Pension, Savings and Other Postretirement Benefit Plans.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for the three months ended March 31, 2021 include legal, consulting and other expenses incurred by the Company in connection with the Merger Agreement between Goodyear and Cooper Tire.</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INCOME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2021, we recorded income tax expense of $15 million on income before income taxes of $33 million. Income tax expense for the three months ended March 31, 2021 includes net discrete charges of $3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2020, we recorded income tax expense of $249 million on a loss before income taxes of $368 million. Income tax expense for the three months ended March 31, 2020 includes net discrete charges of $290 million, primarily related to the establishment of a $295 million valuation allowance on certain deferred tax assets for foreign tax credits.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the three months ended March 31, 2021 primarily relates to the discrete items noted above. The difference between our effective tax rate and the U.S. statutory rate of 21% for the three months ended March 31, 2020 primarily relates to the discrete items noted above, a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2021 and December 31, 2020, we had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2041. In the U.S., we have a cumulative loss for the three-year period ending March 31, 2021. However, as the three-year cumulative loss in the U.S. is driven by business disruptions created by the COVID-19 pandemic, in assessing our ability to utilize our deferred tax assets, we also considered objectively verifiable information including recent favorable recovery trends in the tire industry and our tire volume as well as expected continued improvement.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2021 and December 31, 2020, our U.S. deferred tax assets included $140 million and $133 million, respectively, of foreign tax credits with limited lives, net of valuation allowances of $328 million, generated primarily from the 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March 31, 2021, our U.S. net deferred tax assets, including our foreign tax credits, net of valuation allowances, will be fully utilized.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and December 31, 2020, we had approximately $1.2 billion and $1.3 billion of foreign deferred tax assets, respectively, and valuation allowances of $1.0 billion and $1.1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$923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ending March 31, 2021, changes to our unrecognized tax benefits did not, and for the full year of 2021 are not expected to, have a significant impact on our financial position or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open to examination in the United States for 2020 and in Germany from 2018 onward. Generally, for our remaining tax jurisdictions, years from 2016 onward are still open to examination.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EARNINGS PER SHARE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 — basic:</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Goodyear net income (loss)</w:t>
            </w: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Earnings (loss) per common share — basic</w:t>
            </w:r>
          </w:p>
        </w:tc>
        <w:tc>
          <w:tcPr>
            <w:tcW w:w="1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FF0FC"/>
            </w:tcBorders>
            <w:vMerge w:val="continue"/>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0.05</w:t>
            </w:r>
          </w:p>
        </w:tc>
        <w:tc>
          <w:tcPr>
            <w:tcW w:w="160" w:type="dxa"/>
            <w:vAlign w:val="bottom"/>
            <w:tcBorders>
              <w:bottom w:val="single" w:sz="8" w:color="CFF0FC"/>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Goodyear net income (loss)</w:t>
            </w:r>
          </w:p>
        </w:tc>
        <w:tc>
          <w:tcPr>
            <w:tcW w:w="1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Dilutive effect of stock options and other dilutive securities</w:t>
            </w:r>
          </w:p>
        </w:tc>
        <w:tc>
          <w:tcPr>
            <w:tcW w:w="1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3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Earnings (loss) per common share — diluted</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0.05</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Weighted average shares outstanding — diluted for the three months ended March 31, 2021 and 2020 excludes approximately 2 million and 9 million equivalent shares, respectively, related to options with exercise prices greater than the average market price of our common shares (i.e., "underwater" options). At March 31, 2020, there were no options with exercise prices less than the average market price of our common shares (i.e., “in-the-money”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9"/>
                <w:szCs w:val="19"/>
                <w:color w:val="auto"/>
              </w:rPr>
            </w:pP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Asia Pacific</w:t>
            </w:r>
          </w:p>
        </w:tc>
        <w:tc>
          <w:tcPr>
            <w:tcW w:w="14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Sales</w:t>
            </w:r>
          </w:p>
        </w:tc>
        <w:tc>
          <w:tcPr>
            <w:tcW w:w="14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3,511</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3,056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Segment Operating Income (Loss):</w:t>
            </w:r>
          </w:p>
        </w:tc>
        <w:tc>
          <w:tcPr>
            <w:tcW w:w="1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19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Asia Pacific</w:t>
            </w:r>
          </w:p>
        </w:tc>
        <w:tc>
          <w:tcPr>
            <w:tcW w:w="14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Segment Operating Income (Loss)</w:t>
            </w:r>
          </w:p>
        </w:tc>
        <w:tc>
          <w:tcPr>
            <w:tcW w:w="14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226</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w:t>
            </w:r>
          </w:p>
        </w:tc>
        <w:tc>
          <w:tcPr>
            <w:tcW w:w="14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1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Rationalizations (Note 3)</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(Note 4)</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Asset write-offs and accelerated depreciation (Note 3)</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incentive compensation plans</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Retained expenses of divested operations</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600" w:type="dxa"/>
            <w:vAlign w:val="bottom"/>
          </w:tcPr>
          <w:p>
            <w:pPr>
              <w:ind w:left="380"/>
              <w:spacing w:after="0"/>
              <w:rPr>
                <w:sz w:val="20"/>
                <w:szCs w:val="20"/>
                <w:color w:val="auto"/>
              </w:rPr>
            </w:pPr>
            <w:r>
              <w:rPr>
                <w:rFonts w:ascii="Arial" w:cs="Arial" w:eastAsia="Arial" w:hAnsi="Arial"/>
                <w:sz w:val="18"/>
                <w:szCs w:val="18"/>
                <w:b w:val="1"/>
                <w:bCs w:val="1"/>
                <w:color w:val="auto"/>
              </w:rPr>
              <w:t>Income (Loss) before Income Taxes</w:t>
            </w:r>
          </w:p>
        </w:tc>
        <w:tc>
          <w:tcPr>
            <w:tcW w:w="14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19"/>
          <w:szCs w:val="19"/>
          <w:color w:val="auto"/>
        </w:rPr>
        <w:t>r</w:t>
      </w:r>
      <w:r>
        <w:rPr>
          <w:rFonts w:ascii="Arial" w:cs="Arial" w:eastAsia="Arial" w:hAnsi="Arial"/>
          <w:sz w:val="18"/>
          <w:szCs w:val="18"/>
          <w:color w:val="auto"/>
        </w:rPr>
        <w:t>ationalizations, as described in Note to the Consolidated Financial Statements No. 3, Costs Associated with Rationalization Programs; net (gains) losses on asset sales, as described in Note to the Consolidated Financial Statements No. 4, Other (Income) Expense; and asset write-offs and accelerated depreciation were not charged to the strategic business units ("SBUs") for performance evaluation purposes but were attributable to the SBUs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60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14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182</w:t>
            </w:r>
          </w:p>
        </w:tc>
      </w:tr>
      <w:tr>
        <w:trPr>
          <w:trHeight w:val="223"/>
        </w:trPr>
        <w:tc>
          <w:tcPr>
            <w:tcW w:w="6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Segment Goodwill Impairment</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182</w:t>
            </w:r>
          </w:p>
        </w:tc>
      </w:tr>
      <w:tr>
        <w:trPr>
          <w:trHeight w:val="20"/>
        </w:trPr>
        <w:tc>
          <w:tcPr>
            <w:tcW w:w="6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Rationalizations:</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4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w:t>
            </w: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9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r>
      <w:tr>
        <w:trPr>
          <w:trHeight w:val="263"/>
        </w:trPr>
        <w:tc>
          <w:tcPr>
            <w:tcW w:w="6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Segment Rationalizations</w:t>
            </w:r>
          </w:p>
        </w:tc>
        <w:tc>
          <w:tcPr>
            <w:tcW w:w="9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46</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w:t>
            </w:r>
          </w:p>
        </w:tc>
      </w:tr>
      <w:tr>
        <w:trPr>
          <w:trHeight w:val="21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w:t>
            </w:r>
          </w:p>
        </w:tc>
        <w:tc>
          <w:tcPr>
            <w:tcW w:w="9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Borders>
              <w:bottom w:val="single" w:sz="8" w:color="CFF0FC"/>
            </w:tcBorders>
          </w:tcPr>
          <w:p>
            <w:pPr>
              <w:spacing w:after="0"/>
              <w:rPr>
                <w:sz w:val="22"/>
                <w:szCs w:val="22"/>
                <w:color w:val="auto"/>
              </w:rPr>
            </w:pPr>
          </w:p>
        </w:tc>
        <w:tc>
          <w:tcPr>
            <w:tcW w:w="9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w:t>
            </w:r>
          </w:p>
        </w:tc>
      </w:tr>
      <w:tr>
        <w:trPr>
          <w:trHeight w:val="210"/>
        </w:trPr>
        <w:tc>
          <w:tcPr>
            <w:tcW w:w="6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b w:val="1"/>
                <w:bCs w:val="1"/>
                <w:color w:val="auto"/>
              </w:rPr>
              <w:t>Net (Gains) Losses on Asset Sales:</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14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Segment Net (Gains) Losses on Asset Sales</w:t>
            </w:r>
          </w:p>
        </w:tc>
        <w:tc>
          <w:tcPr>
            <w:tcW w:w="9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10"/>
        </w:trPr>
        <w:tc>
          <w:tcPr>
            <w:tcW w:w="60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Asset Write-offs and Accelerated Depreciation:</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14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r>
      <w:tr>
        <w:trPr>
          <w:trHeight w:val="223"/>
        </w:trPr>
        <w:tc>
          <w:tcPr>
            <w:tcW w:w="6080" w:type="dxa"/>
            <w:vAlign w:val="bottom"/>
          </w:tcPr>
          <w:p>
            <w:pPr>
              <w:ind w:left="380"/>
              <w:spacing w:after="0"/>
              <w:rPr>
                <w:sz w:val="20"/>
                <w:szCs w:val="20"/>
                <w:color w:val="auto"/>
              </w:rPr>
            </w:pPr>
            <w:r>
              <w:rPr>
                <w:rFonts w:ascii="Arial" w:cs="Arial" w:eastAsia="Arial" w:hAnsi="Arial"/>
                <w:sz w:val="18"/>
                <w:szCs w:val="18"/>
                <w:b w:val="1"/>
                <w:bCs w:val="1"/>
                <w:color w:val="auto"/>
              </w:rPr>
              <w:t>Total Segment Asset Write-offs and Accelerated Depreciation</w:t>
            </w:r>
          </w:p>
        </w:tc>
        <w:tc>
          <w:tcPr>
            <w:tcW w:w="9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w:t>
            </w:r>
          </w:p>
        </w:tc>
      </w:tr>
      <w:tr>
        <w:trPr>
          <w:trHeight w:val="20"/>
        </w:trPr>
        <w:tc>
          <w:tcPr>
            <w:tcW w:w="6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we had total credit arrangements of $9,318 million, of which $3,396 million were unused. At that date, 25% of our debt was at variable interest rates averaging 2.87%.</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2021, we had short term committed and uncommitted credit arrangements totaling $1,035 million, of which $611 million were unused. These arrangements are available primarily to certain of our foreign subsidiaries through various banks at quoted market interest rates.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360" w:type="dxa"/>
            <w:vAlign w:val="bottom"/>
            <w:gridSpan w:val="2"/>
          </w:tcPr>
          <w:p>
            <w:pPr>
              <w:jc w:val="right"/>
              <w:ind w:right="267"/>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8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Chinese credit facilities</w:t>
            </w:r>
          </w:p>
        </w:tc>
        <w:tc>
          <w:tcPr>
            <w:tcW w:w="19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foreign and domestic debt</w:t>
            </w:r>
          </w:p>
        </w:tc>
        <w:tc>
          <w:tcPr>
            <w:tcW w:w="19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Notes Payable and Overdrafts</w:t>
            </w:r>
          </w:p>
        </w:tc>
        <w:tc>
          <w:tcPr>
            <w:tcW w:w="19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390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140"/>
              <w:spacing w:after="0"/>
              <w:rPr>
                <w:sz w:val="20"/>
                <w:szCs w:val="20"/>
                <w:color w:val="auto"/>
              </w:rPr>
            </w:pPr>
            <w:r>
              <w:rPr>
                <w:rFonts w:ascii="Arial" w:cs="Arial" w:eastAsia="Arial" w:hAnsi="Arial"/>
                <w:sz w:val="18"/>
                <w:szCs w:val="18"/>
                <w:color w:val="auto"/>
              </w:rPr>
              <w:t>Weighted average interest rate</w:t>
            </w:r>
          </w:p>
        </w:tc>
        <w:tc>
          <w:tcPr>
            <w:tcW w:w="1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Chinese credit facilities</w:t>
            </w:r>
          </w:p>
        </w:tc>
        <w:tc>
          <w:tcPr>
            <w:tcW w:w="3360" w:type="dxa"/>
            <w:vAlign w:val="bottom"/>
            <w:gridSpan w:val="2"/>
          </w:tcPr>
          <w:p>
            <w:pPr>
              <w:jc w:val="right"/>
              <w:ind w:right="124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foreign and domestic debt (including finance leases)</w:t>
            </w:r>
          </w:p>
        </w:tc>
        <w:tc>
          <w:tcPr>
            <w:tcW w:w="19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1960" w:type="dxa"/>
            <w:vAlign w:val="bottom"/>
            <w:tcBorders>
              <w:bottom w:val="single" w:sz="8" w:color="CFF0FC"/>
            </w:tcBorders>
          </w:tcPr>
          <w:p>
            <w:pPr>
              <w:spacing w:after="0"/>
              <w:rPr>
                <w:sz w:val="22"/>
                <w:szCs w:val="22"/>
                <w:color w:val="auto"/>
              </w:rPr>
            </w:pPr>
          </w:p>
        </w:tc>
        <w:tc>
          <w:tcPr>
            <w:tcW w:w="1400" w:type="dxa"/>
            <w:vAlign w:val="bottom"/>
            <w:tcBorders>
              <w:bottom w:val="single" w:sz="8" w:color="auto"/>
            </w:tcBorders>
          </w:tcPr>
          <w:p>
            <w:pPr>
              <w:jc w:val="right"/>
              <w:ind w:right="12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386</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interest rate</w:t>
            </w:r>
          </w:p>
        </w:tc>
        <w:tc>
          <w:tcPr>
            <w:tcW w:w="1960" w:type="dxa"/>
            <w:vAlign w:val="bottom"/>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obligations due within one year</w:t>
            </w:r>
          </w:p>
        </w:tc>
        <w:tc>
          <w:tcPr>
            <w:tcW w:w="1960" w:type="dxa"/>
            <w:vAlign w:val="bottom"/>
          </w:tcPr>
          <w:p>
            <w:pPr>
              <w:spacing w:after="0"/>
              <w:rPr>
                <w:sz w:val="19"/>
                <w:szCs w:val="19"/>
                <w:color w:val="auto"/>
              </w:rPr>
            </w:pPr>
          </w:p>
        </w:tc>
        <w:tc>
          <w:tcPr>
            <w:tcW w:w="1400" w:type="dxa"/>
            <w:vAlign w:val="bottom"/>
            <w:tcBorders>
              <w:bottom w:val="single" w:sz="8" w:color="auto"/>
            </w:tcBorders>
          </w:tcPr>
          <w:p>
            <w:pPr>
              <w:jc w:val="right"/>
              <w:ind w:right="12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776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558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60" w:type="dxa"/>
            <w:vAlign w:val="bottom"/>
            <w:vMerge w:val="restart"/>
          </w:tcPr>
          <w:p>
            <w:pPr>
              <w:jc w:val="right"/>
              <w:ind w:right="1176"/>
              <w:spacing w:after="0"/>
              <w:rPr>
                <w:sz w:val="20"/>
                <w:szCs w:val="20"/>
                <w:color w:val="auto"/>
              </w:rPr>
            </w:pPr>
            <w:r>
              <w:rPr>
                <w:rFonts w:ascii="Arial" w:cs="Arial" w:eastAsia="Arial" w:hAnsi="Arial"/>
                <w:sz w:val="18"/>
                <w:szCs w:val="18"/>
                <w:color w:val="auto"/>
              </w:rPr>
              <w:t>12</w:t>
            </w: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long term credit arrangements totaling $8,283 million, of which $2,785 million were unused.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2021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0"/>
              </w:rPr>
              <w:t>December 31, 2020</w:t>
            </w:r>
          </w:p>
        </w:tc>
        <w:tc>
          <w:tcPr>
            <w:tcW w:w="112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w w:val="94"/>
              </w:rPr>
              <w:t>Interest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554"/>
              <w:spacing w:after="0" w:line="147" w:lineRule="exact"/>
              <w:rPr>
                <w:sz w:val="20"/>
                <w:szCs w:val="20"/>
                <w:color w:val="auto"/>
              </w:rPr>
            </w:pPr>
            <w:r>
              <w:rPr>
                <w:rFonts w:ascii="Arial" w:cs="Arial" w:eastAsia="Arial" w:hAnsi="Arial"/>
                <w:sz w:val="14"/>
                <w:szCs w:val="14"/>
                <w:b w:val="1"/>
                <w:bCs w:val="1"/>
                <w:color w:val="auto"/>
                <w:w w:val="90"/>
              </w:rPr>
              <w:t>Interest</w:t>
            </w:r>
          </w:p>
        </w:tc>
      </w:tr>
      <w:tr>
        <w:trPr>
          <w:trHeight w:val="171"/>
        </w:trPr>
        <w:tc>
          <w:tcPr>
            <w:tcW w:w="46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8"/>
              </w:rPr>
              <w:t>Rate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Rate</w:t>
            </w: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5.125% due 2023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1,000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gridSpan w:val="4"/>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3.75% Euro Notes due 2023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9.5% due 2025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 due 2026</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4.875% due 2027</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 due 2028</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color w:val="auto"/>
              </w:rPr>
              <w:t>Credit Facilities: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European revolving credit facility due 2024</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CFF0FC"/>
          </w:tcPr>
          <w:p>
            <w:pPr>
              <w:jc w:val="right"/>
              <w:ind w:right="1228"/>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First lien revolving credit facility due 2025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1660" w:type="dxa"/>
            <w:vAlign w:val="bottom"/>
            <w:gridSpan w:val="4"/>
          </w:tcPr>
          <w:p>
            <w:pPr>
              <w:jc w:val="right"/>
              <w:ind w:right="1228"/>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Second lien term loan facility due 2025</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Pan-European accounts receivable facility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Mexican credit facility</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Chinese credit facilities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foreign and domestic debt</w:t>
            </w:r>
            <w:r>
              <w:rPr>
                <w:rFonts w:ascii="Arial" w:cs="Arial" w:eastAsia="Arial" w:hAnsi="Arial"/>
                <w:sz w:val="16"/>
                <w:szCs w:val="16"/>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5,497</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5,366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5,466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5,334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5,712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5,584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5,326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5,432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Interest rates are weighted average interest rates primarily related to various foreign credit facilities with customary terms and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$3,846 million of outstanding notes, compared to $3,860 million at December 31,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2021, we completed a public offering of $550 million 5.25% Senior Notes due 2031 and $450 million 5.625% Senior Notes due 2033. On April 6, 2021, we also issued a notice to redeem our $1.0 billion 5.125% Senior Notes due 2023 on May 6, 2021 at a price of 100% of the principal amount, plus accrued and unpaid interest through the redemption date. The redemption will be funded using the proceeds of the new debt offering, together with cash and cash equivalents. As a result of the redemption, we anticipate incurring approximately $5 million of debt extinguishment costs related to remaining unamortized debt issuance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2025</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LIBOR plus 175 basis points, and undrawn amounts under the facility will be subject to an annual commitment fee of 25 basis points.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inventory and other components of</w:t>
      </w:r>
    </w:p>
    <w:p>
      <w:pPr>
        <w:sectPr>
          <w:pgSz w:w="11900" w:h="16838" w:orient="portrait"/>
          <w:cols w:equalWidth="0" w:num="1">
            <w:col w:w="11240"/>
          </w:cols>
          <w:pgMar w:left="320" w:top="23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borrowing base decline in value, our borrowing base will decrease and the availability under the facility may decrease below $2.0 billion. As of March 31, 2021, our borrowing base, and therefore our availability, under this facility was $570 million below the facility's stated amount of $2.0 billion.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The facility also has customary defaults, including a cross-default to material indebtedness of Goodyear and our subsidiaries.</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we had no borrowings and $1 million of letters of credit issued under the revolving credit facility. At December 31, 2020, we had no borrowings and $11 million of letters of credit issued under the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obligations under our second lien term loan facility are guaranteed by most of our wholly-owned U.S. and Canadian subsidiaries and are secured by second priority security interests in the same collateral securing the $2.0 billion first lien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the amounts outstanding under this facility were $400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w:t>
      </w:r>
      <w:r>
        <w:rPr>
          <w:rFonts w:ascii="Arial" w:cs="Arial" w:eastAsia="Arial" w:hAnsi="Arial"/>
          <w:sz w:val="18"/>
          <w:szCs w:val="18"/>
          <w:i w:val="1"/>
          <w:iCs w:val="1"/>
          <w:color w:val="auto"/>
        </w:rPr>
        <w:t>24</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52" w:lineRule="exact"/>
        <w:rPr>
          <w:sz w:val="20"/>
          <w:szCs w:val="20"/>
          <w:color w:val="auto"/>
        </w:rPr>
      </w:pPr>
    </w:p>
    <w:p>
      <w:pPr>
        <w:ind w:right="380"/>
        <w:spacing w:after="0" w:line="360" w:lineRule="auto"/>
        <w:rPr>
          <w:sz w:val="20"/>
          <w:szCs w:val="20"/>
          <w:color w:val="auto"/>
        </w:rPr>
      </w:pPr>
      <w:r>
        <w:rPr>
          <w:rFonts w:ascii="Arial" w:cs="Arial" w:eastAsia="Arial" w:hAnsi="Arial"/>
          <w:sz w:val="18"/>
          <w:szCs w:val="18"/>
          <w:color w:val="auto"/>
        </w:rPr>
        <w:t xml:space="preserve">At March 31, 2021 and December 31, 2020, there were no borrowings and no letters of credit outstanding under the European revolving credit facility. </w:t>
      </w:r>
      <w:r>
        <w:rPr>
          <w:rFonts w:ascii="Arial" w:cs="Arial" w:eastAsia="Arial" w:hAnsi="Arial"/>
          <w:sz w:val="18"/>
          <w:szCs w:val="18"/>
          <w:i w:val="1"/>
          <w:iCs w:val="1"/>
          <w:u w:val="single" w:color="auto"/>
          <w:color w:val="auto"/>
        </w:rPr>
        <w:t>Accounts Receivable Securitization Facilities (On-Balance Sheet)</w:t>
      </w: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16, 2020 through October 18, 2021, the designated maximum amount of the facility is €280 million.</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the amounts available and utilized under this program totaled $158 million (€135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2020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March 31, 2021, the gross amount of receivables sold was $459 million, compared to $451 million at December 31,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Mexican subsidiary and a U.S. subsidiary have a revolving credit facility in Mexico. At March 31, 2021, the amounts available and utilized under this facility were $200 million. At December 31, 2020, the amounts available and utilized under this facility were $200 million and $152 million, respectively. The facility ultimately matures in 2022, has covenants relating to the Mexican and U.S. subsidiary, and has customary representations and warranties and defaults relating to the Mexican and U.S. subsidiary’s ability to perform its respective obligations under the facility.</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Chinese subsidiary has several financing arrangements in China. At March 31, 2021 and December 31, 2020, the amounts available under these facilities were $994 million and $981 million, respectively. At March 31, 2021, the amount utilized under these facilities was $393 million, of which $136 million represented notes payable and $257 million represented long term debt. At March 31, 2021, $14 million of the long term debt was due within a year. At December 31, 2020, the amount utilized under these facilities was $375 million, of which $163 million represented notes payable and $212 million represented long term debt. At December 31, 2020, $13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March 31, 2021 and December 31, 2020, the unused amounts available under these facilities were $93 million and $99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5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9"/>
              <w:spacing w:after="0"/>
              <w:rPr>
                <w:sz w:val="20"/>
                <w:szCs w:val="20"/>
                <w:color w:val="auto"/>
              </w:rPr>
            </w:pPr>
            <w:r>
              <w:rPr>
                <w:rFonts w:ascii="Arial" w:cs="Arial" w:eastAsia="Arial" w:hAnsi="Arial"/>
                <w:sz w:val="14"/>
                <w:szCs w:val="14"/>
                <w:b w:val="1"/>
                <w:bCs w:val="1"/>
                <w:color w:val="auto"/>
              </w:rPr>
              <w:t>2020</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20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50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1</w:t>
            </w:r>
          </w:p>
        </w:tc>
      </w:tr>
      <w:tr>
        <w:trPr>
          <w:trHeight w:val="229"/>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0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and December 31, 2020, these outstanding foreign currency derivatives had notional amounts of $1,435 million and $1,664 million, respectively, and were primarily related to intercompany loans. Other (Income) Expense included net transaction gains on derivatives of $55 million and $39 million for the three months ended March 31, 2021 and 2020. These amounts were substantially offset in Other (Income) Expense by the effect of changing exchange rates on the underlying currency exposures.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0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ind w:right="382"/>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5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42"/>
              <w:spacing w:after="0"/>
              <w:rPr>
                <w:sz w:val="20"/>
                <w:szCs w:val="20"/>
                <w:color w:val="auto"/>
              </w:rPr>
            </w:pPr>
            <w:r>
              <w:rPr>
                <w:rFonts w:ascii="Arial" w:cs="Arial" w:eastAsia="Arial" w:hAnsi="Arial"/>
                <w:sz w:val="14"/>
                <w:szCs w:val="14"/>
                <w:b w:val="1"/>
                <w:bCs w:val="1"/>
                <w:color w:val="auto"/>
              </w:rPr>
              <w:t>2020</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20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520" w:type="dxa"/>
            <w:vAlign w:val="bottom"/>
            <w:gridSpan w:val="2"/>
          </w:tcPr>
          <w:p>
            <w:pPr>
              <w:jc w:val="right"/>
              <w:ind w:right="132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and December 31, 2020, these outstanding foreign currency derivatives had notional amounts of $48 million and $50 million, respectively, and primarily related to U.S. dollar denominated intercompany transactions. Based on our current forecasts, including the expected ongoing impacts of the COVID-19 pandemic, we believe that it is probable that the underlying hedge transactions will occur within an appropriate time frame in order to continue to qualify for cash flow hedge accounting treatment.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4"/>
                <w:szCs w:val="14"/>
                <w:color w:val="auto"/>
              </w:rPr>
            </w:pPr>
          </w:p>
        </w:tc>
      </w:t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2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2020</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Amount of gains (losses) deferred to Accumulated Other Comprehensive Loss ("AOCL")</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23</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Reclassification adjustment for amounts recognized in Cost of Goods Sold ("CGS")</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amount of deferred gains at March 31, 2021 that are expected to be reclassified to earnings within the next twelve months is $2 million.</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Total Carrying Value</w:t>
            </w:r>
          </w:p>
        </w:tc>
        <w:tc>
          <w:tcPr>
            <w:tcW w:w="100" w:type="dxa"/>
            <w:vAlign w:val="bottom"/>
          </w:tcPr>
          <w:p>
            <w:pPr>
              <w:spacing w:after="0"/>
              <w:rPr>
                <w:sz w:val="14"/>
                <w:szCs w:val="14"/>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Quoted Prices in Active</w:t>
            </w:r>
          </w:p>
        </w:tc>
        <w:tc>
          <w:tcPr>
            <w:tcW w:w="140" w:type="dxa"/>
            <w:vAlign w:val="bottom"/>
          </w:tcPr>
          <w:p>
            <w:pPr>
              <w:spacing w:after="0"/>
              <w:rPr>
                <w:sz w:val="14"/>
                <w:szCs w:val="14"/>
                <w:color w:val="auto"/>
              </w:rPr>
            </w:pPr>
          </w:p>
        </w:tc>
        <w:tc>
          <w:tcPr>
            <w:tcW w:w="1680" w:type="dxa"/>
            <w:vAlign w:val="bottom"/>
            <w:gridSpan w:val="4"/>
            <w:vMerge w:val="restart"/>
          </w:tcPr>
          <w:p>
            <w:pPr>
              <w:jc w:val="center"/>
              <w:ind w:right="173"/>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380"/>
              <w:spacing w:after="0"/>
              <w:rPr>
                <w:sz w:val="20"/>
                <w:szCs w:val="20"/>
                <w:color w:val="auto"/>
              </w:rPr>
            </w:pPr>
            <w:r>
              <w:rPr>
                <w:rFonts w:ascii="Arial" w:cs="Arial" w:eastAsia="Arial" w:hAnsi="Arial"/>
                <w:sz w:val="14"/>
                <w:szCs w:val="14"/>
                <w:b w:val="1"/>
                <w:bCs w:val="1"/>
                <w:color w:val="auto"/>
                <w:w w:val="92"/>
              </w:rPr>
              <w:t>Significant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339"/>
              <w:spacing w:after="0" w:line="149" w:lineRule="exact"/>
              <w:rPr>
                <w:sz w:val="20"/>
                <w:szCs w:val="20"/>
                <w:color w:val="auto"/>
              </w:rPr>
            </w:pPr>
            <w:r>
              <w:rPr>
                <w:rFonts w:ascii="Arial" w:cs="Arial" w:eastAsia="Arial" w:hAnsi="Arial"/>
                <w:sz w:val="14"/>
                <w:szCs w:val="14"/>
                <w:b w:val="1"/>
                <w:bCs w:val="1"/>
                <w:color w:val="auto"/>
                <w:w w:val="96"/>
              </w:rPr>
              <w:t>in the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8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40" w:type="dxa"/>
            <w:vAlign w:val="bottom"/>
          </w:tcPr>
          <w:p>
            <w:pPr>
              <w:spacing w:after="0"/>
              <w:rPr>
                <w:sz w:val="12"/>
                <w:szCs w:val="12"/>
                <w:color w:val="auto"/>
              </w:rPr>
            </w:pPr>
          </w:p>
        </w:tc>
        <w:tc>
          <w:tcPr>
            <w:tcW w:w="1680" w:type="dxa"/>
            <w:vAlign w:val="bottom"/>
            <w:gridSpan w:val="4"/>
          </w:tcPr>
          <w:p>
            <w:pPr>
              <w:jc w:val="center"/>
              <w:ind w:right="17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5"/>
              </w:rPr>
              <w:t>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4"/>
                <w:szCs w:val="14"/>
                <w:color w:val="auto"/>
              </w:rPr>
            </w:pPr>
          </w:p>
        </w:tc>
        <w:tc>
          <w:tcPr>
            <w:tcW w:w="104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4"/>
              </w:rPr>
              <w:t>(Level 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4"/>
              </w:rPr>
              <w:t>(Level 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March 31, 2021 and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6"/>
              <w:spacing w:after="0"/>
              <w:rPr>
                <w:sz w:val="20"/>
                <w:szCs w:val="20"/>
                <w:color w:val="auto"/>
              </w:rPr>
            </w:pPr>
            <w:r>
              <w:rPr>
                <w:rFonts w:ascii="Arial" w:cs="Arial" w:eastAsia="Arial" w:hAnsi="Arial"/>
                <w:sz w:val="14"/>
                <w:szCs w:val="14"/>
                <w:b w:val="1"/>
                <w:bCs w:val="1"/>
                <w:color w:val="auto"/>
              </w:rPr>
              <w:t>2020</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15"/>
                <w:szCs w:val="15"/>
                <w:b w:val="1"/>
                <w:bCs w:val="1"/>
                <w:color w:val="auto"/>
              </w:rPr>
              <w:t>(1)</w:t>
            </w:r>
          </w:p>
        </w:tc>
        <w:tc>
          <w:tcPr>
            <w:tcW w:w="25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4,050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4,094</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4,216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4,283</w:t>
            </w:r>
          </w:p>
        </w:tc>
      </w:tr>
      <w:tr>
        <w:trPr>
          <w:trHeight w:val="229"/>
        </w:trPr>
        <w:tc>
          <w:tcPr>
            <w:tcW w:w="4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15"/>
                <w:szCs w:val="15"/>
                <w:b w:val="1"/>
                <w:bCs w:val="1"/>
                <w:color w:val="auto"/>
              </w:rPr>
              <w:t>(1)</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1,240</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1,197</w:t>
            </w:r>
          </w:p>
        </w:tc>
      </w:tr>
    </w:tbl>
    <w:p>
      <w:pPr>
        <w:spacing w:after="0" w:line="94" w:lineRule="exact"/>
        <w:rPr>
          <w:sz w:val="20"/>
          <w:szCs w:val="20"/>
          <w:color w:val="auto"/>
        </w:rPr>
      </w:pPr>
    </w:p>
    <w:p>
      <w:pPr>
        <w:jc w:val="both"/>
        <w:ind w:left="800" w:hanging="792"/>
        <w:spacing w:after="0" w:line="288"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Excludes Notes Payable and Overdrafts of $390 million and $406 million at March 31, 2021 and December 31, 2020, respectively, of which $260 million and $227 million, respectively, are at fixed rates and $130 million and $179 million, respectively, are at variable rates. The carrying value of Notes Payable and Overdrafts approximates fair value due to the short term nature of the facilities</w:t>
      </w:r>
      <w:r>
        <w:rPr>
          <w:rFonts w:ascii="Arial" w:cs="Arial" w:eastAsia="Arial" w:hAnsi="Arial"/>
          <w:sz w:val="18"/>
          <w:szCs w:val="18"/>
          <w:color w:val="auto"/>
        </w:rPr>
        <w:t>.</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term debt with fair values of $4,369 million and $4,391 million at March 31, 2021 and December 31, 2020, respectively, were estimated using quoted Level 1 market prices. The carrying value of the remaining long term debt approximates fair value since the terms of financing agreements are similar to terms that could be obtained under current lending conditions.</w:t>
      </w:r>
    </w:p>
    <w:p>
      <w:pPr>
        <w:spacing w:after="0" w:line="180" w:lineRule="exact"/>
        <w:rPr>
          <w:sz w:val="20"/>
          <w:szCs w:val="20"/>
          <w:color w:val="auto"/>
        </w:rPr>
      </w:pPr>
    </w:p>
    <w:p>
      <w:pPr>
        <w:ind w:right="4400"/>
        <w:spacing w:after="0" w:line="391" w:lineRule="auto"/>
        <w:rPr>
          <w:sz w:val="20"/>
          <w:szCs w:val="20"/>
          <w:color w:val="auto"/>
        </w:rPr>
      </w:pPr>
      <w:r>
        <w:rPr>
          <w:rFonts w:ascii="Arial" w:cs="Arial" w:eastAsia="Arial" w:hAnsi="Arial"/>
          <w:sz w:val="18"/>
          <w:szCs w:val="18"/>
          <w:b w:val="1"/>
          <w:bCs w:val="1"/>
          <w:u w:val="single" w:color="auto"/>
          <w:color w:val="auto"/>
        </w:rPr>
        <w:t xml:space="preserve">NOTE 10.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1356"/>
              <w:spacing w:after="0"/>
              <w:rPr>
                <w:sz w:val="20"/>
                <w:szCs w:val="20"/>
                <w:color w:val="auto"/>
              </w:rPr>
            </w:pPr>
            <w:r>
              <w:rPr>
                <w:rFonts w:ascii="Arial" w:cs="Arial" w:eastAsia="Arial" w:hAnsi="Arial"/>
                <w:sz w:val="14"/>
                <w:szCs w:val="14"/>
                <w:b w:val="1"/>
                <w:bCs w:val="1"/>
                <w:color w:val="auto"/>
                <w:w w:val="95"/>
              </w:rPr>
              <w:t>U.S.</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7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center"/>
              <w:ind w:left="696"/>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2"/>
                <w:szCs w:val="12"/>
                <w:color w:val="auto"/>
              </w:rPr>
            </w:pPr>
          </w:p>
        </w:tc>
      </w:t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center"/>
              <w:ind w:left="696"/>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losses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pension cost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curtailments/settlements/termination benefits</w:t>
            </w:r>
          </w:p>
        </w:tc>
        <w:tc>
          <w:tcPr>
            <w:tcW w:w="46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66"/>
        </w:trPr>
        <w:tc>
          <w:tcPr>
            <w:tcW w:w="7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4"/>
              </w:rPr>
              <w:t>Non-U.S.</w:t>
            </w:r>
          </w:p>
        </w:tc>
        <w:tc>
          <w:tcPr>
            <w:tcW w:w="1360" w:type="dxa"/>
            <w:vAlign w:val="bottom"/>
            <w:tcBorders>
              <w:bottom w:val="single" w:sz="8" w:color="auto"/>
            </w:tcBorders>
          </w:tcPr>
          <w:p>
            <w:pPr>
              <w:spacing w:after="0"/>
              <w:rPr>
                <w:sz w:val="24"/>
                <w:szCs w:val="24"/>
                <w:color w:val="auto"/>
              </w:rPr>
            </w:pPr>
          </w:p>
        </w:tc>
      </w:tr>
      <w:tr>
        <w:trPr>
          <w:trHeight w:val="146"/>
        </w:trPr>
        <w:tc>
          <w:tcPr>
            <w:tcW w:w="7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center"/>
              <w:ind w:left="696"/>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2"/>
                <w:szCs w:val="12"/>
                <w:color w:val="auto"/>
              </w:rPr>
            </w:pPr>
          </w:p>
        </w:tc>
      </w:t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center"/>
              <w:ind w:left="696"/>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6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losses</w:t>
            </w: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Net periodic pension cost</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36"/>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Pr>
          <w:p>
            <w:pPr>
              <w:jc w:val="right"/>
              <w:ind w:right="32"/>
              <w:spacing w:after="0"/>
              <w:rPr>
                <w:sz w:val="20"/>
                <w:szCs w:val="20"/>
                <w:color w:val="auto"/>
              </w:rPr>
            </w:pPr>
            <w:r>
              <w:rPr>
                <w:rFonts w:ascii="Arial" w:cs="Arial" w:eastAsia="Arial" w:hAnsi="Arial"/>
                <w:sz w:val="18"/>
                <w:szCs w:val="18"/>
                <w:b w:val="1"/>
                <w:bCs w:val="1"/>
                <w:color w:val="auto"/>
              </w:rPr>
              <w:t>18</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curtailments/settlements/termination benefits</w:t>
            </w:r>
          </w:p>
        </w:tc>
        <w:tc>
          <w:tcPr>
            <w:tcW w:w="4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we recognized pension settlement charges of $2 million in Other (Income)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provide certain U.S. employees and employees at certain non-U.S. subsidiaries with health care benefits or life insurance benefits upon retirement. Other postretirement benefits expense (credit) for the three months ended March 31, 2021 and 2020</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$2 million and ($3) million, respectively. The first quarter of 2020 included a curtailment credit of $4 million in Rationalizations, related to the exit of employees under an approved rationalization plan.</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expect to contribute $25 million to $50 million to our funded non-U.S. pension plans in 2021. For the three months ended March 31, 2021, we contributed $2 million to our non-U.S. plans.</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recognized for our contributions to defined contribution savings plans for the three months ended March 31, 2021 and 2020 was $28 million and $30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granted 0.5 million restricted stock units and 0.1 million performance share units during the three months ended March 31, 2021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$16.30 for restricted stock units and $19.21 for performance share units granted during the three months ended March 31,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stock-based compensation expense of $4 million and $6 million during the three months ended March 31, 2021 and 2020, respectively. At March 31, 2021, unearned compensation cost related to the unvested portion of all stock-based awards was approximately $29 million and is expected to be recognized over the remaining vesting period of the respective grants, through the first quarter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recorded liabilities totaling $66 million and $64 million at March 31, 2021 and December 31, 2020, respectively, for anticipated costs related to various environmental matters, primarily the remediation of numerous waste disposal sites and certain properties sold by us. Of these amounts, $17 million and $16 million were included in Other Current Liabilities at March 31, 2021 and December 31, 2020,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recorded liabilities, on a discounted basis, totaling $198 million and $196 million for anticipated costs related to workers’ compensation at March 31, 2021 and December 31, 2020, respectively. Of these amounts, $27 million and $29 million were included in Current Liabilities as part of Compensation and Benefits at March 31, 2021 and December 31, 2020,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2021 and December 31, 2020, the liability was discounted using a risk-free rate of return. At March 31, 2021, we estimate that it is reasonably possible that the liability could exceed our recorded amounts by approximately $25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recorded liabilities totaling $289 million and $285 million, including related legal fees expected to be incurred, for potential product liability and other tort claims, including asbestos claims, at March 31, 2021 and December 31, 2020, respectively. Of these amounts, $37 million and $38 million were included in Other Current Liabilities at March 31, 2021 and December 31, 2020, respectively. The amounts recorded were estimated based on an assessment of potential liability using an analysis of available information with respect to pending claims, historical experience and, where available, recent and current trends. Based upon that assessment, at March 31, 2021, we do not believe that estimated reasonably possible losses associated with general and product liability claims in excess of the amounts recorded will have a material adverse effect on our financial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position, cash flows or results of operations. However, the amount of our ultimate liability in respect of these matters may differ from these estimates.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indemnification asset within Accounts Receivable of $1 million and within Other Assets of $23 million for Sumitomo Rubber Industries, Ltd.'s ("SRI") obligation to indemnify us for certain product liability claims related to products manufactured by a formerly consolidated joint venture entity, subject to certain caps and restrictions.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154,500 claims by defending, obtaining the dismissal thereof, or entering into a settlement. The sum of our accrued asbestos-related liability and gross payments to date, including legal costs, by us and our insurers totaled approximately $566 million through March 31, 2021 and $563 million through December 31, 2020</w:t>
      </w:r>
      <w:r>
        <w:rPr>
          <w:rFonts w:ascii="Arial" w:cs="Arial" w:eastAsia="Arial" w:hAnsi="Arial"/>
          <w:sz w:val="17"/>
          <w:szCs w:val="17"/>
          <w:b w:val="1"/>
          <w:bCs w:val="1"/>
          <w:color w:val="auto"/>
        </w:rPr>
        <w:t>.</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ind w:right="315"/>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63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9"/>
              </w:rPr>
              <w:t>December 31, 2020</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Pending claims, beginning of period</w:t>
            </w:r>
          </w:p>
        </w:tc>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38,700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39,600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New claims filed</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55"/>
              <w:spacing w:after="0"/>
              <w:rPr>
                <w:sz w:val="20"/>
                <w:szCs w:val="20"/>
                <w:color w:val="auto"/>
              </w:rPr>
            </w:pPr>
            <w:r>
              <w:rPr>
                <w:rFonts w:ascii="Arial" w:cs="Arial" w:eastAsia="Arial" w:hAnsi="Arial"/>
                <w:sz w:val="18"/>
                <w:szCs w:val="18"/>
                <w:color w:val="auto"/>
              </w:rPr>
              <w:t>1,100</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Claims settled/dismissed</w:t>
            </w:r>
          </w:p>
        </w:tc>
        <w:tc>
          <w:tcPr>
            <w:tcW w:w="2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Pending claims, end of period</w:t>
            </w:r>
          </w:p>
        </w:tc>
        <w:tc>
          <w:tcPr>
            <w:tcW w:w="2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38,700</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38,700</w:t>
            </w: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Payments</w:t>
            </w:r>
            <w:r>
              <w:rPr>
                <w:rFonts w:ascii="Arial" w:cs="Arial" w:eastAsia="Arial" w:hAnsi="Arial"/>
                <w:sz w:val="15"/>
                <w:szCs w:val="15"/>
                <w:color w:val="auto"/>
              </w:rPr>
              <w:t>(1)</w:t>
            </w:r>
          </w:p>
        </w:tc>
        <w:tc>
          <w:tcPr>
            <w:tcW w:w="2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w:t>
            </w: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$148 million and $149 million at March 31, 2021 and December 31, 2020,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recorded an insurance receivable related to asbestos claims of $89 million and $90 million at March 31, 2021 and December 31, 2020, respectively. We expect that approximately 60% of asbestos claim related losses would be recoverable through insurance during the ten-year period covered by the estimated liability. Of these amounts, $13 million was included in Current Assets as part of Accounts Receivable at both March 31, 2021 and December 31, 2020.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at December 31, 2020, we had approximately $550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Approximately 850 former employees of the closed Amiens, France manufacturing facility have asserted wrongful termination or other claims totaling approximately €140 million ($164 million) against Goodyear France SAS. On May 28, 2020, Goodyear France SAS received a judgment from the labor court with respect to approximately 790 of these former employees. As a result of this ruling and settlement discussions to resolve these claims and other similar claims, we recognized €27 million, primarily in 2020, for estimated additional termination benefits. During the first quarter of 2021, we reached settlement agreements with substantially all of the former employees and are filing appropriate proceedings with the labor court to conclude the related legal proceedings. We will continue to defend ourselves against any remaining claims and any additional claims that may be asserted against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off-balance sheet financial guarantees and other commitments totaling $69 million and $73 million at March 31, 2021 and December 31, 2020, respectively. We issue guarantees to financial institutions or other entities on behalf of certain of our affiliates, lessors or customers. We generally do not require collateral in connection with the issuance of these guarantees.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2017, we issued a guarantee of approximately PLN165 million ($42 million) in connection with an indirect tax assessment in EMEA. This guarantee amount was subsequently increased to PLN181 million ($46 million). We have concluded our performance under this guarantee is not probable and, therefore, have not recorded a liability for this guarantee. In 2015, as a result of the dissolution of the global alliance with SRI, we issued a guarantee of $46 million to an insurance company related to SRI's obligation to pay certain outstanding workers' compensation claims of a formerly consolidated joint venture entity. As of March 31, 2021, this guarantee amount has been reduced to $23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 through 2021. We are unable to estimate the extent to which our affiliates’, lessors’, customers’, or SRI's assets would be adequate to recover any payments made by us under the related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first three months of 2020, we paid cash dividends of $37 million on our common stock. This amount excludes dividends earned on stock-based compensation plans of approximately $1 million. On April 16, 2020, we announced that we have suspended the quarterly dividend on our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quarter of 2021, we did not repurchase any shares from employees.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changes in AOCL, by component, for the three months ended March 31, 2021 and 2020, after tax and minority interest.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Unrecognized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40" w:type="dxa"/>
            <w:vAlign w:val="bottom"/>
          </w:tcPr>
          <w:p>
            <w:pPr>
              <w:spacing w:after="0"/>
              <w:rPr>
                <w:sz w:val="12"/>
                <w:szCs w:val="12"/>
                <w:color w:val="auto"/>
              </w:rPr>
            </w:pPr>
          </w:p>
        </w:tc>
        <w:tc>
          <w:tcPr>
            <w:tcW w:w="1100" w:type="dxa"/>
            <w:vAlign w:val="bottom"/>
            <w:gridSpan w:val="2"/>
            <w:vMerge w:val="restart"/>
          </w:tcPr>
          <w:p>
            <w:pPr>
              <w:jc w:val="center"/>
              <w:ind w:left="183"/>
              <w:spacing w:after="0"/>
              <w:rPr>
                <w:sz w:val="20"/>
                <w:szCs w:val="20"/>
                <w:color w:val="auto"/>
              </w:rPr>
            </w:pPr>
            <w:r>
              <w:rPr>
                <w:rFonts w:ascii="Arial" w:cs="Arial" w:eastAsia="Arial" w:hAnsi="Arial"/>
                <w:sz w:val="14"/>
                <w:szCs w:val="14"/>
                <w:b w:val="1"/>
                <w:bCs w:val="1"/>
                <w:color w:val="auto"/>
                <w:w w:val="97"/>
              </w:rPr>
              <w:t>Deferred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Losses and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40" w:type="dxa"/>
            <w:vAlign w:val="bottom"/>
          </w:tcPr>
          <w:p>
            <w:pPr>
              <w:spacing w:after="0"/>
              <w:rPr>
                <w:sz w:val="12"/>
                <w:szCs w:val="12"/>
                <w:color w:val="auto"/>
              </w:rPr>
            </w:pPr>
          </w:p>
        </w:tc>
        <w:tc>
          <w:tcPr>
            <w:tcW w:w="1100" w:type="dxa"/>
            <w:vAlign w:val="bottom"/>
            <w:gridSpan w:val="2"/>
          </w:tcPr>
          <w:p>
            <w:pPr>
              <w:jc w:val="center"/>
              <w:ind w:left="183"/>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millions) Income (Loss)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gridSpan w:val="2"/>
            <w:shd w:val="clear" w:color="auto" w:fill="CFF0FC"/>
          </w:tcPr>
          <w:p>
            <w:pPr>
              <w:jc w:val="center"/>
              <w:ind w:left="517"/>
              <w:spacing w:after="0"/>
              <w:rPr>
                <w:sz w:val="20"/>
                <w:szCs w:val="20"/>
                <w:color w:val="auto"/>
              </w:rPr>
            </w:pPr>
            <w:r>
              <w:rPr>
                <w:rFonts w:ascii="Arial" w:cs="Arial" w:eastAsia="Arial" w:hAnsi="Arial"/>
                <w:sz w:val="18"/>
                <w:szCs w:val="18"/>
                <w:b w:val="1"/>
                <w:bCs w:val="1"/>
                <w:color w:val="auto"/>
                <w:w w:val="94"/>
              </w:rPr>
              <w:t>(1,284)</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(2,856)</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(4,135)</w:t>
            </w: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8"/>
                <w:szCs w:val="18"/>
                <w:b w:val="1"/>
                <w:bCs w:val="1"/>
                <w:color w:val="auto"/>
                <w:w w:val="94"/>
              </w:rPr>
              <w:t>(1,316)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(2,820)</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Unrecognized</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40" w:type="dxa"/>
            <w:vAlign w:val="bottom"/>
          </w:tcPr>
          <w:p>
            <w:pPr>
              <w:spacing w:after="0"/>
              <w:rPr>
                <w:sz w:val="12"/>
                <w:szCs w:val="12"/>
                <w:color w:val="auto"/>
              </w:rPr>
            </w:pPr>
          </w:p>
        </w:tc>
        <w:tc>
          <w:tcPr>
            <w:tcW w:w="1100" w:type="dxa"/>
            <w:vAlign w:val="bottom"/>
            <w:gridSpan w:val="2"/>
            <w:vMerge w:val="restart"/>
          </w:tcPr>
          <w:p>
            <w:pPr>
              <w:jc w:val="center"/>
              <w:ind w:left="183"/>
              <w:spacing w:after="0"/>
              <w:rPr>
                <w:sz w:val="20"/>
                <w:szCs w:val="20"/>
                <w:color w:val="auto"/>
              </w:rPr>
            </w:pPr>
            <w:r>
              <w:rPr>
                <w:rFonts w:ascii="Arial" w:cs="Arial" w:eastAsia="Arial" w:hAnsi="Arial"/>
                <w:sz w:val="14"/>
                <w:szCs w:val="14"/>
                <w:b w:val="1"/>
                <w:bCs w:val="1"/>
                <w:color w:val="auto"/>
                <w:w w:val="97"/>
              </w:rPr>
              <w:t>Deferred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Losses and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40" w:type="dxa"/>
            <w:vAlign w:val="bottom"/>
          </w:tcPr>
          <w:p>
            <w:pPr>
              <w:spacing w:after="0"/>
              <w:rPr>
                <w:sz w:val="12"/>
                <w:szCs w:val="12"/>
                <w:color w:val="auto"/>
              </w:rPr>
            </w:pPr>
          </w:p>
        </w:tc>
        <w:tc>
          <w:tcPr>
            <w:tcW w:w="1100" w:type="dxa"/>
            <w:vAlign w:val="bottom"/>
            <w:gridSpan w:val="2"/>
          </w:tcPr>
          <w:p>
            <w:pPr>
              <w:jc w:val="center"/>
              <w:ind w:left="183"/>
              <w:spacing w:after="0" w:line="149" w:lineRule="exact"/>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millions) Income (Loss)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gridSpan w:val="2"/>
            <w:shd w:val="clear" w:color="auto" w:fill="CFF0FC"/>
          </w:tcPr>
          <w:p>
            <w:pPr>
              <w:jc w:val="center"/>
              <w:ind w:left="517"/>
              <w:spacing w:after="0"/>
              <w:rPr>
                <w:sz w:val="20"/>
                <w:szCs w:val="20"/>
                <w:color w:val="auto"/>
              </w:rPr>
            </w:pPr>
            <w:r>
              <w:rPr>
                <w:rFonts w:ascii="Arial" w:cs="Arial" w:eastAsia="Arial" w:hAnsi="Arial"/>
                <w:sz w:val="18"/>
                <w:szCs w:val="18"/>
                <w:b w:val="1"/>
                <w:bCs w:val="1"/>
                <w:color w:val="auto"/>
                <w:w w:val="94"/>
              </w:rPr>
              <w:t>(1,156)</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(2,983)</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(4,136)</w:t>
            </w:r>
          </w:p>
        </w:tc>
        <w:tc>
          <w:tcPr>
            <w:tcW w:w="0" w:type="dxa"/>
            <w:vAlign w:val="bottom"/>
          </w:tcPr>
          <w:p>
            <w:pPr>
              <w:spacing w:after="0"/>
              <w:rPr>
                <w:sz w:val="1"/>
                <w:szCs w:val="1"/>
                <w:color w:val="auto"/>
              </w:rPr>
            </w:pPr>
          </w:p>
        </w:tc>
      </w:tr>
      <w:tr>
        <w:trPr>
          <w:trHeight w:val="215"/>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5"/>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8"/>
                <w:szCs w:val="18"/>
                <w:b w:val="1"/>
                <w:bCs w:val="1"/>
                <w:color w:val="auto"/>
                <w:w w:val="94"/>
              </w:rPr>
              <w:t>(1,372)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(2,958)</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reclassifications out of AOCL:</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94"/>
              </w:rPr>
              <w:t>Three Months Ended March 31,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(Income) Expense</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7"/>
            <w:vMerge w:val="restart"/>
          </w:tcPr>
          <w:p>
            <w:pPr>
              <w:jc w:val="right"/>
              <w:ind w:right="354"/>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6"/>
        </w:trPr>
        <w:tc>
          <w:tcPr>
            <w:tcW w:w="4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8"/>
          </w:tcPr>
          <w:p>
            <w:pPr>
              <w:jc w:val="center"/>
              <w:ind w:right="310"/>
              <w:spacing w:after="0" w:line="147" w:lineRule="exact"/>
              <w:rPr>
                <w:sz w:val="20"/>
                <w:szCs w:val="20"/>
                <w:color w:val="auto"/>
              </w:rPr>
            </w:pPr>
            <w:r>
              <w:rPr>
                <w:rFonts w:ascii="Arial" w:cs="Arial" w:eastAsia="Arial" w:hAnsi="Arial"/>
                <w:sz w:val="14"/>
                <w:szCs w:val="14"/>
                <w:b w:val="1"/>
                <w:bCs w:val="1"/>
                <w:color w:val="auto"/>
                <w:w w:val="92"/>
              </w:rPr>
              <w:t>Amount Reclassified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1660"/>
              <w:spacing w:after="0"/>
              <w:rPr>
                <w:sz w:val="20"/>
                <w:szCs w:val="20"/>
                <w:color w:val="auto"/>
              </w:rPr>
            </w:pPr>
            <w:r>
              <w:rPr>
                <w:rFonts w:ascii="Arial" w:cs="Arial" w:eastAsia="Arial" w:hAnsi="Arial"/>
                <w:sz w:val="14"/>
                <w:szCs w:val="14"/>
                <w:b w:val="1"/>
                <w:bCs w:val="1"/>
                <w:color w:val="auto"/>
              </w:rPr>
              <w:t>Component of AOCL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6"/>
          </w:tcPr>
          <w:p>
            <w:pPr>
              <w:jc w:val="center"/>
              <w:ind w:left="637"/>
              <w:spacing w:after="0"/>
              <w:rPr>
                <w:sz w:val="20"/>
                <w:szCs w:val="20"/>
                <w:color w:val="auto"/>
              </w:rPr>
            </w:pPr>
            <w:r>
              <w:rPr>
                <w:rFonts w:ascii="Arial" w:cs="Arial" w:eastAsia="Arial" w:hAnsi="Arial"/>
                <w:sz w:val="14"/>
                <w:szCs w:val="14"/>
                <w:b w:val="1"/>
                <w:bCs w:val="1"/>
                <w:color w:val="auto"/>
              </w:rPr>
              <w:t>from AOCL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7"/>
          </w:tcPr>
          <w:p>
            <w:pPr>
              <w:jc w:val="right"/>
              <w:ind w:right="774"/>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cost and</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gains and losses</w:t>
            </w: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center"/>
              <w:ind w:left="637"/>
              <w:spacing w:after="0"/>
              <w:rPr>
                <w:sz w:val="20"/>
                <w:szCs w:val="20"/>
                <w:color w:val="auto"/>
              </w:rPr>
            </w:pPr>
            <w:r>
              <w:rPr>
                <w:rFonts w:ascii="Arial" w:cs="Arial" w:eastAsia="Arial" w:hAnsi="Arial"/>
                <w:sz w:val="18"/>
                <w:szCs w:val="18"/>
                <w:color w:val="auto"/>
                <w:w w:val="89"/>
              </w:rPr>
              <w:t>36</w:t>
            </w:r>
          </w:p>
        </w:tc>
        <w:tc>
          <w:tcPr>
            <w:tcW w:w="120" w:type="dxa"/>
            <w:vAlign w:val="bottom"/>
            <w:shd w:val="clear" w:color="auto" w:fill="CFF0FC"/>
          </w:tcPr>
          <w:p>
            <w:pPr>
              <w:spacing w:after="0"/>
              <w:rPr>
                <w:sz w:val="20"/>
                <w:szCs w:val="20"/>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20"/>
                <w:szCs w:val="20"/>
                <w:color w:val="auto"/>
              </w:rPr>
            </w:pPr>
          </w:p>
        </w:tc>
        <w:tc>
          <w:tcPr>
            <w:tcW w:w="176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88"/>
              </w:rPr>
              <w:t>Other (Income) Expense</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spacing w:after="0"/>
              <w:rPr>
                <w:sz w:val="20"/>
                <w:szCs w:val="20"/>
                <w:color w:val="auto"/>
              </w:rPr>
            </w:pPr>
            <w:r>
              <w:rPr>
                <w:rFonts w:ascii="Arial" w:cs="Arial" w:eastAsia="Arial" w:hAnsi="Arial"/>
                <w:sz w:val="18"/>
                <w:szCs w:val="18"/>
                <w:color w:val="auto"/>
              </w:rPr>
              <w:t>Immediate recognition of prior service cost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and unrecognized gains and losses due to</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curtailments, settlements and divestitures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left="51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60" w:type="dxa"/>
            <w:vAlign w:val="bottom"/>
            <w:gridSpan w:val="10"/>
          </w:tcPr>
          <w:p>
            <w:pPr>
              <w:jc w:val="right"/>
              <w:ind w:right="94"/>
              <w:spacing w:after="0"/>
              <w:rPr>
                <w:sz w:val="20"/>
                <w:szCs w:val="20"/>
                <w:color w:val="auto"/>
              </w:rPr>
            </w:pPr>
            <w:r>
              <w:rPr>
                <w:rFonts w:ascii="Arial" w:cs="Arial" w:eastAsia="Arial" w:hAnsi="Arial"/>
                <w:sz w:val="18"/>
                <w:szCs w:val="18"/>
                <w:color w:val="auto"/>
              </w:rPr>
              <w:t>(2)  Other (Income) Expense / Rationalizations</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Unrecognized net actuarial losses and</w:t>
            </w: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prior service costs, before tax</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left="637"/>
              <w:spacing w:after="0"/>
              <w:rPr>
                <w:sz w:val="20"/>
                <w:szCs w:val="20"/>
                <w:color w:val="auto"/>
              </w:rPr>
            </w:pPr>
            <w:r>
              <w:rPr>
                <w:rFonts w:ascii="Arial" w:cs="Arial" w:eastAsia="Arial" w:hAnsi="Arial"/>
                <w:sz w:val="18"/>
                <w:szCs w:val="18"/>
                <w:color w:val="auto"/>
                <w:w w:val="89"/>
              </w:rPr>
              <w:t>36</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Tax effect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3260" w:type="dxa"/>
            <w:vAlign w:val="bottom"/>
            <w:tcBorders>
              <w:bottom w:val="single" w:sz="8" w:color="CFF0FC"/>
            </w:tcBorders>
            <w:gridSpan w:val="8"/>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center"/>
              <w:ind w:left="637"/>
              <w:spacing w:after="0"/>
              <w:rPr>
                <w:sz w:val="20"/>
                <w:szCs w:val="20"/>
                <w:color w:val="auto"/>
              </w:rPr>
            </w:pPr>
            <w:r>
              <w:rPr>
                <w:rFonts w:ascii="Arial" w:cs="Arial" w:eastAsia="Arial" w:hAnsi="Arial"/>
                <w:sz w:val="18"/>
                <w:szCs w:val="18"/>
                <w:color w:val="auto"/>
                <w:w w:val="89"/>
              </w:rPr>
              <w:t>27</w:t>
            </w:r>
          </w:p>
        </w:tc>
        <w:tc>
          <w:tcPr>
            <w:tcW w:w="120" w:type="dxa"/>
            <w:vAlign w:val="bottom"/>
            <w:shd w:val="clear" w:color="auto" w:fill="CFF0FC"/>
          </w:tcPr>
          <w:p>
            <w:pPr>
              <w:spacing w:after="0"/>
              <w:rPr>
                <w:sz w:val="19"/>
                <w:szCs w:val="19"/>
                <w:color w:val="auto"/>
              </w:rPr>
            </w:pPr>
          </w:p>
        </w:tc>
        <w:tc>
          <w:tcPr>
            <w:tcW w:w="60" w:type="dxa"/>
            <w:vAlign w:val="bottom"/>
            <w:gridSpan w:val="2"/>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26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5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derivative (gains) losses, before tax</w:t>
            </w: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7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Tax effect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left="517"/>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60" w:type="dxa"/>
            <w:vAlign w:val="bottom"/>
            <w:gridSpan w:val="8"/>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280" w:type="dxa"/>
            <w:vAlign w:val="bottom"/>
            <w:tcBorders>
              <w:top w:val="single" w:sz="8" w:color="auto"/>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3260" w:type="dxa"/>
            <w:vAlign w:val="bottom"/>
            <w:tcBorders>
              <w:top w:val="single" w:sz="8" w:color="CFF0FC"/>
            </w:tcBorders>
            <w:gridSpan w:val="8"/>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Total reclassifications</w:t>
            </w:r>
          </w:p>
        </w:tc>
        <w:tc>
          <w:tcPr>
            <w:tcW w:w="28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center"/>
              <w:ind w:left="637"/>
              <w:spacing w:after="0"/>
              <w:rPr>
                <w:sz w:val="20"/>
                <w:szCs w:val="20"/>
                <w:color w:val="auto"/>
              </w:rPr>
            </w:pPr>
            <w:r>
              <w:rPr>
                <w:rFonts w:ascii="Arial" w:cs="Arial" w:eastAsia="Arial" w:hAnsi="Arial"/>
                <w:sz w:val="18"/>
                <w:szCs w:val="18"/>
                <w:b w:val="1"/>
                <w:bCs w:val="1"/>
                <w:color w:val="auto"/>
                <w:w w:val="89"/>
              </w:rPr>
              <w:t>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9"/>
                <w:szCs w:val="19"/>
                <w:color w:val="auto"/>
              </w:rPr>
            </w:pPr>
          </w:p>
        </w:tc>
        <w:tc>
          <w:tcPr>
            <w:tcW w:w="3260" w:type="dxa"/>
            <w:vAlign w:val="bottom"/>
            <w:gridSpan w:val="8"/>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80" w:type="dxa"/>
            <w:vAlign w:val="bottom"/>
            <w:gridSpan w:val="13"/>
          </w:tcPr>
          <w:p>
            <w:pPr>
              <w:spacing w:after="0"/>
              <w:rPr>
                <w:sz w:val="20"/>
                <w:szCs w:val="20"/>
                <w:color w:val="auto"/>
              </w:rPr>
            </w:pPr>
            <w:r>
              <w:rPr>
                <w:rFonts w:ascii="Arial" w:cs="Arial" w:eastAsia="Arial" w:hAnsi="Arial"/>
                <w:sz w:val="18"/>
                <w:szCs w:val="18"/>
                <w:color w:val="auto"/>
                <w:w w:val="91"/>
              </w:rPr>
              <w:t>The following table presents the details of comprehensive income (loss) attributable to minority shareholders: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6"/>
          </w:tcPr>
          <w:p>
            <w:pPr>
              <w:jc w:val="center"/>
              <w:ind w:left="63"/>
              <w:spacing w:after="0"/>
              <w:rPr>
                <w:sz w:val="20"/>
                <w:szCs w:val="20"/>
                <w:color w:val="auto"/>
              </w:rPr>
            </w:pPr>
            <w:r>
              <w:rPr>
                <w:rFonts w:ascii="Arial" w:cs="Arial" w:eastAsia="Arial" w:hAnsi="Arial"/>
                <w:sz w:val="14"/>
                <w:szCs w:val="14"/>
                <w:b w:val="1"/>
                <w:bCs w:val="1"/>
                <w:color w:val="auto"/>
                <w:w w:val="93"/>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left="243"/>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82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8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 Attributable to Minority Shareholders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360" w:type="dxa"/>
            <w:vAlign w:val="bottom"/>
            <w:gridSpan w:val="6"/>
          </w:tcPr>
          <w:p>
            <w:pPr>
              <w:spacing w:after="0"/>
              <w:rPr>
                <w:sz w:val="20"/>
                <w:szCs w:val="20"/>
                <w:color w:val="auto"/>
              </w:rPr>
            </w:pPr>
            <w:r>
              <w:rPr>
                <w:rFonts w:ascii="Arial" w:cs="Arial" w:eastAsia="Arial" w:hAnsi="Arial"/>
                <w:sz w:val="18"/>
                <w:szCs w:val="18"/>
                <w:b w:val="1"/>
                <w:bCs w:val="1"/>
                <w:color w:val="auto"/>
              </w:rPr>
              <w:t>Comprehensive Income (Loss) Attributable to Minority Shareholders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1180"/>
        <w:spacing w:after="0" w:line="44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46 manufacturing facilities in 21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Cooper Tire Acquisition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22, 2021, we entered into an Agreement and Plan of Merger (the “Merger Agreement”) by and among Goodyear, Cooper Tire &amp; Rubber Company (“Cooper Tire”) and Vulcan Merger Sub Inc., a direct, wholly owned subsidiary of Goodyear (“Merger Sub”), pursuant to which and subject to the satisfaction or waiver of the conditions set forth in the Merger Agreement, Goodyear will acquire Cooper Tire by way of the merger of Merger Sub with and into Cooper Tire (the “Merger”), with Cooper Tire surviving such Merger as a wholly owned subsidiary of Goodyear. Under the terms of the Merger Agreement, at the closing of the Merger, Cooper Tire stockholders will be entitled to receive $41.75 per share in cash and a fixed exchange ratio of 0.907 shares of Goodyear common stock per share of Cooper Tire common stock. We expect the aggregate cash portion of the Merger consideration to be up to approximately $2.3 billion. We expect to complete the Merger in the second half of 2021, however the transaction could close earlier, following and subject to the satisfaction of customary closing conditions, including receipt of required regulatory approvals and the approval of Cooper Tire’s stockholders. Neither our consolidated balance sheet nor our operating results or cash flows, as of and for the three months ended March 31, 2021, reflect the impact of the Merger as the transaction has not been completed.</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descriptions of, and references to, the Merger Agreement included in this Quarterly Report on Form 10-Q are qualified in their entirety by the full text of the Merger Agreement, which is attached as Exhibit 2.1 to our Current Report on Form 8-K filed on February 25, 2021.</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intend to finance the cash portion of the Merger consideration with a combination of cash on hand and debt financing, which could include senior unsecured bridge loans, senior unsecured notes and/or borrowings under our revolving credit facility. In connection with entering into the Merger Agreement, we entered into a commitment letter, dated as of February 22, 2021, with JPMorgan Chase Bank, N.A. (as amended and restated on March 19, 2021, the “Commitment Letter”), pursuant to which, subject to the terms and conditions set forth therein, JPMorgan Chase Bank, N.A. and the other financial institutions party thereto have committed to provide a 364-day senior unsecured bridge term loan facility in an aggregate principal amount of up to $2.314 billion (the “Bridge Facility”). The funding of the Bridge Facility provided for in the Commitment Letter is subject to the satisfaction of customary conditions, including (i) the execution and delivery of definitive documentation with respect to the Bridge Facility in accordance with the terms set forth in the Commitment Letter and (ii) the consummation of the Merger in accordance with the Merger Agreement. Borrowings, if any, under the Bridge Facility will bear interest at a rate of LIBOR plus 3.5%, with a LIBOR floor of 0.5%. If utilized, we intend to replace the Bridge Facility with other long term financing arrangements; however, the terms of those arrangements cannot be determined at this time.</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23, 2021, we signed a commitment letter to amend and restate our $2.0 billion first lien revolving credit facility to, among other things, (i) increase the aggregate principal amount that may be borrowed thereunder to $2.75 billion, (ii) decrease the interest rate for loans thereunder by 50 basis points to LIBOR plus 125 basis points, based on our current liquidity, and (iii) extend the maturity date of the facility to the date that is the five-year anniversary of the effectiveness of the amendment, which is, among other things, conditioned upon completion of the Merger.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2021, our operating results significantly improved compared to the first quarter of 2020, as the overall negative impacts of the COVID-19 pandemic on tire industry demand, auto production, miles driven and our tire volume moderated and continued to improve, compared to the severe global economic disruption experienced throughout much of 2020, particularly in the first half of the year.</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Nonetheless, our results for the first quarter of 2021 continue to be negatively influenced by the macroeconomic effects of the ongoing pandemic. Our global businesses are experiencing varying stages of recovery, as national and local efforts in many countries to contain the spread of COVID-19, including renewed stay-at-home orders, continue to impact economic conditions, with some sectors of the global economy, such as the airline and travel industries, experiencing a more profound continuing impact. Increased demand for consumer products and supply chain disruptions as a result of the pandemic and other global events, has led to higher costs for certain raw materials and shortages of certain automobile parts, such as semiconductor chips, which has affected OE manufacturers’ ability to produce automobiles consistently. This evolving and uncertain environment aggravated already challenging industry conditions in our key markets, including foreign currency headwinds due to the strong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dollar, lower OE industry volume, softening demand in Europe and economic volatility in Latin America that persisted prior to the COVID-19 pandemic.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tire manufacturing facilities are operating at full capacity to meet current demand, as well as to increase the level of our finished goods inventory as we continue to restock in order to fulfill anticipated demand for the remainder of the year. Our decisions to change production levels in the future will be based on an evaluation of market demand signals, inventory and supply levels, as well as the ability to continue to safeguard the health of our associates.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the pandemic on a location by location basis, taking actions in response to COVID-19 to protect the health and wellbeing of our associates, customers and communities, which remain our top priority. We also continue to follow guidance from the Centers for Disease Control and Prevention, which include preventative measures at our facilities that remain open, including limiting visitor access and business travel, remote working and social distancing practices, and frequent disinfection.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the first quarter of 2021, a severe winter storm in the U.S. caused temporary shutdowns of three of our chemical facilities, limited production at three tire manufacturing facilities, and impacted more than 170 consumer and commercial retail locations. We estimate that the negative impact on our earnings for the first quarter of 2021 was approximately $23 million ($17 million after-tax and minority).</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results for the first quarter of 2021 include an 11.7% increase in tire unit shipments compared to 2020, reflecting the pandemic-related recovery noted above. In the first quarter of 2021, we realized approximately $91 million of cost savings, which exceeded the impact of general inflation.</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first quarter of 2021 were $3,511 million, compared to $3,056 million in the first quarter of 2020. Net sales increased in the first quarter of 2021 primarily due to higher tire volume, improvements in price and product mix, favorable foreign currency translation, and higher sales in other tire-related businesses, primarily due to an increase in third-party sales of chemical products in Americas.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Goodyear net income was $12 million, or $0.05 per share, compared to a net loss of $619 million, or $2.65 per share, in the first quarter of 2020. The favorable change in Goodyear net income (loss) was primarily due to higher segment operating income, lower income tax expense and a decrease in goodwill impairment, partially offset by higher rationalization expense.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segment operating income for the first quarter of 2021 was $226 million, compared to an operating loss of $47 million in the first quarter of 2020. The $273 million favorable change was primarily due to improvements in price and product mix of $75 million, primarily in Americas and EMEA, lower conversion costs of $75 million, primarily in EMEA and Americas, higher global tire volume of $67 million, lower Selling, Administrative and General Expense (“SAG”) of $34 million, primarily in Americas and EMEA, and lower raw material costs of $15 million, primarily in EMEA. Refer to “Results of Operations — Segment Information”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2021, we had $1,223 million of cash and cash equivalents as well as $3,396 million of unused availability under our various credit agreements, compared to $1,539 million and $3,881 million, respectively, at December 31, 2020. Cash and cash equivalents decreased by $316 million from December 31, 2020 primarily due to cash used for operating activities of $282 million and capital expenditures of $185 million, partially offset by net borrowings of $175 million. Cash used for operating activities reflects cash used for working capital of $563 million and rationalization payments of $83 million. Cash used for operating activities also reflects net income for the period of $18 million, which includes non-cash charges for depreciation and amortization of $197 million as well as current year changes in Balance Sheet accounts for Other Assets and Liabilities and Compensation and Benefits totaling $124 million. Refer to "Liquidity and Capital Resources" for additional information.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2021, we completed a public offering of $550 million 5.25% Senior Notes due 2031 and $450 million 5.625% Senior Notes due 2033. On April 6, 2021, we also issued a notice to redeem our $1.0 billion 5.125% Senior Notes due 2023 on May 6, 2021 at a price of 100% of the principal amount, plus accrued and unpaid interest through the redemption date. The redemption will be funded using the proceeds of the new debt offering, together with cash and cash equivalents. As a result of the redemption, we anticipate incurring approximately $5 million of debt extinguishment costs related to remaining unamortized debt issuance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2021, we expect our production to be approximately 25 million units higher than the second quarter of 2020, given expectations for sales growth during the second quarter and the need to continue building our inventory levels to meet anticipated demand in the second half of 2021. We continue to expect to reinvest $450 million to $500 million in working capital during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markets have recovered considerably, we continue to face a high level of uncertainty as several governments around the globe have recently implemented, or are considering implementing, measures to slow the pandemic that have the potential to reduce economic activity and mobility. In addition, OE manufacturers have experienced shortages of certain automobile parts,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as semiconductor chips, which has limited automobile production globally. However, with underlying demand trends continuing to improve globally, we expect volume in the second quarter of 2021 to trend toward 2019 levels.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tire-related businesses have also been significantly affected by the weak economic environment. Suppressed levels of business and leisure travel is continuing to limit growth in our aviation business.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full year of 2021, based on current spot prices, we expect our raw material costs to increase $325 million to $375 million, including the benefit of raw material cost saving measures, primarily in the second half of the year. Natural and synthetic rubber prices and other commodity prices historically have been volatile, and this estimate could change significantly based on fluctuations in the cost of these and other key raw materials and foreign exchange rates. We are continuing to focus on price and product mix, to substitute lower cost materials where possible, to work to identify additional substitution opportunities, to reduce the amount of material required in each tire, and to pursue alternative raw materials. We expect the benefits of price and product mix will exceed the impact of higher raw material costs in the second quarter of 2021.</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Refer to “Item 1A. Risk Factors” in this Quarterly Report on Form 10-Q and in our Annual Report on Form 10-K for the year ended December 31, 2020 (the “2020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 the first quarter of 2021 were $3,511 million, increasing $455 million, or 14.9%, from $3,056 million in the first quarter of 2020. Goodyear net income was $12 million, or $0.05 per share, in the first quarter of 2021, compared to a net loss of $619 million, or $2.65 per share, in the first quarter of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increased in the first quarter of 2021, primarily due to higher global tire volume of $284 million, improvements in price and product mix of $102 million, primarily in EMEA and Americas, favorable foreign currency translation of $41 million, primarily in EMEA and Asia Pacific, partially offset by Americas, and higher sales in other tire-related businesses of $27 million, primarily due to an increase in third-party sales of chemical products in Americas.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tire unit sales in the first quarter of 2021 were 35.0 million units, increasing 3.7 million units, or 11.7%, from 31.3 million units in the first quarter of 2020. Replacement tire volume increased globally by 3.2 million units, or 14.1%. OE tire volume increased 0.5 million units, or 5.2%, primarily in Asia Pacific and EMEA.</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goods sold (“CGS”) in the first quarter of 2021 was $2,751 million, increasing $199 million, or 7.8%, from $2,552 million in the first quarter of 2020. CGS increased primarily due to higher global tire volume of $217 million, foreign currency translation of $29 million, primarily in EMEA and Asia Pacific, partially offset by Americas, higher costs in other tire-related businesses of $29 million, driven by higher third-party chemical sales in Americas, and higher costs related to product mix of $27 million, primarily in EMEA, partially offset by Asia Pacific and Americas. CGS in the first quarter of 2021 was also impacted by out of period adjustments totaling $13 million ($12 million after-tax and minority) of expense, primarily related to the valuation of inventory in Americas from 2016 to 2020, with the majority attributable to 2019 and 2020. These increases were partially offset by lower conversion costs of $75 million, primarily due to favorable overhead absorption as a result of higher global factory utilization and savings from rationalization plans, primarily in Americas, lower raw material costs of $15 million, primarily in EMEA, and approximately $15 million of pandemic-related work in process inventory write-offs in 2020, primarily in Americas and EMEA.</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CGS in the first quarter of 2021 and 2020 included pension expense of $4 million for each period. CGS in the first quarter of 2020 also included accelerated depreciation of $4 million ($4 million after-tax and minority). CGS in the first quarter of 2021 included incremental savings from rationalization plans of $33 million, primarily in Americas. CGS was 78.4% of sales in the first quarter of 2021 compared to 83.5% in the first quarter of 2020.</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SAG in the first quarter of 2021 was $564 million, decreasing $17 million, or 2.9%, from $581 million in the first quarter of 2020. SAG decreased primarily due to lower bad debt expense of $11 million, primarily in EMEA, lower global travel-related expenses of $8 million, lower advertising expense of $7 million, primarily in Americas, and lower product liability costs of $4 million, primarily in Americas, partially offset by foreign currency translation of $16 million, primarily in EMEA and Asia Pacific.</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first quarter of 2021 and 2020 included pension expense of $4 million for each period. SAG in the first quarter of 2021 included incremental savings from rationalization plans of $2 million, compared to $1 million in 2020. SAG was 16.1% of sales in the first quarter of 2021, compared to 19.0% in the first quarter of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non-cash goodwill impairment charge of $182 million ($178 million after-tax and minority) related to our EMEA reporting unit in the first quarter of 2020.</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net rationalization charges of $50 million ($45 million after-tax and minority) in the first quarter of 2021 and $9 million ($7 million after-tax and minority) in the first quarter of 2020. Net rationalization charges in the first quarter of 2021 primarily related to a plan to reduce SAG headcount in EMEA, the plan to modernize two of our tire manufacturing facilities in Germany, and the plan to permanently close our Gadsden, Alabama tire manufacturing facility (“Gadsden”). Net rationalization charges in the first quarter of 2020 primarily related to the plan to modernize two of our tire manufacturing facilities in Germany. For further information, refer to Note to the Consolidated Financial Statements No. 3, Costs Associated with Rationalization Programs.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first quarter of 2021 was $79 million, increasing $6 million, or 8.2%, from $73 million in the first quarter of 2020. The average interest rate was 5.23% in the first quarter of 2021 compared to 4.79% in the first quarter of 2020. The average debt balance was $6,046 million in the first quarter of 2021 compared to $6,094 million in the first quarter of 2020.</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in the first quarter of 2021 was $34 million of expense, compared to $27 million of expense in the first quarter of 2020. Other (Income) Expense for the three months ended March 31, 2021 includes $8 million ($6 million after-tax and minority) of transaction costs related to the Merger Agreement with Cooper Tire. Other (Income) Expense in the first quarter of 2021 also included an out of period adjustment of $7 million ($7 million after-tax and minority) of expense related to foreign currency exchange in Americas primarily attributable to 2019 and 2020.</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2021, we recorded income tax expense of $15 million on income before income taxes of $33 million. The income tax expense for the three months ended March 31, 2021 includes net discrete charges of $3 million ($3 million after minority interest).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recorded income tax expense of $249 million on a loss before income taxes of $368 million. Income tax expense for the three months ended March 31, 2020 includes net discrete charges of $290 million ($290 million after minority interest), primarily related to the establishment of a $295 million valuation allowance on certain deferred tax assets for foreign tax credits.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the three months ended March 31, 2021 primarily relates to the discrete items noted above. The difference between our effective tax rate and the U.S. statutory rate of 21% for the three months ended March 31, 2020 primarily relates to the discrete items noted above, a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2021 and December 31, 2020, we had approximately $1.2 billion of U.S. federal, state and local deferred tax assets, net of valuation allowances totaling $368 million primarily for foreign tax credits with limited lives. Approximately $900 million of these U.S. net deferred tax assets have unlimited lives and approximately $300 million have limited lives and expire between 2025 and 2041. In the U.S., we have a cumulative loss for the three-year period ending March 31, 2021. However, as the three-year cumulative loss in the U.S. is driven by business disruptions created by the COVID-19 pandemic, in assessing our ability to utilize our deferred tax assets, we also considered objectively verifiable information including recent favorable recovery trends in the tire industry and our tire volume as well as expected continued improvement. While the COVID-19 related disruptions to our business are ultimately expected to be temporary, there is still considerable uncertainty around the extent and duration of these disruptions as well as what additional actions federal, state or local governments may take to contain the pandemic. As such, an additional valuation allowance may be required against all, or a portion of, our U.S. net deferred tax assets in a future period.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March 31, 2021 and December 31, 2020, our U.S. deferred tax assets included $140 million and $133 million, respectively, of foreign tax credits with limited lives, net of valuation allowances of $328 million, generated primarily from the 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along with the three significant sources of foreign income described above provide us sufficient positive, objectively verifiable evidence to conclude that it is more likely than not that, at March 31, 2021, our U.S. net deferred tax assets, including our foreign tax credits, net of valuation allowances, will be fully utilized.</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and December 31, 2020, we had approximately $1.2 billion and $1.3 billion of foreign deferred tax assets, respectively, and valuation allowances of $1.0 billion and $1.1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$923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first quarter of 2021 was $6 million, compared to $2 million in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impairment charges, and certain other items.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segment operating income for the first quarter of 2021 was $226 million, a change of $273 million from total segment operating loss of $47 million in the first quarter of 2020. Total segment operating margin (segment operating income divided by segment sales) in the first quarter of 2021 was 6.4% compared to (1.5%) in the first quarter of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jc w:val="right"/>
              <w:ind w:right="39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1,787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1,673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Americas unit sales in the first quarter of 2021 increased 1.0 million units, or 6.7%, to 15.5 million units. Replacement tire volume increased 1.2 million units, or 10.9%, primarily in our consumer business in the United States, driven by recovery from the economic impacts of the COVID-19 pandemic. OE tire volume decreased 0.2 million units, or 6.1%, primarily in our consumer business in the United States, primarily due to lower vehicle production driven by global supply chain disruptions and shortages of key manufacturing components, including semiconductor chips.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in the first quarter of 2021 were $1,787 million, increasing $114 million, or 6.8%, from $1,673 million in the first quarter of 2020. The increase in net sales was driven by higher volume of $88 million, improvements in price and product mix of $35 million, and higher sales in other tire-related businesses of $26 million, primarily due to an increase in third-party sales of chemical products. These increases were partially offset by unfavorable foreign currency translation of $36 million, primarily related to the Brazilian real. In the first quarter of 2021, a severe winter storm in the U.S. had a significant impact to our operations, including temporarily shutting down three chemical facilities, curtailing production at three tire plants, and impacting more than 170 consumer and commercial retail locations, which we estimate negatively impacted Americas net sales by approximately $24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in the first quarter of 2021 was $114 million, compared to breakeven in the first quarter of 2020. The increase in operating income was due to improvements in price and product mix of $43 million, which more than offset higher raw material costs of $7 million, lower conversion costs of $26 million, lower SAG of $24 million primarily related to lower wages and benefits, advertising and travel-related expenses reflecting actions taken as a result of the COVID-19 pandemic, higher tire volume of $20 million and approximately $10 million of pandemic-related work in process inventory write-offs in 2020. These increases were partially offset by out of period adjustments totaling $13 million of expense primarily related to the valuation of inventory from 2016 to 2020, with the majority attributable to 2019 and 2020. Conversion costs and SAG include savings from rationalization plans of $29 million and $2 million, respectively, in 2021, primarily related to Gadsden. Price and product mix includes TireHub equity losses of $1 million and $12 million in 2021 and 2020, respectively. We estimate the severe winter storm in the U.S. negatively impacted Americas operating income by approximately $17 million.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in the first quarter of 2021 excluded rationalization charges of $10 million, primarily related to the permanent closure of Gadsden.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in the first quarter of 2020 excluded asset write-offs and accelerated depreciation of $4 million and rationalization charges of $3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jc w:val="right"/>
              <w:ind w:right="39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995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Europe, Middle East and Africa unit sales in the first quarter of 2021 increased 1.1 million units, or 10.0%, to 12.7 million units. Replacement tire volume increased 0.9 million units, or 11.3%, primarily in our consumer business, reflecting increased industry demand due to recovery from the economic impacts of the COVID-19 pandemic, and the recovery of some volume lost in 2020 as a result of our ongoing initiative to align distribution in Europe. OE tire volume increased 0.2 million units, or 6.3%, reflecting share gains driven by new consumer fitments and the addition of new fleet customers.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quarter of 2021 were $1,231 million, increasing $236 million, or 23.7%, from $995 million in the first quarter of 2020. Net sales increased primarily due to higher volume of $96 million, improvements in price and product mix of $78 million, favorable foreign currency translation of $54 million, driven by the strengthening of the euro, and higher sales in other tire-related businesses of $8 million, primarily due to growth in our Fleet Solutions business.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income in the first quarter of 2021 was $74 million, a change of $127 million, from an operating loss of $53 million in the first quarter of 2020. The favorable change in operating income (loss) was primarily due to lower conversion costs of $37 million, primarily due to favorable overhead absorption as a result of higher factory utilization, improvements in price and product mix of $32 million, higher volume of $24 million, lower raw material costs of $17 million, lower SAG of $15 million, primarily related to lower bad debt expense, and approximately $5 million of pandemic-related work in process inventory write-offs in 2020. Conversion costs included incremental savings from rationalization plans of $4 million.</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income in the first quarter of 2021 excluded net rationalization charges of $36 million. Operating loss in the first quarter of 2020 excluded a non-cash goodwill impairment charge of $182 million, net rationalizations charges of $6 million, and net gains on asset sales of $1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7"/>
              </w:rPr>
              <w:t>Three Months Ended March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jc w:val="right"/>
              <w:ind w:right="39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Net Sales</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493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388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Operating Margin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Asia Pacific unit sales in the first quarter of 2021 increased 1.6 million units, or 29.2%, to 6.8 million units. Replacement tire volume increased 1.1 million units, or 31.1%, primarily in our consumer business in China and India. OE tire volume increased 0.5 million units, or 25.7%, primarily in our consumer business in China. These increases were primarily due to recovery from the economic impacts of the COVID-19 pandemic.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quarter of 2021 were $493 million, increasing $105 million, or 27.1%, from $388 million in the first quarter of 2020. Net sales increased due to higher volume of $100 million and favorable foreign currency translation of $23 million, primarily related to the strengthening of the Australian dollar and Chinese yuan. These increases were partially offset by unfavorable price and product mix of $11 million and lower sales in other tire-related businesses of $7 million, primarily due to lower retail and aviation sales.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income in the first quarter of 2021 was $38 million, increasing $32 million, from $6 million in the first quarter of 2020. Operating income increased due to higher volume of $23 million, lower conversion costs of $12 million, primarily due to favorable overhead absorption as a result of higher factory utilization, and lower raw material costs of $5 million. These increases were partially offset by higher SAG of $5 million, primarily related to higher bad debt expense, and lower earnings in other tire-related businesses of $3 million, primarily due to lower aviation and retail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2021, we completed several financing actions to provide funding for the acquisition of Cooper Tire and to improve our debt maturity profile.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the aggregate cash portion of the Merger consideration payable to Cooper Tire stockholders to be up to approximately $2.3 billion. We intend to finance the cash portion of the Merger consideration with a combination of cash on hand and debt financing, which could include senior unsecured bridge loans, senior unsecured notes and/or borrowings under our revolving credit facility. In connection with entering into the Merger Agreement, we entered into the Commitment Letter, pursuant to which, subject to the terms and conditions set forth therein, JPMorgan Chase Bank, N.A. and the other financial institutions party thereto have committed to provide the Bridge Facility in an aggregate principal amount of up to $2.314 billion. The funding of the Bridge Facility provided for in the Commitment Letter is subject to the satisfaction of customary conditions, including (i) the execution and delivery of definitive documentation with respect to the Bridge Facility in accordance with the terms set forth in the Commitment Letter and (ii) the consummation of the Merger in accordance with the Merger Agreement. Borrowings, if any, under the Bridge Facility will bear interest at a rate of LIBOR plus 3.5%, with a LIBOR floor of 0.5%. If utilized, we intend to replace the Bridge Facility with other long term financing arrangements; however, the terms of those arrangements cannot be determined at this time.</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23, 2021, we signed a commitment letter to amend and restate our $2.0 billion first lien revolving credit facility to, among other things, (i) increase the aggregate principal amount that may be borrowed thereunder to $2.75 billion, (ii) decrease the interest rate for loans thereunder by 50 basis points to LIBOR plus 125 basis points, based on our current liquidity, and (iii) extend the maturity date of the facility to the date that is the five-year anniversary of the effectiveness of the amendment, which is, among other things, conditioned upon completion of the Merger.</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6, 2021, we completed a public offering of $550 million 5.25% Senior Notes due 2031 and $450 million 5.625% Senior Notes due 2033. On April 6, 2021, we also issued a notice to redeem our $1.0 billion 5.125% Senior Notes due 2023 on May 6, 2021 at a price of 100% of the principal amount, plus accrued and unpaid interest through the redemption date. The redemption will be funded using the proceeds of the new debt offering, together with cash and cash equivalents. As a result of the redemption, we anticipate incurring approximately $5 million of debt extinguishment costs related to remaining unamortized debt issuance costs.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we had $1,223 million in cash and cash equivalents, compared to $1,539 million at December 31, 2020. For the three months ended March 31, 2021, net cash used by operating activities was $282 million, reflecting cash used for working capital of $563 million and rationalization payments of $83 million. Net cash used for operating activities also reflects net income for the period of $18 million, which includes non-cash charges for depreciation and amortization of $197 million as well as current-year changes in Balance Sheet accounts for Other Assets and Liabilities and Compensation and Benefits totaling $124 million. Net cash used by investing activities was $180 million, primarily representing capital expenditures of $185 million. Net cash provided by financing activities was $144 million, primarily due to net borrowings of $175 million, partially offset by debt-related costs and other financing transactions of $40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2021, we had $3,396 million of unused availability under our various credit agreements, compared to $3,881 million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unused availability under our credit facilities at those dates: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First lien revolving credit facility</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1,429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1,535</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European revolving credit facility</w:t>
            </w:r>
          </w:p>
        </w:tc>
        <w:tc>
          <w:tcPr>
            <w:tcW w:w="11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982</w:t>
            </w: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Chinese credit facilities</w:t>
            </w:r>
          </w:p>
        </w:tc>
        <w:tc>
          <w:tcPr>
            <w:tcW w:w="1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297</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Mexican credit facilities</w:t>
            </w:r>
          </w:p>
        </w:tc>
        <w:tc>
          <w:tcPr>
            <w:tcW w:w="11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48</w:t>
            </w: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foreign and domestic debt</w:t>
            </w:r>
          </w:p>
        </w:tc>
        <w:tc>
          <w:tcPr>
            <w:tcW w:w="1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380</w:t>
            </w: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 term credit arrangements</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639</w:t>
            </w: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88"/>
              </w:rPr>
              <w:t>3,396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3,881</w:t>
            </w: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 base under our first lien revolving credit facility is dependent, in significant part, on our eligible accounts receivable and inventory. Overall, our inventory levels have declined as a result of the impacts of the COVID-19 pandemic. A decline in our borrowing base reduces our availability under the first lien revolving credit facility. Additionally, the amounts available to us from our pan-European accounts receivable securitization facility and other accounts receivable factoring programs have declined due to the decline in our accounts receivable as a result of the impacts of the COVID-19 pandemic on our sales.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acquisition of Cooper Tire, we expect our 2021 cash flow needs to include capital expenditures of $800 million to $850 million. We also expect interest expense to be $350 million to $375 million; rationalization payments to be $175 million to $225 million; income tax payments to be $125 million to $150 million and contributions to our funded non-U.S. pension plans to be $25 million to $50 million. We expect working capital to be a use of cash for the full year of 2021 of $450 million to $500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as well as the acquisition of Cooper Tire, and to provide us with the ability to respond to further changes in the business environment.</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and Argentinian subsidiaries, which are subject to such requirements or limitations to be integral to our liquidity or our ability to service our debt and operational requirements. At March 31, 2021, approximately $704 million of net assets, including $219 million of cash and cash equivalents, were subject to such requirements. The requirements we must comply with to transfer funds out of China, South Africa and Argentina have not adversely impacted on our ability to make transfers out of those countries.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operating activities was $282 million in the first quarter of 2021, compared to net cash used by operating activities of $561 million in the first quarter of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$279 million improvement in net cash used by operating activities was primarily due to an increase in operating income from our SBUs of $273 million. A net increase in cash used for working capital of $81 million was largely offset by the favorable impact of a $76 million year-over-year change in Compensation and Benefits on the Balance Sheet.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increase in cash used for working capital reflects increases in cash used for Accounts Receivable of $320 million and Inventory of $88 million, partially offset by an increase in cash provided by Accounts Payable – Trade of $327 million. These changes were driven by our continued recovery from the impacts of the COVID-19 pandemic, which include higher sales volume and an increase in finished goods inventory as we continue to restock in order to meet anticipated 2021 demand.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by investing activities was $180 million in the first quarter of 2021, compared to $257 million in the first quarter of 2020. Capital expenditures were $185 million in the first quarter of 2021, compared to $211 million in the first quarter of 2020. Beyond expenditures required to sustain our facilities, capital expenditures in 2021 and 2020 primarily related to investments in additional 17-inch and above capacity around the world.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$144 million in the first quarter of 2021, compared to net cash provided by financing activities of $939 million in the first quarter of 2020. Financing activities in 2021 included net borrowings of $175 million, which were partially offset by debt-related costs and other financing transactions of $40 million. Financing activities in 2020 included net borrowings of $978 million, which were partially offset by dividends on our common stock of $37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aggregate, we had total credit arrangements of $9,318 million available at March 31, 2021, of which $3,396 million were unused, compared to $9,707 million available at December 31, 2020, of which $3,881 million were unused. At March 31, 2021, we had long term credit arrangements totaling $8,283 million, of which $2,785 million were unused, compared to $8,632 million and $3,242 million, respectively, at December 31, 2020. At March 31, 2021, we had short term committed and uncommitted credit arrangements totaling $1,035 million, of which $611 million were unused, compared to $1,075 million and $639 million, respectively, at December 31, 2020. The continued availability of the short term uncommitted arrangements is at the discretion of the relevant lender and may be terminated at any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$3,846 million of outstanding notes compared to $3,860 million at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2025</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LIBOR plus 175 basis points, and undrawn amounts under the facility will be subject to an annual commitment fee of 25 basis points.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In addition, if the amount of outstanding borrowings and letters of credit under the facility exceeds the borrowing base, we are required to prepay borrowings and/or cash collateralize letters of credit sufficient to eliminate the excess. As of March 31, 2021, our borrowing base, and therefore our availability, under the facility was $570 million below the facility's stated amount of $2.0 billion.</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we had no borrowings and $1 million of letters of credit issued under the revolving credit facility. At December 31, 2020, we had no borrowings and $11 million of letters of credit issued under the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$346 million in letters of credit issued under bilateral letter of credit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the amounts outstanding under this facility were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2021 and December 31, 2020, there were no borrowings and no letters of credit outstanding under the European revolving credit facility.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under the first lien facility and December 31, 2018 under the European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is €280 million.</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the amounts available and utilized under this program totaled $158 million (€135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March 31, 2021, the gross amount of receivables sold was $459 million, compared to $451 million at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Arial" w:cs="Arial" w:eastAsia="Arial" w:hAnsi="Arial"/>
          <w:sz w:val="18"/>
          <w:szCs w:val="18"/>
          <w:color w:val="252525"/>
        </w:rPr>
        <w:t>Our obligations to our suppliers, including the amounts due and scheduled payment dates, are not impacted</w:t>
      </w:r>
      <w:r>
        <w:rPr>
          <w:rFonts w:ascii="Arial" w:cs="Arial" w:eastAsia="Arial" w:hAnsi="Arial"/>
          <w:sz w:val="18"/>
          <w:szCs w:val="18"/>
          <w:color w:val="auto"/>
        </w:rPr>
        <w:t xml:space="preserve"> </w:t>
      </w:r>
      <w:r>
        <w:rPr>
          <w:rFonts w:ascii="Arial" w:cs="Arial" w:eastAsia="Arial" w:hAnsi="Arial"/>
          <w:sz w:val="18"/>
          <w:szCs w:val="18"/>
          <w:color w:val="252525"/>
        </w:rPr>
        <w:t xml:space="preserve">by our suppliers' decisions to sell their receivables under the programs. Agreements for such financing programs totaled up to $500 million at </w:t>
      </w:r>
      <w:r>
        <w:rPr>
          <w:rFonts w:ascii="Arial" w:cs="Arial" w:eastAsia="Arial" w:hAnsi="Arial"/>
          <w:sz w:val="18"/>
          <w:szCs w:val="18"/>
          <w:color w:val="000000"/>
        </w:rPr>
        <w:t>March 31,</w:t>
      </w:r>
      <w:r>
        <w:rPr>
          <w:rFonts w:ascii="Arial" w:cs="Arial" w:eastAsia="Arial" w:hAnsi="Arial"/>
          <w:sz w:val="18"/>
          <w:szCs w:val="18"/>
          <w:color w:val="252525"/>
        </w:rPr>
        <w:t xml:space="preserve"> </w:t>
      </w:r>
      <w:r>
        <w:rPr>
          <w:rFonts w:ascii="Arial" w:cs="Arial" w:eastAsia="Arial" w:hAnsi="Arial"/>
          <w:sz w:val="18"/>
          <w:szCs w:val="18"/>
          <w:color w:val="000000"/>
        </w:rPr>
        <w:t xml:space="preserve">2021 and </w:t>
      </w:r>
      <w:r>
        <w:rPr>
          <w:rFonts w:ascii="Arial" w:cs="Arial" w:eastAsia="Arial" w:hAnsi="Arial"/>
          <w:sz w:val="18"/>
          <w:szCs w:val="18"/>
          <w:color w:val="252525"/>
        </w:rPr>
        <w:t>December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5, 2021, the ICE Benchmark Administration, the administrator of LIBOR (“IBA”), confirmed its previously announced plans to cease publication of USD LIBOR on December 31, 2021 for only the one week and two month USD LIBOR tenors, and on June 30, 2023 for all other USD LIBOR tenors. In addition, the IBA will also cease publication of all tenors of euro, Swiss franc, Japanese yen and British pound LIBOR on December 31, 2021.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amended and restated first lien revolving credit facility, our second lien term loan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8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our 2020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8, Financing Arrangements and Derivative Financial Instruments, in this Form 10-Q.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62" w:lineRule="exact"/>
        <w:rPr>
          <w:sz w:val="20"/>
          <w:szCs w:val="20"/>
          <w:color w:val="auto"/>
        </w:rPr>
      </w:pPr>
    </w:p>
    <w:p>
      <w:pPr>
        <w:jc w:val="both"/>
        <w:ind w:left="800" w:hanging="401"/>
        <w:spacing w:after="0" w:line="25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$200 million. If this were to occur, our ratio of EBITDA to Consolidated Interest Expense may not be less than 2.0 to 1.0 for the most recent period of four consecutive fiscal quarters. As of March 31, 2021, our unused availability under this facility of $1,429 million, plus our Available Cash of $215 million, totaled $1,644 million, which is in excess of $200 million.</w:t>
      </w:r>
    </w:p>
    <w:p>
      <w:pPr>
        <w:spacing w:after="0" w:line="84" w:lineRule="exact"/>
        <w:rPr>
          <w:rFonts w:ascii="Arial" w:cs="Arial" w:eastAsia="Arial" w:hAnsi="Arial"/>
          <w:sz w:val="18"/>
          <w:szCs w:val="18"/>
          <w:color w:val="auto"/>
        </w:rPr>
      </w:pPr>
    </w:p>
    <w:p>
      <w:pPr>
        <w:jc w:val="both"/>
        <w:ind w:left="800" w:hanging="401"/>
        <w:spacing w:after="0" w:line="30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Consolidated Interest Expense described above is not applicable and the conditions to borrowing under the first lien revolving credit facility are met.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GEBV Indebtedness also excludes loans from other consolidated Goodyear entities. This financial covenant is also included in our pan-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European accounts receivable securitization facility. At March 31, 2021, we were in compliance with this financial covenant.</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2021, we were in compliance with the currently applicable material covenants imposed by our principal credit facilities and indentures.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future liquidity requirements, including the acquisition of Cooper Tire,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three months of 2020, we paid cash dividends of $37 million on our common stock. This amount excludes dividends earned on stock-based compensation plans of approximately $1 million for the first three months of 2020. On April 16, 2020, we announced that we have suspended the quarterly dividend on our common stock.</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repurchase shares of our common stock under programs approved by the Board of Directors. During the first quarter of 2021, we did not repurchase any shares of our common stock under such programs.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imposed by our credit facilities and indentures are not expected to affect our ability to pay dividends or repurchase our capital stock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subsidiaries, which are listed on Exhibit 22.1 to this Quarterly Report on Form 10-Q and are generally holding companies or smaller operating companies, have guaranteed our obligations under the $1.0 billion outstanding principal amount of 5.125% senior notes due 2023, the $800 million outstanding principal amount of 9.5% senior notes due 2025, the $900 million outstanding principal amount of 5% senior notes due 2026 and the $700 million outstanding principal amount of 4.875% senior notes due 2027 (collectively, the “Notes”).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6" w:lineRule="exact"/>
        <w:rPr>
          <w:sz w:val="20"/>
          <w:szCs w:val="20"/>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1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9"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30"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8" w:lineRule="exact"/>
        <w:rPr>
          <w:rFonts w:ascii="Arial" w:cs="Arial" w:eastAsia="Arial" w:hAnsi="Arial"/>
          <w:sz w:val="18"/>
          <w:szCs w:val="18"/>
          <w:color w:val="auto"/>
        </w:rPr>
      </w:pPr>
    </w:p>
    <w:p>
      <w:pPr>
        <w:jc w:val="both"/>
        <w:ind w:left="800" w:hanging="401"/>
        <w:spacing w:after="0" w:line="311"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4"/>
                <w:szCs w:val="14"/>
                <w:b w:val="1"/>
                <w:bCs w:val="1"/>
                <w:color w:val="auto"/>
                <w:w w:val="90"/>
              </w:rPr>
              <w:t>Summarized Balance Sheets</w:t>
            </w:r>
          </w:p>
        </w:tc>
        <w:tc>
          <w:tcPr>
            <w:tcW w:w="640" w:type="dxa"/>
            <w:vAlign w:val="bottom"/>
            <w:tcBorders>
              <w:bottom w:val="single" w:sz="8" w:color="auto"/>
            </w:tcBorders>
          </w:tcPr>
          <w:p>
            <w:pPr>
              <w:spacing w:after="0"/>
              <w:rPr>
                <w:sz w:val="14"/>
                <w:szCs w:val="14"/>
                <w:color w:val="auto"/>
              </w:rPr>
            </w:pPr>
          </w:p>
        </w:tc>
      </w:tr>
      <w:tr>
        <w:trPr>
          <w:trHeight w:val="133"/>
        </w:trPr>
        <w:tc>
          <w:tcPr>
            <w:tcW w:w="668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jc w:val="right"/>
              <w:ind w:right="27"/>
              <w:spacing w:after="0" w:line="133"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1"/>
                <w:szCs w:val="11"/>
                <w:color w:val="auto"/>
              </w:rPr>
            </w:pPr>
          </w:p>
        </w:tc>
      </w:tr>
      <w:tr>
        <w:trPr>
          <w:trHeight w:val="171"/>
        </w:trPr>
        <w:tc>
          <w:tcPr>
            <w:tcW w:w="66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r>
              <w:rPr>
                <w:rFonts w:ascii="Arial" w:cs="Arial" w:eastAsia="Arial" w:hAnsi="Arial"/>
                <w:sz w:val="15"/>
                <w:szCs w:val="15"/>
                <w:color w:val="auto"/>
              </w:rPr>
              <w:t>(1)</w:t>
            </w:r>
          </w:p>
        </w:tc>
        <w:tc>
          <w:tcPr>
            <w:tcW w:w="1340" w:type="dxa"/>
            <w:vAlign w:val="bottom"/>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4,662</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5,406</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5,426</w:t>
            </w:r>
          </w:p>
        </w:tc>
      </w:tr>
      <w:tr>
        <w:trPr>
          <w:trHeight w:val="230"/>
        </w:trPr>
        <w:tc>
          <w:tcPr>
            <w:tcW w:w="66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jc w:val="right"/>
              <w:ind w:right="11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19"/>
                <w:szCs w:val="19"/>
                <w:color w:val="auto"/>
              </w:rPr>
            </w:pPr>
          </w:p>
        </w:tc>
        <w:tc>
          <w:tcPr>
            <w:tcW w:w="1540" w:type="dxa"/>
            <w:vAlign w:val="bottom"/>
          </w:tcPr>
          <w:p>
            <w:pPr>
              <w:jc w:val="right"/>
              <w:ind w:right="13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1,960</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Non-Current Liabilities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7,473</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7,538</w:t>
            </w:r>
          </w:p>
        </w:tc>
      </w:tr>
    </w:tbl>
    <w:p>
      <w:pPr>
        <w:spacing w:after="0" w:line="107" w:lineRule="exact"/>
        <w:rPr>
          <w:sz w:val="20"/>
          <w:szCs w:val="20"/>
          <w:color w:val="auto"/>
        </w:rPr>
      </w:pPr>
    </w:p>
    <w:p>
      <w:pPr>
        <w:ind w:left="800" w:right="20" w:hanging="792"/>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$2,399 million and $2,428 million as of March 31, 2021 and December 31, 2020,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Summarized Statements of Operations</w:t>
            </w:r>
          </w:p>
        </w:tc>
      </w:tr>
      <w:tr>
        <w:trPr>
          <w:trHeight w:val="133"/>
        </w:trPr>
        <w:tc>
          <w:tcPr>
            <w:tcW w:w="6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1"/>
                <w:szCs w:val="11"/>
                <w:color w:val="auto"/>
              </w:rPr>
            </w:pPr>
          </w:p>
        </w:tc>
        <w:tc>
          <w:tcPr>
            <w:tcW w:w="1920" w:type="dxa"/>
            <w:vAlign w:val="bottom"/>
          </w:tcPr>
          <w:p>
            <w:pPr>
              <w:jc w:val="right"/>
              <w:ind w:right="713"/>
              <w:spacing w:after="0" w:line="133" w:lineRule="exact"/>
              <w:rPr>
                <w:sz w:val="20"/>
                <w:szCs w:val="20"/>
                <w:color w:val="auto"/>
              </w:rPr>
            </w:pPr>
            <w:r>
              <w:rPr>
                <w:rFonts w:ascii="Arial" w:cs="Arial" w:eastAsia="Arial" w:hAnsi="Arial"/>
                <w:sz w:val="14"/>
                <w:szCs w:val="14"/>
                <w:b w:val="1"/>
                <w:bCs w:val="1"/>
                <w:color w:val="auto"/>
              </w:rPr>
              <w:t>Year Ended</w:t>
            </w:r>
          </w:p>
        </w:tc>
      </w:tr>
      <w:tr>
        <w:trPr>
          <w:trHeight w:val="171"/>
        </w:trPr>
        <w:tc>
          <w:tcPr>
            <w:tcW w:w="6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2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March 31, 2021</w:t>
            </w:r>
          </w:p>
        </w:tc>
        <w:tc>
          <w:tcPr>
            <w:tcW w:w="260" w:type="dxa"/>
            <w:vAlign w:val="bottom"/>
          </w:tcPr>
          <w:p>
            <w:pPr>
              <w:spacing w:after="0"/>
              <w:rPr>
                <w:sz w:val="14"/>
                <w:szCs w:val="14"/>
                <w:color w:val="auto"/>
              </w:rPr>
            </w:pPr>
          </w:p>
        </w:tc>
        <w:tc>
          <w:tcPr>
            <w:tcW w:w="1920" w:type="dxa"/>
            <w:vAlign w:val="bottom"/>
          </w:tcPr>
          <w:p>
            <w:pPr>
              <w:jc w:val="right"/>
              <w:ind w:right="493"/>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1,661</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6,114</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5,277</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2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1,094</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spacing w:after="0"/>
              <w:rPr>
                <w:sz w:val="19"/>
                <w:szCs w:val="19"/>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148</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Rationalizations</w:t>
            </w:r>
          </w:p>
        </w:tc>
        <w:tc>
          <w:tcPr>
            <w:tcW w:w="2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257</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Income (Loss) before Income Taxes</w:t>
            </w:r>
            <w:r>
              <w:rPr>
                <w:rFonts w:ascii="Arial" w:cs="Arial" w:eastAsia="Arial" w:hAnsi="Arial"/>
                <w:sz w:val="15"/>
                <w:szCs w:val="15"/>
                <w:color w:val="auto"/>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6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r>
    </w:tbl>
    <w:p>
      <w:pPr>
        <w:spacing w:after="0" w:line="94" w:lineRule="exact"/>
        <w:rPr>
          <w:sz w:val="20"/>
          <w:szCs w:val="20"/>
          <w:color w:val="auto"/>
        </w:rPr>
      </w:pPr>
    </w:p>
    <w:p>
      <w:pPr>
        <w:jc w:val="both"/>
        <w:ind w:left="800" w:hanging="792"/>
        <w:spacing w:after="0" w:line="263"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$107 million for the three months ended March 31, 2021, primarily from royalties, dividends, interest and intercompany product sales, and $527 million for the year ended December 31, 2020, primarily from royalties, dividends, interest and intercompany product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84" w:lineRule="exact"/>
        <w:rPr>
          <w:sz w:val="20"/>
          <w:szCs w:val="20"/>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liquidity are expected to be adversely impacted by the COVID-19 pandemic, and that impact may be material;</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risks and uncertainties regarding our pending acquisition of Cooper Tire and our ability to achieve the expected benefits of such acquisition;</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raw material and energy costs may materially adversely affect our operating results and financial condition;</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experience a labor strike, work stoppage or other similar event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55"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55" w:lineRule="exact"/>
        <w:rPr>
          <w:rFonts w:ascii="Arial" w:cs="Arial" w:eastAsia="Arial" w:hAnsi="Arial"/>
          <w:sz w:val="17"/>
          <w:szCs w:val="17"/>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44"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March 31, 2021, 25% of our debt was at variable interest rates averaging 2.87%.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March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4,050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4,216</w:t>
            </w: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4,274</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information assumes a 100 basis point decrease in market interest rates at March 31, 2021, and reflects the estimated fair value of fixed rate debt outstanding at that date under that assumption. The sensitivity of our fixed rate debt to changes in interest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March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Fair value — asset (liability)</w:t>
            </w:r>
          </w:p>
        </w:tc>
        <w:tc>
          <w:tcPr>
            <w:tcW w:w="41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Pro forma decrease in fair value</w:t>
            </w:r>
          </w:p>
        </w:tc>
        <w:tc>
          <w:tcPr>
            <w:tcW w:w="4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Contract maturities</w:t>
            </w:r>
          </w:p>
        </w:tc>
        <w:tc>
          <w:tcPr>
            <w:tcW w:w="4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4/21-3/22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March 31, 2021,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March 31, 2021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 (liability):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45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4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2021 (the end of the period covered by this Quarterly Report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reported in our Form 10-K for the year ended December 31, 2020, we were one of numerous defendants in legal proceedings in certain state and federal courts involving approximately 38,700 claimants relating to their alleged exposure to materials containing asbestos in products allegedly manufactured by us or asbestos materials present in our facilities. During the first three months of 2021, approximately 300 new claims were filed against us and approximately 300 were settled or dismissed. The amounts expended on asbestos defense and claim resolution by us and our insurers during the first quarter of 2021 was $4 million. At March 31, 2021, there were approximately 38,700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Approximately 850 former employees of the closed Amiens, France manufacturing facility have asserted wrongful termination or other claims totaling approximately €140 million ($164 million) against Goodyear France SAS. On May 28, 2020, Goodyear France SAS received a judgment from the labor court with respect to approximately 790 of these former employees. As a result of this ruling and settlement discussions to resolve these claims and other similar claims, we recognized €27 million, primarily in 2020, for estimated additional termination benefits. During the first quarter of 2021, we reached settlement agreements with substantially all of the former employees and are filing appropriate proceedings with the labor court to conclude the related legal proceedings. We will continue to defend ourselves against any remaining claims and any additional claims that may be asserted against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Relating to the Cooper Tire Merger</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March 19, 2021, a purported Cooper Tire stockholder filed an action against Cooper Tire and the members of the Cooper Tire Board of Directors (the “Cooper Tire Board”), captioned </w:t>
      </w:r>
      <w:r>
        <w:rPr>
          <w:rFonts w:ascii="Arial" w:cs="Arial" w:eastAsia="Arial" w:hAnsi="Arial"/>
          <w:sz w:val="17"/>
          <w:szCs w:val="17"/>
          <w:i w:val="1"/>
          <w:iCs w:val="1"/>
          <w:color w:val="auto"/>
        </w:rPr>
        <w:t>Stein v. Cooper Tire &amp; Rubber Company, et al.</w:t>
      </w:r>
      <w:r>
        <w:rPr>
          <w:rFonts w:ascii="Arial" w:cs="Arial" w:eastAsia="Arial" w:hAnsi="Arial"/>
          <w:sz w:val="17"/>
          <w:szCs w:val="17"/>
          <w:color w:val="auto"/>
        </w:rPr>
        <w:t xml:space="preserve">, No. 1:21-cv-00407, in the United States District Court for the District of Delaware (the “Stein action”). On March 25, 2021, a purported Cooper Tire stockholder filed an action against Cooper Tire and the members of the Cooper Tire Board, captioned </w:t>
      </w:r>
      <w:r>
        <w:rPr>
          <w:rFonts w:ascii="Arial" w:cs="Arial" w:eastAsia="Arial" w:hAnsi="Arial"/>
          <w:sz w:val="17"/>
          <w:szCs w:val="17"/>
          <w:i w:val="1"/>
          <w:iCs w:val="1"/>
          <w:color w:val="auto"/>
        </w:rPr>
        <w:t>Miles v. Cooper Tire &amp; Rubber Company, et al.</w:t>
      </w:r>
      <w:r>
        <w:rPr>
          <w:rFonts w:ascii="Arial" w:cs="Arial" w:eastAsia="Arial" w:hAnsi="Arial"/>
          <w:sz w:val="17"/>
          <w:szCs w:val="17"/>
          <w:color w:val="auto"/>
        </w:rPr>
        <w:t xml:space="preserve">, No. 2:21-cv-06762, in the United States District Court for the District of New Jersey (the “Miles action”). On March 26, 2021, a purported Cooper Tire stockholder filed an action against Cooper Tire, the members of the Cooper Tire Board, Goodyear and Merger Sub, captioned </w:t>
      </w:r>
      <w:r>
        <w:rPr>
          <w:rFonts w:ascii="Arial" w:cs="Arial" w:eastAsia="Arial" w:hAnsi="Arial"/>
          <w:sz w:val="17"/>
          <w:szCs w:val="17"/>
          <w:i w:val="1"/>
          <w:iCs w:val="1"/>
          <w:color w:val="auto"/>
        </w:rPr>
        <w:t>Griffin v. Cooper Tire &amp; Rubber Company, et al.</w:t>
      </w:r>
      <w:r>
        <w:rPr>
          <w:rFonts w:ascii="Arial" w:cs="Arial" w:eastAsia="Arial" w:hAnsi="Arial"/>
          <w:sz w:val="17"/>
          <w:szCs w:val="17"/>
          <w:color w:val="auto"/>
        </w:rPr>
        <w:t xml:space="preserve">, No. 1:21-cv-00452, in the United States District Court for the District of Delaware (the “Griffin action”). On April 5, 2021, a purported Cooper Tire stockholder filed an action against Cooper Tire and the members of the Cooper Tire Board, captioned </w:t>
      </w:r>
      <w:r>
        <w:rPr>
          <w:rFonts w:ascii="Arial" w:cs="Arial" w:eastAsia="Arial" w:hAnsi="Arial"/>
          <w:sz w:val="17"/>
          <w:szCs w:val="17"/>
          <w:i w:val="1"/>
          <w:iCs w:val="1"/>
          <w:color w:val="auto"/>
        </w:rPr>
        <w:t>Rosenfeld Family Foundation v. Cooper Tire &amp; Rubber Company, et al.</w:t>
      </w:r>
      <w:r>
        <w:rPr>
          <w:rFonts w:ascii="Arial" w:cs="Arial" w:eastAsia="Arial" w:hAnsi="Arial"/>
          <w:sz w:val="17"/>
          <w:szCs w:val="17"/>
          <w:color w:val="auto"/>
        </w:rPr>
        <w:t xml:space="preserve">, No. 1:21-cv-00497, in the United States District Court for the District of Delaware (the “Rosenfeld action”). On April 6, 2021, a purported Cooper Tire stockholder filed an action against Cooper Tire and the members of the Cooper Tire Board, captioned </w:t>
      </w:r>
      <w:r>
        <w:rPr>
          <w:rFonts w:ascii="Arial" w:cs="Arial" w:eastAsia="Arial" w:hAnsi="Arial"/>
          <w:sz w:val="17"/>
          <w:szCs w:val="17"/>
          <w:i w:val="1"/>
          <w:iCs w:val="1"/>
          <w:color w:val="auto"/>
        </w:rPr>
        <w:t>Parshall v. Cooper Tire &amp; Rubber Company, et al.</w:t>
      </w:r>
      <w:r>
        <w:rPr>
          <w:rFonts w:ascii="Arial" w:cs="Arial" w:eastAsia="Arial" w:hAnsi="Arial"/>
          <w:sz w:val="17"/>
          <w:szCs w:val="17"/>
          <w:color w:val="auto"/>
        </w:rPr>
        <w:t>, No. 1:21-cv-00504, in the United States District Court for the District of Delaware (the “Parshall action,” and together with the Stein action, the Miles action, the Griffin action and the Rosenfeld action, the “Stockholder actions”). The Stockholder actions generally allege that Cooper Tire and its directors violated the federal securities laws, including Sections 14(a) and 20(a) of the Exchange Act and Rule 14a-9 promulgated thereunder, by issuing a materially incomplete and misleading registration statement on Form S-4. The Stockholder actions seek, among other things, to enjoin the transactions contemplated by the Merger Agreement and an award of attorneys’ fees and expenses.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On April 23, 2021, the Stein action and the Griffin action were voluntarily dismissed by the plaintiffs.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allegations in the Stockholder actions are without merit. Additional lawsuits or demands arising out of the Merger may also be filed or made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3 of Part I of our 2020 Form 10-K for additional discussion of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Merger with Cooper Tire is subject to conditions, some or all of which may not be satisfied, or completed on a timely basis, if at all. Failure to complete the Merger in a timely manner or at all could have adverse effects on Goodyear.</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completion of the Merger is subject to a number of conditions, including, among others, (i) the approval by Cooper Tire stockholders of the adoption of the Merger Agreement and (ii) U.S. and non-U.S. regulatory approvals, which make the completion and timing of the completion of the Merger uncertain. Also, either Goodyear or Cooper Tire may terminate the Merger Agreement if the Merger has not been consummated by November 22, 2021 (or, in certain circumstances, as such date may be extended to February 22, 2022 or further extended to May 23, 2022 pursuant to the Merger Agreement), except that this right to terminate the Merger Agreement is not available to any party that has breached any provision of the Merger Agreement or, in the case of Goodyear or Merger Sub, the Commitment Letter, where such breach has been the proximate cause of the failure to consummate the Merger.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Merger is not completed, our ongoing business, financial condition, financial results and stock price may be materially adversely affected. Without realizing any of the benefits of having completed the Merger, we will be subject to a number of risks, including the following:</w:t>
      </w:r>
    </w:p>
    <w:p>
      <w:pPr>
        <w:spacing w:after="0" w:line="62" w:lineRule="exact"/>
        <w:rPr>
          <w:sz w:val="20"/>
          <w:szCs w:val="20"/>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Goodyear common stock could decline to the extent that the current market price reflects a market assumption that the transaction will be completed;</w:t>
      </w:r>
    </w:p>
    <w:p>
      <w:pPr>
        <w:spacing w:after="0" w:line="62" w:lineRule="exact"/>
        <w:rPr>
          <w:rFonts w:ascii="Arial" w:cs="Arial" w:eastAsia="Arial" w:hAnsi="Arial"/>
          <w:sz w:val="18"/>
          <w:szCs w:val="18"/>
          <w:color w:val="auto"/>
        </w:rPr>
      </w:pPr>
    </w:p>
    <w:p>
      <w:pPr>
        <w:ind w:left="800" w:right="20" w:hanging="401"/>
        <w:spacing w:after="0" w:line="30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Merger Agreement is terminated and we seek another business combination, our shareholders cannot be certain that we will be able to find a party willing to enter into a transaction on terms equivalent to or more attractive than the terms of the Merger Agreement;</w:t>
      </w:r>
    </w:p>
    <w:p>
      <w:pPr>
        <w:spacing w:after="0" w:line="38"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Merger could otherwise have been devoted to pursuing other beneficial opportunities for Goodyear;</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or from our customers, suppliers or employees;</w:t>
      </w:r>
    </w:p>
    <w:p>
      <w:pPr>
        <w:spacing w:after="0" w:line="117"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Merger, such as legal, accounting, financial advisory and printing fees, whether or not the Merger is completed; and</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related to any failure to complete the Merger or related to any enforcement proceeding commenced against us to perform our obligations pursuant to the Merger Agreement.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materialization of any of these risks could adversely impact our ongoing business, financial condition, financial results and stock price. Similarly, delays in the completion of the Merger could, among other things, result in additional transaction costs, loss of revenue or other negative effects associated with uncertainty about completion of the Merger.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Completion of the Merger may trigger change in control or other provisions in certain agreements to which Cooper Tire or its subsidiaries is a party, which may have an adverse impact on our business and results of operations after the Merger.</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completion of the Merger may trigger change in control and other provisions in certain agreements to which Cooper Tire is a party. If Goodyear and Cooper Tire are unable to negotiate waivers of those provisions, the counterparties may exercise their rights and remedies under the agreements, potentially terminating the agreements or seeking monetary damages. Even if Goodyear and Cooper Tire are able to negotiate waivers, the counterparties may require a fee for such waivers or seek to renegotiate the agreements on terms less favorable to Cooper Tire or Goodyear following the transaction. Any of the foregoing or similar developments may have an adverse impact on our business and operations after the completion of the Merger.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will be diluted by the Merger.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Merger will dilute the ownership position of our current shareholders. We expect to issue up to approximately 46.4 million shares of Goodyear common stock to Cooper Tire stockholders in the Merger (including Goodyear common stock to be issued in connection with outstanding Cooper Tire long-term incentive awards). As a result of these issuances, current Goodyear shareholders and Cooper Tire stockholders are expected to hold approximately 84% and 16%, respectively, of Goodyear’s outstanding common stock immediately following completion of the Merger.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intended benefits of the Merger and the Merger may disrupt our current plans or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can be no assurance that we will be able to successfully integrate Cooper Tire’s assets or otherwise realize the expected benefits of the potential transaction (including operating and other cost synergies). Difficulties in integrating Cooper Tire into Goodyear may result in Goodyear performing differently than expected, in operational challenges, in the failure to realize anticipated run-rate cost synergies and efficiencies in the expected timeframe or at all, or in the difficulty or failure of utilizing our available U.S. tax attributes, in which case the Merger may not be accretive to earnings per share, may not improve our balance sheet position, may not enhance our ability to delever and may not generate additional free cash flow due to reduced cash tax payments. The integration of the two companies may result in material challenges, including the diversion of management’s attention from ongoing business concerns; retaining key management and other employees; retaining or attracting business and operational relationships; the possibility of faulty assumptions underlying expectations regarding the integration process and associated expenses; consolidating corporate and administrative infrastructures and eliminating duplicative operations; coordinating geographically separate organizations; unanticipated issues in integrating information technology, communications and other systems; as well as potential unknown liabilities, unforeseen expenses relating to integration, or delays associated with the acquisition.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in our 2020 Form 10-K for a discussion of our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66040</wp:posOffset>
            </wp:positionV>
            <wp:extent cx="1611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March 31, 2021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OF EXHIBITS</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20" w:type="dxa"/>
            <w:vAlign w:val="bottom"/>
            <w:gridSpan w:val="3"/>
          </w:tcPr>
          <w:p>
            <w:pPr>
              <w:jc w:val="center"/>
              <w:ind w:right="416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tcPr>
          <w:p>
            <w:pPr>
              <w:jc w:val="center"/>
              <w:ind w:right="4160"/>
              <w:spacing w:after="0" w:line="149" w:lineRule="exact"/>
              <w:rPr>
                <w:sz w:val="20"/>
                <w:szCs w:val="20"/>
                <w:color w:val="auto"/>
              </w:rPr>
            </w:pPr>
            <w:r>
              <w:rPr>
                <w:rFonts w:ascii="Arial" w:cs="Arial" w:eastAsia="Arial" w:hAnsi="Arial"/>
                <w:sz w:val="14"/>
                <w:szCs w:val="14"/>
                <w:b w:val="1"/>
                <w:bCs w:val="1"/>
                <w:color w:val="auto"/>
                <w:w w:val="92"/>
              </w:rPr>
              <w:t>Table</w:t>
            </w:r>
          </w:p>
        </w:tc>
        <w:tc>
          <w:tcPr>
            <w:tcW w:w="1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8"/>
        </w:trPr>
        <w:tc>
          <w:tcPr>
            <w:tcW w:w="46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7"/>
              </w:rPr>
              <w:t>Item</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216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940" w:hanging="619"/>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121" w:lineRule="exact"/>
        <w:rPr>
          <w:sz w:val="20"/>
          <w:szCs w:val="20"/>
          <w:color w:val="auto"/>
        </w:rPr>
      </w:pPr>
    </w:p>
    <w:p>
      <w:pPr>
        <w:jc w:val="both"/>
        <w:ind w:left="940" w:right="1120" w:hanging="674"/>
        <w:spacing w:after="0" w:line="263" w:lineRule="auto"/>
        <w:tabs>
          <w:tab w:leader="none" w:pos="940" w:val="left"/>
        </w:tabs>
        <w:numPr>
          <w:ilvl w:val="0"/>
          <w:numId w:val="12"/>
        </w:numPr>
        <w:rPr>
          <w:rFonts w:ascii="Arial" w:cs="Arial" w:eastAsia="Arial" w:hAnsi="Arial"/>
          <w:sz w:val="18"/>
          <w:szCs w:val="18"/>
          <w:color w:val="0000EE"/>
        </w:rPr>
      </w:pPr>
      <w:hyperlink r:id="rId60">
        <w:r>
          <w:rPr>
            <w:rFonts w:ascii="Arial" w:cs="Arial" w:eastAsia="Arial" w:hAnsi="Arial"/>
            <w:sz w:val="18"/>
            <w:szCs w:val="18"/>
            <w:u w:val="single" w:color="auto"/>
            <w:color w:val="0000EE"/>
          </w:rPr>
          <w:t>Agreement and Plan of Merger, dated as of February 22, 2021, by and among the Company, Vulcan Merger Sub Inc. and</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Cooper Tire &amp; Rubber Company (incorporated by reference, filed as Exhibit 2.1 to the Company’s Current Report on Form</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8-K, filed February 25, 2021, File No. 1-1927).</w:t>
        </w:r>
        <w:r>
          <w:rPr>
            <w:rFonts w:ascii="Arial" w:cs="Arial" w:eastAsia="Arial" w:hAnsi="Arial"/>
            <w:sz w:val="18"/>
            <w:szCs w:val="18"/>
            <w:color w:val="000000"/>
          </w:rPr>
          <w:t>*</w:t>
        </w:r>
      </w:hyperlink>
    </w:p>
    <w:p>
      <w:pPr>
        <w:spacing w:after="0" w:line="184" w:lineRule="exact"/>
        <w:rPr>
          <w:rFonts w:ascii="Arial" w:cs="Arial" w:eastAsia="Arial" w:hAnsi="Arial"/>
          <w:sz w:val="18"/>
          <w:szCs w:val="18"/>
          <w:u w:val="single" w:color="auto"/>
          <w:color w:val="0000EE"/>
        </w:rPr>
      </w:pPr>
    </w:p>
    <w:p>
      <w:pPr>
        <w:ind w:left="940" w:right="1120" w:hanging="1"/>
        <w:spacing w:after="0" w:line="308" w:lineRule="auto"/>
        <w:tabs>
          <w:tab w:leader="none" w:pos="12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Item 601(a)(5) of Regulation S-K, certain schedules and similar attachments have been omitted. The registrant hereby agrees to furnish a copy of any omitted schedule or similar attachment to the SEC upon request.</w:t>
      </w:r>
    </w:p>
    <w:p>
      <w:pPr>
        <w:spacing w:after="0" w:line="7" w:lineRule="exact"/>
        <w:rPr>
          <w:rFonts w:ascii="Arial" w:cs="Arial" w:eastAsia="Arial" w:hAnsi="Arial"/>
          <w:sz w:val="18"/>
          <w:szCs w:val="18"/>
          <w:u w:val="single" w:color="auto"/>
          <w:color w:val="0000EE"/>
        </w:rPr>
      </w:pPr>
    </w:p>
    <w:p>
      <w:pPr>
        <w:ind w:left="940" w:hanging="619"/>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121" w:lineRule="exact"/>
        <w:rPr>
          <w:rFonts w:ascii="Arial" w:cs="Arial" w:eastAsia="Arial" w:hAnsi="Arial"/>
          <w:sz w:val="18"/>
          <w:szCs w:val="18"/>
          <w:u w:val="single" w:color="auto"/>
          <w:color w:val="0000EE"/>
        </w:rPr>
      </w:pPr>
    </w:p>
    <w:p>
      <w:pPr>
        <w:jc w:val="both"/>
        <w:ind w:left="940" w:right="1120" w:hanging="674"/>
        <w:spacing w:after="0" w:line="311" w:lineRule="auto"/>
        <w:tabs>
          <w:tab w:leader="none" w:pos="940" w:val="left"/>
        </w:tabs>
        <w:numPr>
          <w:ilvl w:val="0"/>
          <w:numId w:val="15"/>
        </w:numPr>
        <w:rPr>
          <w:rFonts w:ascii="Arial" w:cs="Arial" w:eastAsia="Arial" w:hAnsi="Arial"/>
          <w:sz w:val="16"/>
          <w:szCs w:val="16"/>
          <w:u w:val="single" w:color="auto"/>
          <w:color w:val="0000EE"/>
        </w:rPr>
      </w:pPr>
      <w:hyperlink r:id="rId61">
        <w:r>
          <w:rPr>
            <w:rFonts w:ascii="Arial" w:cs="Arial" w:eastAsia="Arial" w:hAnsi="Arial"/>
            <w:sz w:val="16"/>
            <w:szCs w:val="16"/>
            <w:u w:val="single" w:color="auto"/>
            <w:color w:val="0000EE"/>
          </w:rPr>
          <w:t>Eighth Supplemental Indenture, dated as of April 6, 2021, among the Company, the Subsidiary Guarantors party thereto and</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Wells Fargo Bank, N.A., as Trustee, in respect of the Company’s 5.25% Senior Notes due 2031 (incorporated by reference,</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filed as Exhibit 4.2 to the Company’s Current Report on Form 8-K, filed April 6, 2021, File No. 1-1927).</w:t>
        </w:r>
      </w:hyperlink>
    </w:p>
    <w:p>
      <w:pPr>
        <w:spacing w:after="0" w:line="13" w:lineRule="exact"/>
        <w:rPr>
          <w:rFonts w:ascii="Arial" w:cs="Arial" w:eastAsia="Arial" w:hAnsi="Arial"/>
          <w:sz w:val="16"/>
          <w:szCs w:val="16"/>
          <w:u w:val="single" w:color="auto"/>
          <w:color w:val="0000EE"/>
        </w:rPr>
      </w:pPr>
    </w:p>
    <w:p>
      <w:pPr>
        <w:jc w:val="both"/>
        <w:ind w:left="940" w:right="1120" w:hanging="679"/>
        <w:spacing w:after="0" w:line="286" w:lineRule="auto"/>
        <w:tabs>
          <w:tab w:leader="none" w:pos="940" w:val="left"/>
        </w:tabs>
        <w:numPr>
          <w:ilvl w:val="0"/>
          <w:numId w:val="15"/>
        </w:numPr>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Ninth Supplemental Indenture, dated as of April 6, 2021, among the Company, the Subsidiary Guarantors party thereto and</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Wells Fargo Bank, N.A., as Trustee, in respect of the Company’s 5.625% Senior Notes due 2033 (incorporated by reference,</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filed as Exhibit 4.3 to the Company’s Current Report on Form 8-K, filed April 6, 2021, File No. 1-1927).</w:t>
        </w:r>
      </w:hyperlink>
    </w:p>
    <w:p>
      <w:pPr>
        <w:spacing w:after="0" w:line="26" w:lineRule="exact"/>
        <w:rPr>
          <w:rFonts w:ascii="Arial" w:cs="Arial" w:eastAsia="Arial" w:hAnsi="Arial"/>
          <w:sz w:val="17"/>
          <w:szCs w:val="17"/>
          <w:u w:val="single" w:color="auto"/>
          <w:color w:val="0000EE"/>
        </w:rPr>
      </w:pPr>
    </w:p>
    <w:p>
      <w:pPr>
        <w:ind w:left="940" w:hanging="66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135" w:lineRule="exact"/>
        <w:rPr>
          <w:rFonts w:ascii="Arial" w:cs="Arial" w:eastAsia="Arial" w:hAnsi="Arial"/>
          <w:sz w:val="17"/>
          <w:szCs w:val="17"/>
          <w:u w:val="single" w:color="auto"/>
          <w:color w:val="0000EE"/>
        </w:rPr>
      </w:pPr>
    </w:p>
    <w:p>
      <w:pPr>
        <w:ind w:left="260"/>
        <w:spacing w:after="0"/>
        <w:tabs>
          <w:tab w:leader="none" w:pos="920" w:val="left"/>
          <w:tab w:leader="none" w:pos="10520" w:val="left"/>
        </w:tabs>
        <w:rPr>
          <w:rFonts w:ascii="Arial" w:cs="Arial" w:eastAsia="Arial" w:hAnsi="Arial"/>
          <w:sz w:val="18"/>
          <w:szCs w:val="18"/>
          <w:color w:val="0000EE"/>
        </w:rPr>
      </w:pPr>
      <w:r>
        <w:rPr>
          <w:rFonts w:ascii="Arial" w:cs="Arial" w:eastAsia="Arial" w:hAnsi="Arial"/>
          <w:sz w:val="18"/>
          <w:szCs w:val="18"/>
          <w:color w:val="auto"/>
        </w:rPr>
        <w:t>(a)</w:t>
      </w:r>
      <w:r>
        <w:rPr>
          <w:sz w:val="20"/>
          <w:szCs w:val="20"/>
          <w:color w:val="auto"/>
        </w:rPr>
        <w:tab/>
      </w:r>
      <w:hyperlink w:anchor="page46">
        <w:r>
          <w:rPr>
            <w:rFonts w:ascii="Arial" w:cs="Arial" w:eastAsia="Arial" w:hAnsi="Arial"/>
            <w:sz w:val="18"/>
            <w:szCs w:val="18"/>
            <w:u w:val="single" w:color="auto"/>
            <w:color w:val="0000EE"/>
          </w:rPr>
          <w:t>List of Subsidiary Guarantors.</w:t>
        </w:r>
      </w:hyperlink>
      <w:r>
        <w:rPr>
          <w:rFonts w:ascii="Arial" w:cs="Arial" w:eastAsia="Arial" w:hAnsi="Arial"/>
          <w:sz w:val="18"/>
          <w:szCs w:val="18"/>
          <w:color w:val="0000EE"/>
        </w:rPr>
        <w:tab/>
      </w:r>
      <w:r>
        <w:rPr>
          <w:rFonts w:ascii="Arial" w:cs="Arial" w:eastAsia="Arial" w:hAnsi="Arial"/>
          <w:sz w:val="16"/>
          <w:szCs w:val="16"/>
          <w:color w:val="0000EE"/>
        </w:rPr>
        <w:t>22.1</w:t>
      </w:r>
    </w:p>
    <w:p>
      <w:pPr>
        <w:spacing w:after="0" w:line="235" w:lineRule="exact"/>
        <w:rPr>
          <w:rFonts w:ascii="Arial" w:cs="Arial" w:eastAsia="Arial" w:hAnsi="Arial"/>
          <w:sz w:val="17"/>
          <w:szCs w:val="17"/>
          <w:u w:val="single" w:color="auto"/>
          <w:color w:val="0000EE"/>
        </w:rPr>
      </w:pPr>
    </w:p>
    <w:p>
      <w:pPr>
        <w:ind w:left="940" w:hanging="66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77" w:lineRule="exact"/>
        <w:rPr>
          <w:rFonts w:ascii="Arial" w:cs="Arial" w:eastAsia="Arial" w:hAnsi="Arial"/>
          <w:sz w:val="17"/>
          <w:szCs w:val="17"/>
          <w:u w:val="single" w:color="auto"/>
          <w:color w:val="0000EE"/>
        </w:rPr>
      </w:pPr>
    </w:p>
    <w:tbl>
      <w:tblPr>
        <w:tblLayout w:type="fixed"/>
        <w:tblInd w:w="2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(a)</w:t>
            </w:r>
          </w:p>
        </w:tc>
        <w:tc>
          <w:tcPr>
            <w:tcW w:w="874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Certificate of Chief Executive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(b)</w:t>
            </w:r>
          </w:p>
        </w:tc>
        <w:tc>
          <w:tcPr>
            <w:tcW w:w="784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Certificate of Chief Financial Officer pursuant to Rule 13a-14(a) under the Securities Exchange Act of 1934.</w:t>
              </w:r>
            </w:hyperlink>
          </w:p>
        </w:tc>
        <w:tc>
          <w:tcPr>
            <w:tcW w:w="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117" w:lineRule="exact"/>
        <w:rPr>
          <w:sz w:val="20"/>
          <w:szCs w:val="20"/>
          <w:color w:val="auto"/>
        </w:rPr>
      </w:pPr>
    </w:p>
    <w:p>
      <w:pPr>
        <w:ind w:left="940" w:hanging="66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0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00" w:type="dxa"/>
            <w:vAlign w:val="bottom"/>
          </w:tcPr>
          <w:p>
            <w:pPr>
              <w:jc w:val="center"/>
              <w:ind w:right="370"/>
              <w:spacing w:after="0"/>
              <w:rPr>
                <w:sz w:val="20"/>
                <w:szCs w:val="20"/>
                <w:color w:val="auto"/>
              </w:rPr>
            </w:pPr>
            <w:r>
              <w:rPr>
                <w:rFonts w:ascii="Arial" w:cs="Arial" w:eastAsia="Arial" w:hAnsi="Arial"/>
                <w:sz w:val="18"/>
                <w:szCs w:val="18"/>
                <w:color w:val="auto"/>
                <w:w w:val="90"/>
              </w:rPr>
              <w:t>(a)</w:t>
            </w:r>
          </w:p>
        </w:tc>
        <w:tc>
          <w:tcPr>
            <w:tcW w:w="9200" w:type="dxa"/>
            <w:vAlign w:val="bottom"/>
            <w:gridSpan w:val="3"/>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Certificate of Chief Executive Officer and Chief Financial Officer pursuant to Rule 13a-14(b) under the Securities Exchange</w:t>
              </w:r>
            </w:hyperlink>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32.1</w:t>
            </w:r>
          </w:p>
        </w:tc>
      </w:tr>
      <w:tr>
        <w:trPr>
          <w:trHeight w:val="196"/>
        </w:trPr>
        <w:tc>
          <w:tcPr>
            <w:tcW w:w="700" w:type="dxa"/>
            <w:vAlign w:val="bottom"/>
          </w:tcPr>
          <w:p>
            <w:pPr>
              <w:spacing w:after="0"/>
              <w:rPr>
                <w:sz w:val="17"/>
                <w:szCs w:val="17"/>
                <w:color w:val="auto"/>
              </w:rPr>
            </w:pPr>
          </w:p>
        </w:tc>
        <w:tc>
          <w:tcPr>
            <w:tcW w:w="89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Act of 1934.</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700" w:type="dxa"/>
            <w:vAlign w:val="bottom"/>
          </w:tcPr>
          <w:p>
            <w:pPr>
              <w:jc w:val="right"/>
              <w:ind w:right="350"/>
              <w:spacing w:after="0"/>
              <w:rPr>
                <w:sz w:val="20"/>
                <w:szCs w:val="20"/>
                <w:color w:val="auto"/>
              </w:rPr>
            </w:pPr>
            <w:r>
              <w:rPr>
                <w:rFonts w:ascii="Arial" w:cs="Arial" w:eastAsia="Arial" w:hAnsi="Arial"/>
                <w:sz w:val="18"/>
                <w:szCs w:val="18"/>
                <w:color w:val="auto"/>
                <w:w w:val="79"/>
              </w:rPr>
              <w:t>101</w:t>
            </w:r>
          </w:p>
        </w:tc>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00" w:type="dxa"/>
            <w:vAlign w:val="bottom"/>
          </w:tcPr>
          <w:p>
            <w:pPr>
              <w:spacing w:after="0"/>
              <w:rPr>
                <w:sz w:val="24"/>
                <w:szCs w:val="24"/>
                <w:color w:val="auto"/>
              </w:rPr>
            </w:pPr>
          </w:p>
        </w:tc>
      </w:tr>
      <w:tr>
        <w:trPr>
          <w:trHeight w:val="310"/>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2"/>
              </w:rPr>
              <w:t>101.INS</w:t>
            </w:r>
          </w:p>
        </w:tc>
      </w:tr>
      <w:tr>
        <w:trPr>
          <w:trHeight w:val="230"/>
        </w:trPr>
        <w:tc>
          <w:tcPr>
            <w:tcW w:w="70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00" w:type="dxa"/>
            <w:vAlign w:val="bottom"/>
          </w:tcPr>
          <w:p>
            <w:pPr>
              <w:spacing w:after="0"/>
              <w:rPr>
                <w:sz w:val="20"/>
                <w:szCs w:val="20"/>
                <w:color w:val="auto"/>
              </w:rPr>
            </w:pPr>
          </w:p>
        </w:tc>
      </w:tr>
      <w:tr>
        <w:trPr>
          <w:trHeight w:val="297"/>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0"/>
              </w:rPr>
              <w:t>101.SCH</w:t>
            </w:r>
          </w:p>
        </w:tc>
      </w:tr>
      <w:tr>
        <w:trPr>
          <w:trHeight w:val="324"/>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7"/>
              </w:rPr>
              <w:t>101.CAL</w:t>
            </w:r>
          </w:p>
        </w:tc>
      </w:tr>
      <w:tr>
        <w:trPr>
          <w:trHeight w:val="324"/>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2"/>
              </w:rPr>
              <w:t>101.DEF</w:t>
            </w:r>
          </w:p>
        </w:tc>
      </w:tr>
      <w:tr>
        <w:trPr>
          <w:trHeight w:val="324"/>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8"/>
              </w:rPr>
              <w:t>101.LAB</w:t>
            </w:r>
          </w:p>
        </w:tc>
      </w:tr>
      <w:tr>
        <w:trPr>
          <w:trHeight w:val="324"/>
        </w:trPr>
        <w:tc>
          <w:tcPr>
            <w:tcW w:w="7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101.PRE</w:t>
            </w:r>
          </w:p>
        </w:tc>
      </w:tr>
    </w:tbl>
    <w:p>
      <w:pPr>
        <w:spacing w:after="0" w:line="90" w:lineRule="exact"/>
        <w:rPr>
          <w:sz w:val="20"/>
          <w:szCs w:val="20"/>
          <w:color w:val="auto"/>
        </w:rPr>
      </w:pPr>
    </w:p>
    <w:p>
      <w:pPr>
        <w:ind w:left="940" w:hanging="70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21" w:lineRule="exact"/>
        <w:rPr>
          <w:rFonts w:ascii="Arial" w:cs="Arial" w:eastAsia="Arial" w:hAnsi="Arial"/>
          <w:sz w:val="18"/>
          <w:szCs w:val="18"/>
          <w:color w:val="auto"/>
        </w:rPr>
      </w:pPr>
    </w:p>
    <w:p>
      <w:pPr>
        <w:ind w:left="940" w:right="1120"/>
        <w:spacing w:after="0" w:line="277"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2021, formatted in Inline XBRL (included as Exhibit 101).</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3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233"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April 30, 2021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w:t>
      </w:r>
      <w:r>
        <w:rPr>
          <w:rFonts w:ascii="Arial" w:cs="Arial" w:eastAsia="Arial" w:hAnsi="Arial"/>
          <w:sz w:val="13"/>
          <w:szCs w:val="13"/>
          <w:color w:val="auto"/>
        </w:rPr>
        <w:t>VAN</w:t>
      </w:r>
      <w:r>
        <w:rPr>
          <w:rFonts w:ascii="Arial" w:cs="Arial" w:eastAsia="Arial" w:hAnsi="Arial"/>
          <w:sz w:val="17"/>
          <w:szCs w:val="17"/>
          <w:color w:val="auto"/>
        </w:rPr>
        <w:t xml:space="preserve"> M. S</w:t>
      </w:r>
      <w:r>
        <w:rPr>
          <w:rFonts w:ascii="Arial" w:cs="Arial" w:eastAsia="Arial" w:hAnsi="Arial"/>
          <w:sz w:val="13"/>
          <w:szCs w:val="13"/>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22225</wp:posOffset>
            </wp:positionV>
            <wp:extent cx="2914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400" w:space="300"/>
            <w:col w:w="4780" w:space="720"/>
            <w:col w:w="5040"/>
          </w:cols>
          <w:pgMar w:left="320" w:top="233" w:right="339" w:bottom="1440" w:gutter="0" w:footer="0" w:header="0"/>
          <w:type w:val="continuous"/>
        </w:sectPr>
      </w:pPr>
    </w:p>
    <w:p>
      <w:pPr>
        <w:ind w:left="6200"/>
        <w:spacing w:after="0"/>
        <w:rPr>
          <w:sz w:val="20"/>
          <w:szCs w:val="20"/>
          <w:color w:val="auto"/>
        </w:rPr>
      </w:pPr>
      <w:r>
        <w:rPr>
          <w:rFonts w:ascii="Arial" w:cs="Arial" w:eastAsia="Arial" w:hAnsi="Arial"/>
          <w:sz w:val="16"/>
          <w:szCs w:val="16"/>
          <w:color w:val="auto"/>
        </w:rPr>
        <w:t>Evan M. Scocos, Vice President and Controller (Signing on behalf of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Registrant as a duly authorized officer of the Registrant and</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233"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subsidiaries of The Goodyear Tire &amp; Rubber Company (the "Parent Company") were, as of March 31, 2021, guarantors of the Company's 5.125% senior notes due 2023, 9.5% senior notes due 2025, 5% senior notes due 2026, and 4.875% senior notes due 2027:</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85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SUBSIDIARY</w:t>
            </w:r>
          </w:p>
        </w:tc>
        <w:tc>
          <w:tcPr>
            <w:tcW w:w="1760" w:type="dxa"/>
            <w:vAlign w:val="bottom"/>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49"/>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6540" w:type="dxa"/>
            <w:vAlign w:val="bottom"/>
          </w:tcPr>
          <w:p>
            <w:pPr>
              <w:spacing w:after="0"/>
              <w:rPr>
                <w:sz w:val="21"/>
                <w:szCs w:val="21"/>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1760" w:type="dxa"/>
            <w:vAlign w:val="bottom"/>
          </w:tcPr>
          <w:p>
            <w:pPr>
              <w:spacing w:after="0"/>
              <w:rPr>
                <w:sz w:val="20"/>
                <w:szCs w:val="20"/>
                <w:color w:val="auto"/>
              </w:rPr>
            </w:pPr>
            <w:r>
              <w:rPr>
                <w:rFonts w:ascii="Arial" w:cs="Arial" w:eastAsia="Arial" w:hAnsi="Arial"/>
                <w:sz w:val="18"/>
                <w:szCs w:val="18"/>
                <w:color w:val="auto"/>
              </w:rPr>
              <w:t>Ontario, Canada</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176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1760" w:type="dxa"/>
            <w:vAlign w:val="bottom"/>
          </w:tcPr>
          <w:p>
            <w:pPr>
              <w:spacing w:after="0"/>
              <w:rPr>
                <w:sz w:val="20"/>
                <w:szCs w:val="20"/>
                <w:color w:val="auto"/>
              </w:rPr>
            </w:pPr>
            <w:r>
              <w:rPr>
                <w:rFonts w:ascii="Arial" w:cs="Arial" w:eastAsia="Arial" w:hAnsi="Arial"/>
                <w:sz w:val="18"/>
                <w:szCs w:val="18"/>
                <w:color w:val="auto"/>
              </w:rPr>
              <w:t>Kentucky</w:t>
            </w:r>
          </w:p>
        </w:tc>
      </w:tr>
    </w:tbl>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185"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185"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52"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2021, as filed with the Securities and Exchange Commission (the “10-Q Report”) that to his knowledge:</w:t>
      </w:r>
    </w:p>
    <w:p>
      <w:pPr>
        <w:spacing w:after="0" w:line="211"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right="20" w:hanging="440"/>
        <w:spacing w:after="0" w:line="26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April 30, 2021</w:t>
            </w:r>
          </w:p>
        </w:tc>
        <w:tc>
          <w:tcPr>
            <w:tcW w:w="290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/s/</w:t>
            </w:r>
          </w:p>
        </w:tc>
        <w:tc>
          <w:tcPr>
            <w:tcW w:w="4220" w:type="dxa"/>
            <w:vAlign w:val="bottom"/>
            <w:tcBorders>
              <w:bottom w:val="single" w:sz="8" w:color="auto"/>
            </w:tcBorders>
          </w:tcPr>
          <w:p>
            <w:pPr>
              <w:jc w:val="center"/>
              <w:ind w:right="257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K</w:t>
            </w:r>
            <w:r>
              <w:rPr>
                <w:rFonts w:ascii="Arial" w:cs="Arial" w:eastAsia="Arial" w:hAnsi="Arial"/>
                <w:sz w:val="14"/>
                <w:szCs w:val="14"/>
                <w:color w:val="auto"/>
                <w:w w:val="99"/>
              </w:rPr>
              <w:t>RAMER</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Richard J. Kramer</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The Goodyear Tire &amp; Rubber Company</w:t>
            </w:r>
          </w:p>
        </w:tc>
        <w:tc>
          <w:tcPr>
            <w:tcW w:w="42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April 30, 2021</w:t>
            </w:r>
          </w:p>
        </w:tc>
        <w:tc>
          <w:tcPr>
            <w:tcW w:w="290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83"/>
              </w:rPr>
              <w:t>/s/</w:t>
            </w:r>
          </w:p>
        </w:tc>
        <w:tc>
          <w:tcPr>
            <w:tcW w:w="4220" w:type="dxa"/>
            <w:vAlign w:val="bottom"/>
            <w:tcBorders>
              <w:bottom w:val="single" w:sz="8" w:color="auto"/>
            </w:tcBorders>
          </w:tcPr>
          <w:p>
            <w:pPr>
              <w:jc w:val="center"/>
              <w:ind w:right="251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ARREN</w:t>
            </w:r>
            <w:r>
              <w:rPr>
                <w:rFonts w:ascii="Arial" w:cs="Arial" w:eastAsia="Arial" w:hAnsi="Arial"/>
                <w:sz w:val="18"/>
                <w:szCs w:val="18"/>
                <w:color w:val="auto"/>
                <w:w w:val="97"/>
              </w:rPr>
              <w:t xml:space="preserve"> R. W</w:t>
            </w:r>
            <w:r>
              <w:rPr>
                <w:rFonts w:ascii="Arial" w:cs="Arial" w:eastAsia="Arial" w:hAnsi="Arial"/>
                <w:sz w:val="14"/>
                <w:szCs w:val="14"/>
                <w:color w:val="auto"/>
                <w:w w:val="97"/>
              </w:rPr>
              <w:t>ELLS</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Darren R. Wells</w:t>
            </w:r>
          </w:p>
        </w:tc>
        <w:tc>
          <w:tcPr>
            <w:tcW w:w="42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The Goodyear Tire &amp; Rubber Company</w:t>
            </w:r>
          </w:p>
        </w:tc>
        <w:tc>
          <w:tcPr>
            <w:tcW w:w="42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4"/>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22"/>
    </w:lvl>
  </w:abstractNum>
  <w:abstractNum w:abstractNumId="16">
    <w:nsid w:val="257130A3"/>
    <w:multiLevelType w:val="hybridMultilevel"/>
    <w:lvl w:ilvl="0">
      <w:lvlJc w:val="left"/>
      <w:lvlText w:val="%1"/>
      <w:numFmt w:val="decimal"/>
      <w:start w:val="3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0" Type="http://schemas.openxmlformats.org/officeDocument/2006/relationships/hyperlink" Target="http://www.sec.gov/Archives/edgar/data/42582/000119312521055015/d131290dex21.htm" TargetMode="External"/><Relationship Id="rId61" Type="http://schemas.openxmlformats.org/officeDocument/2006/relationships/hyperlink" Target="http://www.sec.gov/Archives/edgar/data/42582/000119312521107057/d148655dex42.htm" TargetMode="External"/><Relationship Id="rId62" Type="http://schemas.openxmlformats.org/officeDocument/2006/relationships/hyperlink" Target="http://www.sec.gov/Archives/edgar/data/42582/000119312521107057/d14865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2021-04-30T09:49:51Z</dcterms:created>
  <dcterms:modified xsi:type="dcterms:W3CDTF">2021-04-30T09:49:51Z</dcterms:modified>
</cp:coreProperties>
</file>