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69005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6900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1-1927</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THE GOODYEAR TIRE &amp; RUBBER COMPANY</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53" w:lineRule="exact"/>
        <w:rPr>
          <w:sz w:val="24"/>
          <w:szCs w:val="24"/>
          <w:color w:val="auto"/>
        </w:rPr>
      </w:pPr>
    </w:p>
    <w:tbl>
      <w:tblPr>
        <w:tblLayout w:type="fixed"/>
        <w:tblInd w:w="1240" w:type="dxa"/>
        <w:tblCellMar>
          <w:top w:w="0" w:type="dxa"/>
          <w:left w:w="0" w:type="dxa"/>
          <w:bottom w:w="0" w:type="dxa"/>
          <w:right w:w="0" w:type="dxa"/>
        </w:tblCellMar>
      </w:tblPr>
      <w:tr>
        <w:trPr>
          <w:trHeight w:val="238"/>
        </w:trPr>
        <w:tc>
          <w:tcPr>
            <w:tcW w:w="338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422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rPr>
              <w:t>34-0253240</w:t>
            </w:r>
          </w:p>
        </w:tc>
      </w:tr>
      <w:tr>
        <w:trPr>
          <w:trHeight w:val="265"/>
        </w:trPr>
        <w:tc>
          <w:tcPr>
            <w:tcW w:w="33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220" w:type="dxa"/>
            <w:vAlign w:val="bottom"/>
          </w:tcPr>
          <w:p>
            <w:pPr>
              <w:jc w:val="center"/>
              <w:ind w:left="28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220" w:type="dxa"/>
            <w:vAlign w:val="bottom"/>
          </w:tcPr>
          <w:p>
            <w:pPr>
              <w:jc w:val="center"/>
              <w:ind w:left="27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92"/>
        </w:trPr>
        <w:tc>
          <w:tcPr>
            <w:tcW w:w="33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200 Innovation Way, Akron, Ohio</w:t>
            </w:r>
          </w:p>
        </w:tc>
        <w:tc>
          <w:tcPr>
            <w:tcW w:w="422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rPr>
              <w:t>44316-0001</w:t>
            </w:r>
          </w:p>
        </w:tc>
      </w:tr>
      <w:tr>
        <w:trPr>
          <w:trHeight w:val="283"/>
        </w:trPr>
        <w:tc>
          <w:tcPr>
            <w:tcW w:w="33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220" w:type="dxa"/>
            <w:vAlign w:val="bottom"/>
          </w:tcPr>
          <w:p>
            <w:pPr>
              <w:jc w:val="center"/>
              <w:ind w:left="2810"/>
              <w:spacing w:after="0"/>
              <w:rPr>
                <w:sz w:val="20"/>
                <w:szCs w:val="20"/>
                <w:color w:val="auto"/>
              </w:rPr>
            </w:pPr>
            <w:r>
              <w:rPr>
                <w:rFonts w:ascii="Times New Roman" w:cs="Times New Roman" w:eastAsia="Times New Roman" w:hAnsi="Times New Roman"/>
                <w:sz w:val="18"/>
                <w:szCs w:val="18"/>
                <w:color w:val="auto"/>
              </w:rPr>
              <w:t>(Zip Code)</w:t>
            </w:r>
          </w:p>
        </w:tc>
      </w:tr>
      <w:tr>
        <w:trPr>
          <w:trHeight w:val="338"/>
        </w:trPr>
        <w:tc>
          <w:tcPr>
            <w:tcW w:w="3380" w:type="dxa"/>
            <w:vAlign w:val="bottom"/>
          </w:tcPr>
          <w:p>
            <w:pPr>
              <w:spacing w:after="0"/>
              <w:rPr>
                <w:sz w:val="24"/>
                <w:szCs w:val="24"/>
                <w:color w:val="auto"/>
              </w:rPr>
            </w:pPr>
          </w:p>
        </w:tc>
        <w:tc>
          <w:tcPr>
            <w:tcW w:w="4220" w:type="dxa"/>
            <w:vAlign w:val="bottom"/>
          </w:tcPr>
          <w:p>
            <w:pPr>
              <w:jc w:val="right"/>
              <w:ind w:right="2570"/>
              <w:spacing w:after="0"/>
              <w:rPr>
                <w:sz w:val="20"/>
                <w:szCs w:val="20"/>
                <w:color w:val="auto"/>
              </w:rPr>
            </w:pPr>
            <w:r>
              <w:rPr>
                <w:rFonts w:ascii="Times New Roman" w:cs="Times New Roman" w:eastAsia="Times New Roman" w:hAnsi="Times New Roman"/>
                <w:sz w:val="18"/>
                <w:szCs w:val="18"/>
                <w:b w:val="1"/>
                <w:bCs w:val="1"/>
                <w:color w:val="auto"/>
              </w:rPr>
              <w:t>(330) 796-2121</w:t>
            </w:r>
          </w:p>
        </w:tc>
      </w:tr>
    </w:tbl>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261"/>
        </w:trPr>
        <w:tc>
          <w:tcPr>
            <w:tcW w:w="4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4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50"/>
        </w:trPr>
        <w:tc>
          <w:tcPr>
            <w:tcW w:w="4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Without Par Value</w:t>
            </w: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GT</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7"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58"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jc w:val="center"/>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0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160" w:type="dxa"/>
        <w:tblCellMar>
          <w:top w:w="0" w:type="dxa"/>
          <w:left w:w="0" w:type="dxa"/>
          <w:bottom w:w="0" w:type="dxa"/>
          <w:right w:w="0" w:type="dxa"/>
        </w:tblCellMar>
      </w:tblPr>
      <w:tr>
        <w:trPr>
          <w:trHeight w:val="216"/>
        </w:trPr>
        <w:tc>
          <w:tcPr>
            <w:tcW w:w="218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1580" w:type="dxa"/>
            <w:vAlign w:val="bottom"/>
          </w:tcPr>
          <w:p>
            <w:pPr>
              <w:spacing w:after="0"/>
              <w:rPr>
                <w:sz w:val="18"/>
                <w:szCs w:val="18"/>
                <w:color w:val="auto"/>
              </w:rPr>
            </w:pPr>
          </w:p>
        </w:tc>
        <w:tc>
          <w:tcPr>
            <w:tcW w:w="50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300" w:type="dxa"/>
            <w:vAlign w:val="bottom"/>
            <w:vMerge w:val="restart"/>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Smaller reporting</w:t>
            </w:r>
          </w:p>
        </w:tc>
        <w:tc>
          <w:tcPr>
            <w:tcW w:w="50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w:t>
            </w:r>
          </w:p>
        </w:tc>
        <w:tc>
          <w:tcPr>
            <w:tcW w:w="28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2"/>
        </w:trPr>
        <w:tc>
          <w:tcPr>
            <w:tcW w:w="2180" w:type="dxa"/>
            <w:vAlign w:val="bottom"/>
            <w:vMerge w:val="continue"/>
          </w:tcPr>
          <w:p>
            <w:pPr>
              <w:spacing w:after="0"/>
              <w:rPr>
                <w:sz w:val="22"/>
                <w:szCs w:val="22"/>
                <w:color w:val="auto"/>
              </w:rPr>
            </w:pPr>
          </w:p>
        </w:tc>
        <w:tc>
          <w:tcPr>
            <w:tcW w:w="1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vMerge w:val="continue"/>
          </w:tcPr>
          <w:p>
            <w:pPr>
              <w:spacing w:after="0"/>
              <w:rPr>
                <w:sz w:val="22"/>
                <w:szCs w:val="22"/>
                <w:color w:val="auto"/>
              </w:rPr>
            </w:pPr>
          </w:p>
        </w:tc>
        <w:tc>
          <w:tcPr>
            <w:tcW w:w="2300" w:type="dxa"/>
            <w:vAlign w:val="bottom"/>
            <w:vMerge w:val="continue"/>
          </w:tcPr>
          <w:p>
            <w:pPr>
              <w:spacing w:after="0"/>
              <w:rPr>
                <w:sz w:val="22"/>
                <w:szCs w:val="2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500" w:type="dxa"/>
            <w:vAlign w:val="bottom"/>
            <w:vMerge w:val="continue"/>
          </w:tcPr>
          <w:p>
            <w:pPr>
              <w:spacing w:after="0"/>
              <w:rPr>
                <w:sz w:val="22"/>
                <w:szCs w:val="2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74" w:lineRule="exact"/>
        <w:rPr>
          <w:sz w:val="24"/>
          <w:szCs w:val="24"/>
          <w:color w:val="auto"/>
        </w:rPr>
      </w:pPr>
    </w:p>
    <w:p>
      <w:pPr>
        <w:spacing w:after="0" w:line="23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76" w:lineRule="exact"/>
        <w:rPr>
          <w:sz w:val="24"/>
          <w:szCs w:val="24"/>
          <w:color w:val="auto"/>
        </w:rPr>
      </w:pPr>
    </w:p>
    <w:p>
      <w:pPr>
        <w:ind w:left="5160"/>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 Common Stock,</w:t>
            </w:r>
          </w:p>
        </w:tc>
        <w:tc>
          <w:tcPr>
            <w:tcW w:w="3020" w:type="dxa"/>
            <w:vAlign w:val="bottom"/>
          </w:tcPr>
          <w:p>
            <w:pPr>
              <w:spacing w:after="0"/>
              <w:rPr>
                <w:sz w:val="18"/>
                <w:szCs w:val="18"/>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Without Par Value, Outstanding at October 31, 2026:</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287,952,468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PART I. FINANCIAL INFORMATION</w:t>
      </w:r>
    </w:p>
    <w:p>
      <w:pPr>
        <w:spacing w:after="0" w:line="7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FF"/>
        </w:rPr>
        <w:t>ITEM 1. FINANCIAL STATEMENTS</w:t>
      </w:r>
    </w:p>
    <w:p>
      <w:pPr>
        <w:spacing w:after="0" w:line="7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77" w:lineRule="exact"/>
        <w:rPr>
          <w:sz w:val="20"/>
          <w:szCs w:val="20"/>
          <w:color w:val="auto"/>
        </w:rPr>
      </w:pPr>
    </w:p>
    <w:p>
      <w:pPr>
        <w:ind w:left="820"/>
        <w:spacing w:after="0" w:line="328" w:lineRule="auto"/>
        <w:rPr>
          <w:sz w:val="20"/>
          <w:szCs w:val="20"/>
          <w:color w:val="auto"/>
        </w:rPr>
      </w:pPr>
      <w:r>
        <w:rPr>
          <w:rFonts w:ascii="Times New Roman" w:cs="Times New Roman" w:eastAsia="Times New Roman" w:hAnsi="Times New Roman"/>
          <w:sz w:val="18"/>
          <w:szCs w:val="18"/>
          <w:u w:val="single" w:color="auto"/>
          <w:color w:val="0000FF"/>
        </w:rPr>
        <w:t>ITEM 2. MANAGEMENT'S DISCUSSION AND ANALYSIS OF FINANCIAL CONDITION AND RESULTS OF OPERATIONS ITEM 3. QUANTITATIVE AND QUALITATIVE DISCLOSURES ABOUT MARKET RISK ITEM 4. CONTROLS AND PROCEDURES</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PART II. OTHER INFORMATION</w:t>
      </w:r>
    </w:p>
    <w:p>
      <w:pPr>
        <w:spacing w:after="0" w:line="7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FF"/>
        </w:rPr>
        <w:t>ITEM 1. LEGAL PROCEEDINGS</w:t>
      </w:r>
    </w:p>
    <w:p>
      <w:pPr>
        <w:spacing w:after="0" w:line="7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FF"/>
        </w:rPr>
        <w:t>ITEM 1A. RISK FACTORS</w:t>
      </w:r>
    </w:p>
    <w:p>
      <w:pPr>
        <w:spacing w:after="0" w:line="7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u w:val="single" w:color="auto"/>
          <w:color w:val="0000FF"/>
        </w:rPr>
        <w:t>ITEM 5. OTHER INFORMATION</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EX-10.1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EX-22.1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EX-31.1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EX-31.2</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EX-32.1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EX-101.INS INSTANCE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EX-101.SCH SCHEMA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320" w:top="337" w:right="11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left="340" w:right="2760"/>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OPERATIONS (Unaudited)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40" w:type="dxa"/>
            <w:vAlign w:val="bottom"/>
          </w:tcPr>
          <w:p>
            <w:pPr>
              <w:spacing w:after="0"/>
              <w:rPr>
                <w:sz w:val="21"/>
                <w:szCs w:val="21"/>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52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(Note 2)</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13,363</w:t>
            </w:r>
          </w:p>
        </w:tc>
        <w:tc>
          <w:tcPr>
            <w:tcW w:w="0" w:type="dxa"/>
            <w:vAlign w:val="bottom"/>
          </w:tcPr>
          <w:p>
            <w:pPr>
              <w:spacing w:after="0"/>
              <w:rPr>
                <w:sz w:val="1"/>
                <w:szCs w:val="1"/>
                <w:color w:val="auto"/>
              </w:rPr>
            </w:pPr>
          </w:p>
        </w:tc>
      </w:tr>
      <w:tr>
        <w:trPr>
          <w:trHeight w:val="25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11,019</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5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 (Note 1)</w:t>
            </w:r>
          </w:p>
        </w:tc>
        <w:tc>
          <w:tcPr>
            <w:tcW w:w="34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Rationalizations (Note 3)</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5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(Note 4)</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5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Loss on Asset Sales</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5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 Expense (Note 5)</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0" w:type="dxa"/>
            <w:vAlign w:val="bottom"/>
          </w:tcPr>
          <w:p>
            <w:pPr>
              <w:spacing w:after="0"/>
              <w:rPr>
                <w:sz w:val="1"/>
                <w:szCs w:val="1"/>
                <w:color w:val="auto"/>
              </w:rPr>
            </w:pPr>
          </w:p>
        </w:tc>
      </w:tr>
      <w:tr>
        <w:trPr>
          <w:trHeight w:val="25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Minority Shareholders’ Net Income (Loss)</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Net Income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(691)</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(1,826)</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Net Income (Loss) — Per Share of Common Stock</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8"/>
        </w:trPr>
        <w:tc>
          <w:tcPr>
            <w:tcW w:w="5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(0.82)</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(Note 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2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9"/>
        </w:trPr>
        <w:tc>
          <w:tcPr>
            <w:tcW w:w="5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(0.82)</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(Note 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-196215</wp:posOffset>
            </wp:positionV>
            <wp:extent cx="59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-376555</wp:posOffset>
            </wp:positionV>
            <wp:extent cx="59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-770890</wp:posOffset>
            </wp:positionV>
            <wp:extent cx="59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-770890</wp:posOffset>
            </wp:positionV>
            <wp:extent cx="596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-770890</wp:posOffset>
            </wp:positionV>
            <wp:extent cx="60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-2973705</wp:posOffset>
            </wp:positionV>
            <wp:extent cx="596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-3342640</wp:posOffset>
            </wp:positionV>
            <wp:extent cx="59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-3342640</wp:posOffset>
            </wp:positionV>
            <wp:extent cx="603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left="340" w:right="2560"/>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COMPREHENSIVE INCOME (LOSS) (Unaudited)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5"/>
                <w:szCs w:val="15"/>
                <w:color w:val="auto"/>
              </w:rPr>
            </w:pPr>
          </w:p>
        </w:tc>
      </w:tr>
      <w:tr>
        <w:trPr>
          <w:trHeight w:val="190"/>
        </w:trPr>
        <w:tc>
          <w:tcPr>
            <w:tcW w:w="5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21"/>
                <w:szCs w:val="21"/>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37"/>
        </w:trPr>
        <w:tc>
          <w:tcPr>
            <w:tcW w:w="522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57"/>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CFF0FC"/>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CFF0FC"/>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w:t>
            </w:r>
          </w:p>
        </w:tc>
      </w:tr>
      <w:tr>
        <w:trPr>
          <w:trHeight w:val="25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34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spacing w:after="0"/>
              <w:rPr>
                <w:sz w:val="22"/>
                <w:szCs w:val="22"/>
                <w:color w:val="auto"/>
              </w:rPr>
            </w:pPr>
          </w:p>
        </w:tc>
      </w:tr>
      <w:tr>
        <w:trPr>
          <w:trHeight w:val="238"/>
        </w:trPr>
        <w:tc>
          <w:tcPr>
            <w:tcW w:w="5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Foreign currency translation, net of tax of $0 and $0 in 2026 (($6)</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4"/>
        </w:trPr>
        <w:tc>
          <w:tcPr>
            <w:tcW w:w="5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 $0 in 2025)</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8"/>
        </w:trPr>
        <w:tc>
          <w:tcPr>
            <w:tcW w:w="52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Reclassification adjustment for amounts recognized in income,</w:t>
            </w: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r>
      <w:tr>
        <w:trPr>
          <w:trHeight w:val="241"/>
        </w:trPr>
        <w:tc>
          <w:tcPr>
            <w:tcW w:w="52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net of tax of $0 and $0 in 2026 ($0 and $0 in 2025)</w:t>
            </w:r>
          </w:p>
        </w:tc>
        <w:tc>
          <w:tcPr>
            <w:tcW w:w="34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5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Defined benefit plans:</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8"/>
        </w:trPr>
        <w:tc>
          <w:tcPr>
            <w:tcW w:w="52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Amortization of prior service cost and unrecognized gains and</w:t>
            </w: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r>
      <w:tr>
        <w:trPr>
          <w:trHeight w:val="216"/>
        </w:trPr>
        <w:tc>
          <w:tcPr>
            <w:tcW w:w="52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losses included in total benefit cost, net of tax of $1 and $3 in</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41"/>
        </w:trPr>
        <w:tc>
          <w:tcPr>
            <w:tcW w:w="52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2026 (($9) and $4 in 2025)</w:t>
            </w:r>
          </w:p>
        </w:tc>
        <w:tc>
          <w:tcPr>
            <w:tcW w:w="3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8"/>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 in net actuarial gains and losses, net of tax of $0 and $0</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4"/>
        </w:trPr>
        <w:tc>
          <w:tcPr>
            <w:tcW w:w="5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 2026 (($3) and ($1) in 2025)</w:t>
            </w:r>
          </w:p>
        </w:tc>
        <w:tc>
          <w:tcPr>
            <w:tcW w:w="3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8"/>
        </w:trPr>
        <w:tc>
          <w:tcPr>
            <w:tcW w:w="52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Immediate recognition of prior service cost and unrecognized</w:t>
            </w: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r>
      <w:tr>
        <w:trPr>
          <w:trHeight w:val="216"/>
        </w:trPr>
        <w:tc>
          <w:tcPr>
            <w:tcW w:w="52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gains and losses due to curtailments, settlements and divestitures,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61"/>
        </w:trPr>
        <w:tc>
          <w:tcPr>
            <w:tcW w:w="52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net of tax of $0 and $0 in 2026 (($1) and ($1) in 2025)</w:t>
            </w:r>
          </w:p>
        </w:tc>
        <w:tc>
          <w:tcPr>
            <w:tcW w:w="34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5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77</w:t>
            </w:r>
          </w:p>
        </w:tc>
        <w:tc>
          <w:tcPr>
            <w:tcW w:w="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0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r>
      <w:tr>
        <w:trPr>
          <w:trHeight w:val="27"/>
        </w:trPr>
        <w:tc>
          <w:tcPr>
            <w:tcW w:w="52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4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10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(2,120)</w:t>
            </w:r>
          </w:p>
        </w:tc>
        <w:tc>
          <w:tcPr>
            <w:tcW w:w="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(610)</w:t>
            </w:r>
          </w:p>
        </w:tc>
        <w:tc>
          <w:tcPr>
            <w:tcW w:w="10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(1,653)</w:t>
            </w:r>
          </w:p>
        </w:tc>
      </w:tr>
      <w:tr>
        <w:trPr>
          <w:trHeight w:val="238"/>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Comprehensive Income (Loss) Attributable to Minority</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4"/>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52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02"/>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Comprehensive Income (Loss)</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1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(2,117)</w:t>
            </w:r>
          </w:p>
        </w:tc>
        <w:tc>
          <w:tcPr>
            <w:tcW w:w="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(605)</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(1,688)</w:t>
            </w: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-33655</wp:posOffset>
            </wp:positionV>
            <wp:extent cx="596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-33655</wp:posOffset>
            </wp:positionV>
            <wp:extent cx="596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-33655</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-222250</wp:posOffset>
            </wp:positionV>
            <wp:extent cx="596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-213995</wp:posOffset>
            </wp:positionV>
            <wp:extent cx="596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-222250</wp:posOffset>
            </wp:positionV>
            <wp:extent cx="603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-728345</wp:posOffset>
            </wp:positionV>
            <wp:extent cx="596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-728345</wp:posOffset>
            </wp:positionV>
            <wp:extent cx="603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-3505200</wp:posOffset>
            </wp:positionV>
            <wp:extent cx="596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-3505200</wp:posOffset>
            </wp:positionV>
            <wp:extent cx="60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left="340" w:right="2760"/>
        <w:spacing w:after="0" w:line="27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BALANCE SHEETS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2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200" w:type="dxa"/>
            <w:vAlign w:val="bottom"/>
          </w:tcPr>
          <w:p>
            <w:pPr>
              <w:spacing w:after="0"/>
              <w:rPr>
                <w:sz w:val="16"/>
                <w:szCs w:val="16"/>
                <w:color w:val="auto"/>
              </w:rPr>
            </w:pPr>
          </w:p>
        </w:tc>
        <w:tc>
          <w:tcPr>
            <w:tcW w:w="12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24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3"/>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r>
      <w:tr>
        <w:trPr>
          <w:trHeight w:val="25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801</w:t>
            </w:r>
          </w:p>
        </w:tc>
      </w:tr>
      <w:tr>
        <w:trPr>
          <w:trHeight w:val="24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less Allowance — $95 ($89 in 2025)</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w:t>
            </w:r>
          </w:p>
        </w:tc>
      </w:tr>
      <w:tr>
        <w:trPr>
          <w:trHeight w:val="26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FF0FC"/>
          </w:tcPr>
          <w:p>
            <w:pPr>
              <w:spacing w:after="0"/>
              <w:rPr>
                <w:sz w:val="23"/>
                <w:szCs w:val="23"/>
                <w:color w:val="auto"/>
              </w:rPr>
            </w:pPr>
          </w:p>
        </w:tc>
        <w:tc>
          <w:tcPr>
            <w:tcW w:w="12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40" w:type="dxa"/>
            <w:vAlign w:val="bottom"/>
            <w:shd w:val="clear" w:color="auto" w:fill="CFF0FC"/>
          </w:tcPr>
          <w:p>
            <w:pPr>
              <w:spacing w:after="0"/>
              <w:rPr>
                <w:sz w:val="23"/>
                <w:szCs w:val="23"/>
                <w:color w:val="auto"/>
              </w:rPr>
            </w:pPr>
          </w:p>
        </w:tc>
      </w:tr>
      <w:tr>
        <w:trPr>
          <w:trHeight w:val="247"/>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Raw Materials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r>
      <w:tr>
        <w:trPr>
          <w:trHeight w:val="266"/>
        </w:trPr>
        <w:tc>
          <w:tcPr>
            <w:tcW w:w="8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Work in Process</w:t>
            </w:r>
          </w:p>
        </w:tc>
        <w:tc>
          <w:tcPr>
            <w:tcW w:w="200" w:type="dxa"/>
            <w:vAlign w:val="bottom"/>
            <w:shd w:val="clear" w:color="auto" w:fill="CFF0FC"/>
          </w:tcPr>
          <w:p>
            <w:pPr>
              <w:spacing w:after="0"/>
              <w:rPr>
                <w:sz w:val="23"/>
                <w:szCs w:val="2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50"/>
        </w:trPr>
        <w:tc>
          <w:tcPr>
            <w:tcW w:w="824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Finished Products</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2,965</w:t>
            </w: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2,761</w:t>
            </w:r>
          </w:p>
        </w:tc>
      </w:tr>
      <w:tr>
        <w:trPr>
          <w:trHeight w:val="257"/>
        </w:trPr>
        <w:tc>
          <w:tcPr>
            <w:tcW w:w="8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3,748</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3,572</w:t>
            </w:r>
          </w:p>
        </w:tc>
      </w:tr>
      <w:tr>
        <w:trPr>
          <w:trHeight w:val="24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 Held for Sale</w:t>
            </w:r>
          </w:p>
        </w:tc>
        <w:tc>
          <w:tcPr>
            <w:tcW w:w="20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6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w:t>
            </w:r>
          </w:p>
        </w:tc>
      </w:tr>
      <w:tr>
        <w:trPr>
          <w:trHeight w:val="240"/>
        </w:trPr>
        <w:tc>
          <w:tcPr>
            <w:tcW w:w="82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7,218</w:t>
            </w:r>
          </w:p>
        </w:tc>
      </w:tr>
      <w:tr>
        <w:trPr>
          <w:trHeight w:val="26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shd w:val="clear" w:color="auto" w:fill="CFF0FC"/>
          </w:tcPr>
          <w:p>
            <w:pPr>
              <w:spacing w:after="0"/>
              <w:rPr>
                <w:sz w:val="23"/>
                <w:szCs w:val="2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4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r>
      <w:tr>
        <w:trPr>
          <w:trHeight w:val="26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Income Taxes (Note 5)</w:t>
            </w:r>
          </w:p>
        </w:tc>
        <w:tc>
          <w:tcPr>
            <w:tcW w:w="200" w:type="dxa"/>
            <w:vAlign w:val="bottom"/>
            <w:shd w:val="clear" w:color="auto" w:fill="CFF0FC"/>
          </w:tcPr>
          <w:p>
            <w:pPr>
              <w:spacing w:after="0"/>
              <w:rPr>
                <w:sz w:val="23"/>
                <w:szCs w:val="2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w:t>
            </w:r>
          </w:p>
        </w:tc>
      </w:tr>
      <w:tr>
        <w:trPr>
          <w:trHeight w:val="24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w:t>
            </w:r>
          </w:p>
        </w:tc>
      </w:tr>
      <w:tr>
        <w:trPr>
          <w:trHeight w:val="26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shd w:val="clear" w:color="auto" w:fill="CFF0FC"/>
          </w:tcPr>
          <w:p>
            <w:pPr>
              <w:spacing w:after="0"/>
              <w:rPr>
                <w:sz w:val="23"/>
                <w:szCs w:val="2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998</w:t>
            </w:r>
          </w:p>
        </w:tc>
      </w:tr>
      <w:tr>
        <w:trPr>
          <w:trHeight w:val="250"/>
        </w:trPr>
        <w:tc>
          <w:tcPr>
            <w:tcW w:w="82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less Accumulated Depreciation — $12,450 ($12,390 in 2025)</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7,452</w:t>
            </w: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7,843</w:t>
            </w:r>
          </w:p>
        </w:tc>
      </w:tr>
      <w:tr>
        <w:trPr>
          <w:trHeight w:val="275"/>
        </w:trPr>
        <w:tc>
          <w:tcPr>
            <w:tcW w:w="82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18,500</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18,208</w:t>
            </w:r>
          </w:p>
        </w:tc>
      </w:tr>
      <w:tr>
        <w:trPr>
          <w:trHeight w:val="20"/>
        </w:trPr>
        <w:tc>
          <w:tcPr>
            <w:tcW w:w="8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r>
      <w:tr>
        <w:trPr>
          <w:trHeight w:val="170"/>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5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r>
      <w:tr>
        <w:trPr>
          <w:trHeight w:val="24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Accounts Payable — Trade</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3,810</w:t>
            </w: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3,879</w:t>
            </w:r>
          </w:p>
        </w:tc>
      </w:tr>
      <w:tr>
        <w:trPr>
          <w:trHeight w:val="27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and Benefits (Notes 10 and 11</w:t>
            </w:r>
            <w:r>
              <w:rPr>
                <w:rFonts w:ascii="Times New Roman" w:cs="Times New Roman" w:eastAsia="Times New Roman" w:hAnsi="Times New Roman"/>
                <w:sz w:val="17"/>
                <w:szCs w:val="17"/>
                <w:color w:val="auto"/>
              </w:rPr>
              <w:t>)</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r>
      <w:tr>
        <w:trPr>
          <w:trHeight w:val="26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shd w:val="clear" w:color="auto" w:fill="CFF0FC"/>
          </w:tcPr>
          <w:p>
            <w:pPr>
              <w:spacing w:after="0"/>
              <w:rPr>
                <w:sz w:val="23"/>
                <w:szCs w:val="2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1,259</w:t>
            </w:r>
          </w:p>
        </w:tc>
      </w:tr>
      <w:tr>
        <w:trPr>
          <w:trHeight w:val="24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Payable and Overdrafts (Note 8)</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r>
      <w:tr>
        <w:trPr>
          <w:trHeight w:val="26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Liabilities due Within One Year</w:t>
            </w:r>
          </w:p>
        </w:tc>
        <w:tc>
          <w:tcPr>
            <w:tcW w:w="200" w:type="dxa"/>
            <w:vAlign w:val="bottom"/>
            <w:shd w:val="clear" w:color="auto" w:fill="CFF0FC"/>
          </w:tcPr>
          <w:p>
            <w:pPr>
              <w:spacing w:after="0"/>
              <w:rPr>
                <w:sz w:val="23"/>
                <w:szCs w:val="2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50"/>
        </w:trPr>
        <w:tc>
          <w:tcPr>
            <w:tcW w:w="82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Long Term Debt and Finance Leases due Within One Year (Note 8)</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w:t>
            </w:r>
          </w:p>
        </w:tc>
      </w:tr>
      <w:tr>
        <w:trPr>
          <w:trHeight w:val="256"/>
        </w:trPr>
        <w:tc>
          <w:tcPr>
            <w:tcW w:w="8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7,061</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6,782</w:t>
            </w:r>
          </w:p>
        </w:tc>
      </w:tr>
      <w:tr>
        <w:trPr>
          <w:trHeight w:val="24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w:t>
            </w:r>
          </w:p>
        </w:tc>
      </w:tr>
      <w:tr>
        <w:trPr>
          <w:trHeight w:val="26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 Term Debt and Finance Leases (Note 8)</w:t>
            </w:r>
          </w:p>
        </w:tc>
        <w:tc>
          <w:tcPr>
            <w:tcW w:w="200" w:type="dxa"/>
            <w:vAlign w:val="bottom"/>
            <w:shd w:val="clear" w:color="auto" w:fill="CFF0FC"/>
          </w:tcPr>
          <w:p>
            <w:pPr>
              <w:spacing w:after="0"/>
              <w:rPr>
                <w:sz w:val="23"/>
                <w:szCs w:val="2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6,030</w:t>
            </w: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5,328</w:t>
            </w:r>
          </w:p>
        </w:tc>
      </w:tr>
      <w:tr>
        <w:trPr>
          <w:trHeight w:val="24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and Benefits (Notes 10 and 11)</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r>
      <w:tr>
        <w:trPr>
          <w:trHeight w:val="26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Income Taxes (Note 5)</w:t>
            </w:r>
          </w:p>
        </w:tc>
        <w:tc>
          <w:tcPr>
            <w:tcW w:w="200" w:type="dxa"/>
            <w:vAlign w:val="bottom"/>
            <w:shd w:val="clear" w:color="auto" w:fill="CFF0FC"/>
          </w:tcPr>
          <w:p>
            <w:pPr>
              <w:spacing w:after="0"/>
              <w:rPr>
                <w:sz w:val="23"/>
                <w:szCs w:val="2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50"/>
        </w:trPr>
        <w:tc>
          <w:tcPr>
            <w:tcW w:w="82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Other Long Term Liabilities</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941</w:t>
            </w:r>
          </w:p>
        </w:tc>
      </w:tr>
      <w:tr>
        <w:trPr>
          <w:trHeight w:val="257"/>
        </w:trPr>
        <w:tc>
          <w:tcPr>
            <w:tcW w:w="8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15,706</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14,805</w:t>
            </w:r>
          </w:p>
        </w:tc>
      </w:tr>
      <w:tr>
        <w:trPr>
          <w:trHeight w:val="24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 (Note 12)</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00" w:type="dxa"/>
            <w:vAlign w:val="bottom"/>
            <w:shd w:val="clear" w:color="auto" w:fill="CFF0FC"/>
          </w:tcPr>
          <w:p>
            <w:pPr>
              <w:spacing w:after="0"/>
              <w:rPr>
                <w:sz w:val="23"/>
                <w:szCs w:val="23"/>
                <w:color w:val="auto"/>
              </w:rPr>
            </w:pPr>
          </w:p>
        </w:tc>
        <w:tc>
          <w:tcPr>
            <w:tcW w:w="12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40" w:type="dxa"/>
            <w:vAlign w:val="bottom"/>
            <w:shd w:val="clear" w:color="auto" w:fill="CFF0FC"/>
          </w:tcPr>
          <w:p>
            <w:pPr>
              <w:spacing w:after="0"/>
              <w:rPr>
                <w:sz w:val="23"/>
                <w:szCs w:val="23"/>
                <w:color w:val="auto"/>
              </w:rPr>
            </w:pPr>
          </w:p>
        </w:tc>
      </w:tr>
      <w:tr>
        <w:trPr>
          <w:trHeight w:val="24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Goodyear Shareholders’ Equity:</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 no par value:</w:t>
            </w:r>
          </w:p>
        </w:tc>
        <w:tc>
          <w:tcPr>
            <w:tcW w:w="200" w:type="dxa"/>
            <w:vAlign w:val="bottom"/>
            <w:shd w:val="clear" w:color="auto" w:fill="CFF0FC"/>
          </w:tcPr>
          <w:p>
            <w:pPr>
              <w:spacing w:after="0"/>
              <w:rPr>
                <w:sz w:val="23"/>
                <w:szCs w:val="23"/>
                <w:color w:val="auto"/>
              </w:rPr>
            </w:pPr>
          </w:p>
        </w:tc>
        <w:tc>
          <w:tcPr>
            <w:tcW w:w="12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40" w:type="dxa"/>
            <w:vAlign w:val="bottom"/>
            <w:shd w:val="clear" w:color="auto" w:fill="CFF0FC"/>
          </w:tcPr>
          <w:p>
            <w:pPr>
              <w:spacing w:after="0"/>
              <w:rPr>
                <w:sz w:val="23"/>
                <w:szCs w:val="23"/>
                <w:color w:val="auto"/>
              </w:rPr>
            </w:pPr>
          </w:p>
        </w:tc>
      </w:tr>
      <w:tr>
        <w:trPr>
          <w:trHeight w:val="247"/>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Authorized, 450 million shares, Outstanding shares — 288 million in 2026 (286 million in 2025)</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6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Capital Surplus</w:t>
            </w:r>
          </w:p>
        </w:tc>
        <w:tc>
          <w:tcPr>
            <w:tcW w:w="200" w:type="dxa"/>
            <w:vAlign w:val="bottom"/>
            <w:shd w:val="clear" w:color="auto" w:fill="CFF0FC"/>
          </w:tcPr>
          <w:p>
            <w:pPr>
              <w:spacing w:after="0"/>
              <w:rPr>
                <w:sz w:val="23"/>
                <w:szCs w:val="2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3,179</w:t>
            </w: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3,175</w:t>
            </w:r>
          </w:p>
        </w:tc>
      </w:tr>
      <w:tr>
        <w:trPr>
          <w:trHeight w:val="24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3,360</w:t>
            </w:r>
          </w:p>
        </w:tc>
      </w:tr>
      <w:tr>
        <w:trPr>
          <w:trHeight w:val="26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 (Note 14)</w:t>
            </w:r>
          </w:p>
        </w:tc>
        <w:tc>
          <w:tcPr>
            <w:tcW w:w="200" w:type="dxa"/>
            <w:vAlign w:val="bottom"/>
            <w:tcBorders>
              <w:bottom w:val="single" w:sz="8" w:color="auto"/>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(3,502)</w:t>
            </w:r>
          </w:p>
        </w:tc>
        <w:tc>
          <w:tcPr>
            <w:tcW w:w="100" w:type="dxa"/>
            <w:vAlign w:val="bottom"/>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(3,588)</w:t>
            </w:r>
          </w:p>
        </w:tc>
      </w:tr>
      <w:tr>
        <w:trPr>
          <w:trHeight w:val="240"/>
        </w:trPr>
        <w:tc>
          <w:tcPr>
            <w:tcW w:w="82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Goodyear Shareholders’ Equity</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3,233</w:t>
            </w:r>
          </w:p>
        </w:tc>
      </w:tr>
      <w:tr>
        <w:trPr>
          <w:trHeight w:val="26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Minority Shareholders’ Equity — Nonredeemable</w:t>
            </w:r>
          </w:p>
        </w:tc>
        <w:tc>
          <w:tcPr>
            <w:tcW w:w="200" w:type="dxa"/>
            <w:vAlign w:val="bottom"/>
            <w:tcBorders>
              <w:bottom w:val="single" w:sz="8" w:color="auto"/>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44"/>
        </w:trPr>
        <w:tc>
          <w:tcPr>
            <w:tcW w:w="82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2,794</w:t>
            </w: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3,403</w:t>
            </w:r>
          </w:p>
        </w:tc>
      </w:tr>
      <w:tr>
        <w:trPr>
          <w:trHeight w:val="275"/>
        </w:trPr>
        <w:tc>
          <w:tcPr>
            <w:tcW w:w="82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18,500</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18,208</w:t>
            </w:r>
          </w:p>
        </w:tc>
      </w:tr>
      <w:tr>
        <w:trPr>
          <w:trHeight w:val="20"/>
        </w:trPr>
        <w:tc>
          <w:tcPr>
            <w:tcW w:w="8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-33655</wp:posOffset>
            </wp:positionV>
            <wp:extent cx="60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-205105</wp:posOffset>
            </wp:positionV>
            <wp:extent cx="603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-2185035</wp:posOffset>
            </wp:positionV>
            <wp:extent cx="60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-3171190</wp:posOffset>
            </wp:positionV>
            <wp:extent cx="603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-4645660</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-4817110</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-6463030</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-7800340</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20"/>
          </w:cols>
          <w:pgMar w:left="320" w:top="337" w:right="359" w:bottom="875"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875"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left="340" w:right="2760"/>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SHAREHOLDERS’ EQUITY (Unaudited)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Minority</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tcPr>
          <w:p>
            <w:pPr>
              <w:spacing w:after="0"/>
              <w:rPr>
                <w:sz w:val="15"/>
                <w:szCs w:val="15"/>
                <w:color w:val="auto"/>
              </w:rPr>
            </w:pPr>
          </w:p>
        </w:tc>
        <w:tc>
          <w:tcPr>
            <w:tcW w:w="208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5"/>
                <w:szCs w:val="15"/>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Goodyear</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80" w:type="dxa"/>
            <w:vAlign w:val="bottom"/>
          </w:tcPr>
          <w:p>
            <w:pPr>
              <w:spacing w:after="0"/>
              <w:rPr>
                <w:sz w:val="15"/>
                <w:szCs w:val="15"/>
                <w:color w:val="auto"/>
              </w:rPr>
            </w:pPr>
          </w:p>
        </w:tc>
        <w:tc>
          <w:tcPr>
            <w:tcW w:w="8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6"/>
        </w:trPr>
        <w:tc>
          <w:tcPr>
            <w:tcW w:w="2880" w:type="dxa"/>
            <w:vAlign w:val="bottom"/>
          </w:tcPr>
          <w:p>
            <w:pPr>
              <w:spacing w:after="0"/>
              <w:rPr>
                <w:sz w:val="8"/>
                <w:szCs w:val="8"/>
                <w:color w:val="auto"/>
              </w:rPr>
            </w:pPr>
          </w:p>
        </w:tc>
        <w:tc>
          <w:tcPr>
            <w:tcW w:w="208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080" w:type="dxa"/>
            <w:vAlign w:val="bottom"/>
            <w:gridSpan w:val="3"/>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60" w:type="dxa"/>
            <w:vAlign w:val="bottom"/>
            <w:gridSpan w:val="3"/>
            <w:vMerge w:val="restart"/>
          </w:tcPr>
          <w:p>
            <w:pPr>
              <w:jc w:val="right"/>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Equity — Non-</w:t>
            </w:r>
          </w:p>
        </w:tc>
        <w:tc>
          <w:tcPr>
            <w:tcW w:w="980" w:type="dxa"/>
            <w:vAlign w:val="bottom"/>
            <w:gridSpan w:val="2"/>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6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80" w:type="dxa"/>
            <w:vAlign w:val="bottom"/>
          </w:tcPr>
          <w:p>
            <w:pPr>
              <w:spacing w:after="0"/>
              <w:rPr>
                <w:sz w:val="18"/>
                <w:szCs w:val="18"/>
                <w:color w:val="auto"/>
              </w:rPr>
            </w:pPr>
          </w:p>
        </w:tc>
        <w:tc>
          <w:tcPr>
            <w:tcW w:w="8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288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9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(after deducting 38,040,862 common treasury</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286,247,045</w:t>
            </w:r>
          </w:p>
        </w:tc>
        <w:tc>
          <w:tcPr>
            <w:tcW w:w="80" w:type="dxa"/>
            <w:vAlign w:val="bottom"/>
          </w:tcPr>
          <w:p>
            <w:pPr>
              <w:spacing w:after="0"/>
              <w:rPr>
                <w:sz w:val="16"/>
                <w:szCs w:val="16"/>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286</w:t>
            </w:r>
          </w:p>
        </w:tc>
        <w:tc>
          <w:tcPr>
            <w:tcW w:w="8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3,175</w:t>
            </w:r>
          </w:p>
        </w:tc>
        <w:tc>
          <w:tcPr>
            <w:tcW w:w="8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3,360</w:t>
            </w:r>
          </w:p>
        </w:tc>
        <w:tc>
          <w:tcPr>
            <w:tcW w:w="8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(3,588)</w:t>
            </w:r>
          </w:p>
        </w:tc>
        <w:tc>
          <w:tcPr>
            <w:tcW w:w="8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3,233</w:t>
            </w:r>
          </w:p>
        </w:tc>
        <w:tc>
          <w:tcPr>
            <w:tcW w:w="8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170</w:t>
            </w:r>
          </w:p>
        </w:tc>
        <w:tc>
          <w:tcPr>
            <w:tcW w:w="8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3,403</w:t>
            </w:r>
          </w:p>
        </w:tc>
        <w:tc>
          <w:tcPr>
            <w:tcW w:w="0" w:type="dxa"/>
            <w:vAlign w:val="bottom"/>
          </w:tcPr>
          <w:p>
            <w:pPr>
              <w:spacing w:after="0"/>
              <w:rPr>
                <w:sz w:val="1"/>
                <w:szCs w:val="1"/>
                <w:color w:val="auto"/>
              </w:rPr>
            </w:pPr>
          </w:p>
        </w:tc>
      </w:tr>
      <w:tr>
        <w:trPr>
          <w:trHeight w:val="188"/>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206"/>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37"/>
        </w:trPr>
        <w:tc>
          <w:tcPr>
            <w:tcW w:w="2880" w:type="dxa"/>
            <w:vAlign w:val="bottom"/>
            <w:tcBorders>
              <w:bottom w:val="single" w:sz="8" w:color="CFF0FC"/>
            </w:tcBorders>
          </w:tcPr>
          <w:p>
            <w:pPr>
              <w:spacing w:after="0"/>
              <w:rPr>
                <w:sz w:val="3"/>
                <w:szCs w:val="3"/>
                <w:color w:val="auto"/>
              </w:rPr>
            </w:pPr>
          </w:p>
        </w:tc>
        <w:tc>
          <w:tcPr>
            <w:tcW w:w="98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CFF0FC"/>
            </w:tcBorders>
          </w:tcPr>
          <w:p>
            <w:pPr>
              <w:spacing w:after="0"/>
              <w:rPr>
                <w:sz w:val="3"/>
                <w:szCs w:val="3"/>
                <w:color w:val="auto"/>
              </w:rPr>
            </w:pPr>
          </w:p>
        </w:tc>
        <w:tc>
          <w:tcPr>
            <w:tcW w:w="78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CFF0FC"/>
            </w:tcBorders>
          </w:tcPr>
          <w:p>
            <w:pPr>
              <w:spacing w:after="0"/>
              <w:rPr>
                <w:sz w:val="3"/>
                <w:szCs w:val="3"/>
                <w:color w:val="auto"/>
              </w:rPr>
            </w:pPr>
          </w:p>
        </w:tc>
        <w:tc>
          <w:tcPr>
            <w:tcW w:w="78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CFF0FC"/>
            </w:tcBorders>
          </w:tcPr>
          <w:p>
            <w:pPr>
              <w:spacing w:after="0"/>
              <w:rPr>
                <w:sz w:val="3"/>
                <w:szCs w:val="3"/>
                <w:color w:val="auto"/>
              </w:rPr>
            </w:pPr>
          </w:p>
        </w:tc>
        <w:tc>
          <w:tcPr>
            <w:tcW w:w="80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90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8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(399)</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(403)</w:t>
            </w:r>
          </w:p>
        </w:tc>
        <w:tc>
          <w:tcPr>
            <w:tcW w:w="0" w:type="dxa"/>
            <w:vAlign w:val="bottom"/>
          </w:tcPr>
          <w:p>
            <w:pPr>
              <w:spacing w:after="0"/>
              <w:rPr>
                <w:sz w:val="1"/>
                <w:szCs w:val="1"/>
                <w:color w:val="auto"/>
              </w:rPr>
            </w:pPr>
          </w:p>
        </w:tc>
      </w:tr>
      <w:tr>
        <w:trPr>
          <w:trHeight w:val="206"/>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Dividends declared</w:t>
            </w:r>
          </w:p>
        </w:tc>
        <w:tc>
          <w:tcPr>
            <w:tcW w:w="9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6"/>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1,411,139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37"/>
        </w:trPr>
        <w:tc>
          <w:tcPr>
            <w:tcW w:w="2880" w:type="dxa"/>
            <w:vAlign w:val="bottom"/>
            <w:tcBorders>
              <w:bottom w:val="single" w:sz="8" w:color="CFF0FC"/>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2026</w:t>
            </w:r>
          </w:p>
        </w:tc>
        <w:tc>
          <w:tcPr>
            <w:tcW w:w="9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(after deducting 36,629,723 common treasury</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287,658,184</w:t>
            </w:r>
          </w:p>
        </w:tc>
        <w:tc>
          <w:tcPr>
            <w:tcW w:w="80" w:type="dxa"/>
            <w:vAlign w:val="bottom"/>
          </w:tcPr>
          <w:p>
            <w:pPr>
              <w:spacing w:after="0"/>
              <w:rPr>
                <w:sz w:val="16"/>
                <w:szCs w:val="16"/>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288</w:t>
            </w:r>
          </w:p>
        </w:tc>
        <w:tc>
          <w:tcPr>
            <w:tcW w:w="8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3,178</w:t>
            </w:r>
          </w:p>
        </w:tc>
        <w:tc>
          <w:tcPr>
            <w:tcW w:w="8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2,907</w:t>
            </w:r>
          </w:p>
        </w:tc>
        <w:tc>
          <w:tcPr>
            <w:tcW w:w="8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(3,534)</w:t>
            </w:r>
          </w:p>
        </w:tc>
        <w:tc>
          <w:tcPr>
            <w:tcW w:w="8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2,839</w:t>
            </w:r>
          </w:p>
        </w:tc>
        <w:tc>
          <w:tcPr>
            <w:tcW w:w="8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162</w:t>
            </w:r>
          </w:p>
        </w:tc>
        <w:tc>
          <w:tcPr>
            <w:tcW w:w="8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3,001</w:t>
            </w:r>
          </w:p>
        </w:tc>
        <w:tc>
          <w:tcPr>
            <w:tcW w:w="0" w:type="dxa"/>
            <w:vAlign w:val="bottom"/>
          </w:tcPr>
          <w:p>
            <w:pPr>
              <w:spacing w:after="0"/>
              <w:rPr>
                <w:sz w:val="1"/>
                <w:szCs w:val="1"/>
                <w:color w:val="auto"/>
              </w:rPr>
            </w:pPr>
          </w:p>
        </w:tc>
      </w:tr>
      <w:tr>
        <w:trPr>
          <w:trHeight w:val="188"/>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206"/>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37"/>
        </w:trPr>
        <w:tc>
          <w:tcPr>
            <w:tcW w:w="2880" w:type="dxa"/>
            <w:vAlign w:val="bottom"/>
            <w:tcBorders>
              <w:bottom w:val="single" w:sz="8" w:color="CFF0FC"/>
            </w:tcBorders>
          </w:tcPr>
          <w:p>
            <w:pPr>
              <w:spacing w:after="0"/>
              <w:rPr>
                <w:sz w:val="3"/>
                <w:szCs w:val="3"/>
                <w:color w:val="auto"/>
              </w:rPr>
            </w:pPr>
          </w:p>
        </w:tc>
        <w:tc>
          <w:tcPr>
            <w:tcW w:w="98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CFF0FC"/>
            </w:tcBorders>
          </w:tcPr>
          <w:p>
            <w:pPr>
              <w:spacing w:after="0"/>
              <w:rPr>
                <w:sz w:val="3"/>
                <w:szCs w:val="3"/>
                <w:color w:val="auto"/>
              </w:rPr>
            </w:pPr>
          </w:p>
        </w:tc>
        <w:tc>
          <w:tcPr>
            <w:tcW w:w="78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CFF0FC"/>
            </w:tcBorders>
          </w:tcPr>
          <w:p>
            <w:pPr>
              <w:spacing w:after="0"/>
              <w:rPr>
                <w:sz w:val="3"/>
                <w:szCs w:val="3"/>
                <w:color w:val="auto"/>
              </w:rPr>
            </w:pPr>
          </w:p>
        </w:tc>
        <w:tc>
          <w:tcPr>
            <w:tcW w:w="78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60" w:type="dxa"/>
            <w:vAlign w:val="bottom"/>
            <w:tcBorders>
              <w:bottom w:val="single" w:sz="8" w:color="CFF0FC"/>
            </w:tcBorders>
          </w:tcPr>
          <w:p>
            <w:pPr>
              <w:spacing w:after="0"/>
              <w:rPr>
                <w:sz w:val="3"/>
                <w:szCs w:val="3"/>
                <w:color w:val="auto"/>
              </w:rPr>
            </w:pPr>
          </w:p>
        </w:tc>
        <w:tc>
          <w:tcPr>
            <w:tcW w:w="80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900" w:type="dxa"/>
            <w:vAlign w:val="bottom"/>
            <w:tcBorders>
              <w:bottom w:val="single" w:sz="8" w:color="CFF0FC"/>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(207)</w:t>
            </w:r>
          </w:p>
        </w:tc>
        <w:tc>
          <w:tcPr>
            <w:tcW w:w="0" w:type="dxa"/>
            <w:vAlign w:val="bottom"/>
          </w:tcPr>
          <w:p>
            <w:pPr>
              <w:spacing w:after="0"/>
              <w:rPr>
                <w:sz w:val="1"/>
                <w:szCs w:val="1"/>
                <w:color w:val="auto"/>
              </w:rPr>
            </w:pPr>
          </w:p>
        </w:tc>
      </w:tr>
      <w:tr>
        <w:trPr>
          <w:trHeight w:val="37"/>
        </w:trPr>
        <w:tc>
          <w:tcPr>
            <w:tcW w:w="288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80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80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sectPr>
          <w:pgSz w:w="11900" w:h="16838" w:orient="portrait"/>
          <w:cols w:equalWidth="0" w:num="1">
            <w:col w:w="11220"/>
          </w:cols>
          <w:pgMar w:left="320" w:top="337" w:right="359" w:bottom="1440" w:gutter="0" w:footer="0" w:header="0"/>
        </w:sectPr>
      </w:pPr>
    </w:p>
    <w:p>
      <w:pPr>
        <w:ind w:left="180"/>
        <w:spacing w:after="0"/>
        <w:rPr>
          <w:sz w:val="20"/>
          <w:szCs w:val="20"/>
          <w:color w:val="auto"/>
        </w:rPr>
      </w:pPr>
      <w:r>
        <w:rPr>
          <w:rFonts w:ascii="Times New Roman" w:cs="Times New Roman" w:eastAsia="Times New Roman" w:hAnsi="Times New Roman"/>
          <w:sz w:val="14"/>
          <w:szCs w:val="14"/>
          <w:color w:val="auto"/>
        </w:rPr>
        <w:t>Stock-based compensation plans</w:t>
      </w:r>
    </w:p>
    <w:p>
      <w:pPr>
        <w:spacing w:after="0" w:line="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Dividends declared</w:t>
      </w:r>
    </w:p>
    <w:p>
      <w:pPr>
        <w:spacing w:after="0" w:line="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Common stock issued from treasury</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2026</w:t>
      </w:r>
    </w:p>
    <w:p>
      <w:pPr>
        <w:spacing w:after="0" w:line="84" w:lineRule="exact"/>
        <w:rPr>
          <w:sz w:val="20"/>
          <w:szCs w:val="20"/>
          <w:color w:val="auto"/>
        </w:rPr>
      </w:pPr>
    </w:p>
    <w:p>
      <w:pPr>
        <w:ind w:left="180"/>
        <w:spacing w:after="0" w:line="302" w:lineRule="auto"/>
        <w:rPr>
          <w:sz w:val="20"/>
          <w:szCs w:val="20"/>
          <w:color w:val="auto"/>
        </w:rPr>
      </w:pPr>
      <w:r>
        <w:rPr>
          <w:rFonts w:ascii="Times New Roman" w:cs="Times New Roman" w:eastAsia="Times New Roman" w:hAnsi="Times New Roman"/>
          <w:sz w:val="14"/>
          <w:szCs w:val="14"/>
          <w:color w:val="auto"/>
        </w:rPr>
        <w:t>(after deducting 36,352,102 common treasury shares)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43"/>
        </w:trPr>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43"/>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277,621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578"/>
        </w:trPr>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287,935,805</w:t>
            </w:r>
          </w:p>
        </w:tc>
        <w:tc>
          <w:tcPr>
            <w:tcW w:w="80" w:type="dxa"/>
            <w:vAlign w:val="bottom"/>
          </w:tcPr>
          <w:p>
            <w:pPr>
              <w:spacing w:after="0"/>
              <w:rPr>
                <w:sz w:val="24"/>
                <w:szCs w:val="24"/>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288</w:t>
            </w:r>
          </w:p>
        </w:tc>
        <w:tc>
          <w:tcPr>
            <w:tcW w:w="8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3,179</w:t>
            </w:r>
          </w:p>
        </w:tc>
        <w:tc>
          <w:tcPr>
            <w:tcW w:w="8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2,669</w:t>
            </w:r>
          </w:p>
        </w:tc>
        <w:tc>
          <w:tcPr>
            <w:tcW w:w="8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(3,502)</w:t>
            </w:r>
          </w:p>
        </w:tc>
        <w:tc>
          <w:tcPr>
            <w:tcW w:w="8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2,634</w:t>
            </w:r>
          </w:p>
        </w:tc>
        <w:tc>
          <w:tcPr>
            <w:tcW w:w="80" w:type="dxa"/>
            <w:vAlign w:val="bottom"/>
          </w:tcPr>
          <w:p>
            <w:pPr>
              <w:spacing w:after="0"/>
              <w:rPr>
                <w:sz w:val="24"/>
                <w:szCs w:val="24"/>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160</w:t>
            </w:r>
          </w:p>
        </w:tc>
        <w:tc>
          <w:tcPr>
            <w:tcW w:w="8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2,794</w:t>
            </w:r>
          </w:p>
        </w:tc>
      </w:tr>
      <w:tr>
        <w:trPr>
          <w:trHeight w:val="37"/>
        </w:trPr>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-744855</wp:posOffset>
            </wp:positionV>
            <wp:extent cx="712343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3430" cy="15430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-436245</wp:posOffset>
            </wp:positionV>
            <wp:extent cx="712343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2820" w:space="60"/>
            <w:col w:w="8340"/>
          </w:cols>
          <w:pgMar w:left="320" w:top="337"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There were no dividends declared or paid during the three and nine months ended September 30, 2026.</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SHAREHOLDERS’ EQUITY (Unaudited)</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2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Minority</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80" w:type="dxa"/>
            <w:vAlign w:val="bottom"/>
          </w:tcPr>
          <w:p>
            <w:pPr>
              <w:spacing w:after="0"/>
              <w:rPr>
                <w:sz w:val="15"/>
                <w:szCs w:val="15"/>
                <w:color w:val="auto"/>
              </w:rPr>
            </w:pPr>
          </w:p>
        </w:tc>
        <w:tc>
          <w:tcPr>
            <w:tcW w:w="208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5"/>
                <w:szCs w:val="15"/>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5"/>
                <w:szCs w:val="15"/>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Goodyear</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80" w:type="dxa"/>
            <w:vAlign w:val="bottom"/>
          </w:tcPr>
          <w:p>
            <w:pPr>
              <w:spacing w:after="0"/>
              <w:rPr>
                <w:sz w:val="15"/>
                <w:szCs w:val="15"/>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6"/>
        </w:trPr>
        <w:tc>
          <w:tcPr>
            <w:tcW w:w="2880" w:type="dxa"/>
            <w:vAlign w:val="bottom"/>
          </w:tcPr>
          <w:p>
            <w:pPr>
              <w:spacing w:after="0"/>
              <w:rPr>
                <w:sz w:val="8"/>
                <w:szCs w:val="8"/>
                <w:color w:val="auto"/>
              </w:rPr>
            </w:pPr>
          </w:p>
        </w:tc>
        <w:tc>
          <w:tcPr>
            <w:tcW w:w="208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80" w:type="dxa"/>
            <w:vAlign w:val="bottom"/>
            <w:gridSpan w:val="3"/>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60" w:type="dxa"/>
            <w:vAlign w:val="bottom"/>
            <w:gridSpan w:val="3"/>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80" w:type="dxa"/>
            <w:vAlign w:val="bottom"/>
            <w:gridSpan w:val="3"/>
            <w:vMerge w:val="restart"/>
          </w:tcPr>
          <w:p>
            <w:pPr>
              <w:jc w:val="right"/>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Equity — Non-</w:t>
            </w:r>
          </w:p>
        </w:tc>
        <w:tc>
          <w:tcPr>
            <w:tcW w:w="980" w:type="dxa"/>
            <w:vAlign w:val="bottom"/>
            <w:gridSpan w:val="2"/>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4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80" w:type="dxa"/>
            <w:vAlign w:val="bottom"/>
          </w:tcPr>
          <w:p>
            <w:pPr>
              <w:spacing w:after="0"/>
              <w:rPr>
                <w:sz w:val="18"/>
                <w:szCs w:val="18"/>
                <w:color w:val="auto"/>
              </w:rPr>
            </w:pPr>
          </w:p>
        </w:tc>
        <w:tc>
          <w:tcPr>
            <w:tcW w:w="8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88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(after deducting 39,313,644 common treasury</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284,974,263</w:t>
            </w:r>
          </w:p>
        </w:tc>
        <w:tc>
          <w:tcPr>
            <w:tcW w:w="80" w:type="dxa"/>
            <w:vAlign w:val="bottom"/>
            <w:shd w:val="clear" w:color="auto" w:fill="CFF0FC"/>
          </w:tcPr>
          <w:p>
            <w:pPr>
              <w:spacing w:after="0"/>
              <w:rPr>
                <w:sz w:val="16"/>
                <w:szCs w:val="16"/>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285</w:t>
            </w:r>
          </w:p>
        </w:tc>
        <w:tc>
          <w:tcPr>
            <w:tcW w:w="80" w:type="dxa"/>
            <w:vAlign w:val="bottom"/>
            <w:shd w:val="clear" w:color="auto" w:fill="CFF0FC"/>
          </w:tcPr>
          <w:p>
            <w:pPr>
              <w:spacing w:after="0"/>
              <w:rPr>
                <w:sz w:val="16"/>
                <w:szCs w:val="16"/>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3,159</w:t>
            </w:r>
          </w:p>
        </w:tc>
        <w:tc>
          <w:tcPr>
            <w:tcW w:w="80" w:type="dxa"/>
            <w:vAlign w:val="bottom"/>
            <w:shd w:val="clear" w:color="auto" w:fill="CFF0FC"/>
          </w:tcPr>
          <w:p>
            <w:pPr>
              <w:spacing w:after="0"/>
              <w:rPr>
                <w:sz w:val="16"/>
                <w:szCs w:val="16"/>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5,081</w:t>
            </w:r>
          </w:p>
        </w:tc>
        <w:tc>
          <w:tcPr>
            <w:tcW w:w="80" w:type="dxa"/>
            <w:vAlign w:val="bottom"/>
            <w:shd w:val="clear" w:color="auto" w:fill="CFF0FC"/>
          </w:tcPr>
          <w:p>
            <w:pPr>
              <w:spacing w:after="0"/>
              <w:rPr>
                <w:sz w:val="16"/>
                <w:szCs w:val="16"/>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(3,844)</w:t>
            </w:r>
          </w:p>
        </w:tc>
        <w:tc>
          <w:tcPr>
            <w:tcW w:w="80" w:type="dxa"/>
            <w:vAlign w:val="bottom"/>
            <w:shd w:val="clear" w:color="auto" w:fill="CFF0FC"/>
          </w:tcPr>
          <w:p>
            <w:pPr>
              <w:spacing w:after="0"/>
              <w:rPr>
                <w:sz w:val="16"/>
                <w:szCs w:val="16"/>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4,681</w:t>
            </w:r>
          </w:p>
        </w:tc>
        <w:tc>
          <w:tcPr>
            <w:tcW w:w="80" w:type="dxa"/>
            <w:vAlign w:val="bottom"/>
            <w:shd w:val="clear" w:color="auto" w:fill="CFF0FC"/>
          </w:tcPr>
          <w:p>
            <w:pPr>
              <w:spacing w:after="0"/>
              <w:rPr>
                <w:sz w:val="16"/>
                <w:szCs w:val="16"/>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142</w:t>
            </w:r>
          </w:p>
        </w:tc>
        <w:tc>
          <w:tcPr>
            <w:tcW w:w="80" w:type="dxa"/>
            <w:vAlign w:val="bottom"/>
            <w:shd w:val="clear" w:color="auto" w:fill="CFF0FC"/>
          </w:tcPr>
          <w:p>
            <w:pPr>
              <w:spacing w:after="0"/>
              <w:rPr>
                <w:sz w:val="16"/>
                <w:szCs w:val="16"/>
                <w:color w:val="auto"/>
              </w:rPr>
            </w:pPr>
          </w:p>
        </w:tc>
        <w:tc>
          <w:tcPr>
            <w:tcW w:w="18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4,823</w:t>
            </w:r>
          </w:p>
        </w:tc>
        <w:tc>
          <w:tcPr>
            <w:tcW w:w="0" w:type="dxa"/>
            <w:vAlign w:val="bottom"/>
          </w:tcPr>
          <w:p>
            <w:pPr>
              <w:spacing w:after="0"/>
              <w:rPr>
                <w:sz w:val="1"/>
                <w:szCs w:val="1"/>
                <w:color w:val="auto"/>
              </w:rPr>
            </w:pPr>
          </w:p>
        </w:tc>
      </w:tr>
      <w:tr>
        <w:trPr>
          <w:trHeight w:val="205"/>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96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vMerge w:val="continue"/>
            <w:shd w:val="clear" w:color="auto" w:fill="CFF0FC"/>
          </w:tcPr>
          <w:p>
            <w:pPr>
              <w:spacing w:after="0"/>
              <w:rPr>
                <w:sz w:val="17"/>
                <w:szCs w:val="17"/>
                <w:color w:val="auto"/>
              </w:rPr>
            </w:pPr>
          </w:p>
        </w:tc>
        <w:tc>
          <w:tcPr>
            <w:tcW w:w="80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vMerge w:val="continue"/>
            <w:shd w:val="clear" w:color="auto" w:fill="CFF0FC"/>
          </w:tcPr>
          <w:p>
            <w:pPr>
              <w:spacing w:after="0"/>
              <w:rPr>
                <w:sz w:val="17"/>
                <w:szCs w:val="17"/>
                <w:color w:val="auto"/>
              </w:rPr>
            </w:pPr>
          </w:p>
        </w:tc>
        <w:tc>
          <w:tcPr>
            <w:tcW w:w="78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vMerge w:val="continue"/>
            <w:shd w:val="clear" w:color="auto" w:fill="CFF0FC"/>
          </w:tcPr>
          <w:p>
            <w:pPr>
              <w:spacing w:after="0"/>
              <w:rPr>
                <w:sz w:val="17"/>
                <w:szCs w:val="17"/>
                <w:color w:val="auto"/>
              </w:rPr>
            </w:pPr>
          </w:p>
        </w:tc>
        <w:tc>
          <w:tcPr>
            <w:tcW w:w="82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vMerge w:val="continue"/>
            <w:shd w:val="clear" w:color="auto" w:fill="CFF0FC"/>
          </w:tcPr>
          <w:p>
            <w:pPr>
              <w:spacing w:after="0"/>
              <w:rPr>
                <w:sz w:val="17"/>
                <w:szCs w:val="17"/>
                <w:color w:val="auto"/>
              </w:rPr>
            </w:pPr>
          </w:p>
        </w:tc>
        <w:tc>
          <w:tcPr>
            <w:tcW w:w="92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vMerge w:val="continue"/>
            <w:shd w:val="clear" w:color="auto" w:fill="CFF0FC"/>
          </w:tcPr>
          <w:p>
            <w:pPr>
              <w:spacing w:after="0"/>
              <w:rPr>
                <w:sz w:val="17"/>
                <w:szCs w:val="17"/>
                <w:color w:val="auto"/>
              </w:rPr>
            </w:pPr>
          </w:p>
        </w:tc>
        <w:tc>
          <w:tcPr>
            <w:tcW w:w="84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vMerge w:val="continue"/>
            <w:shd w:val="clear" w:color="auto" w:fill="CFF0FC"/>
          </w:tcPr>
          <w:p>
            <w:pPr>
              <w:spacing w:after="0"/>
              <w:rPr>
                <w:sz w:val="17"/>
                <w:szCs w:val="17"/>
                <w:color w:val="auto"/>
              </w:rPr>
            </w:pPr>
          </w:p>
        </w:tc>
        <w:tc>
          <w:tcPr>
            <w:tcW w:w="90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vMerge w:val="continue"/>
            <w:shd w:val="clear" w:color="auto" w:fill="CFF0FC"/>
          </w:tcPr>
          <w:p>
            <w:pPr>
              <w:spacing w:after="0"/>
              <w:rPr>
                <w:sz w:val="17"/>
                <w:szCs w:val="17"/>
                <w:color w:val="auto"/>
              </w:rPr>
            </w:pPr>
          </w:p>
        </w:tc>
        <w:tc>
          <w:tcPr>
            <w:tcW w:w="800" w:type="dxa"/>
            <w:vAlign w:val="bottom"/>
            <w:tcBorders>
              <w:bottom w:val="single" w:sz="8" w:color="CFF0FC"/>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00"/>
        </w:trPr>
        <w:tc>
          <w:tcPr>
            <w:tcW w:w="28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429</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38</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467</w:t>
            </w: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6"/>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declared</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1,039,706</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2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(after deducting 38,273,938 common treasury</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286,013,969</w:t>
            </w:r>
          </w:p>
        </w:tc>
        <w:tc>
          <w:tcPr>
            <w:tcW w:w="80" w:type="dxa"/>
            <w:vAlign w:val="bottom"/>
            <w:shd w:val="clear" w:color="auto" w:fill="CFF0FC"/>
          </w:tcPr>
          <w:p>
            <w:pPr>
              <w:spacing w:after="0"/>
              <w:rPr>
                <w:sz w:val="16"/>
                <w:szCs w:val="16"/>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286</w:t>
            </w:r>
          </w:p>
        </w:tc>
        <w:tc>
          <w:tcPr>
            <w:tcW w:w="80" w:type="dxa"/>
            <w:vAlign w:val="bottom"/>
            <w:shd w:val="clear" w:color="auto" w:fill="CFF0FC"/>
          </w:tcPr>
          <w:p>
            <w:pPr>
              <w:spacing w:after="0"/>
              <w:rPr>
                <w:sz w:val="16"/>
                <w:szCs w:val="16"/>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3,164</w:t>
            </w:r>
          </w:p>
        </w:tc>
        <w:tc>
          <w:tcPr>
            <w:tcW w:w="80" w:type="dxa"/>
            <w:vAlign w:val="bottom"/>
            <w:shd w:val="clear" w:color="auto" w:fill="CFF0FC"/>
          </w:tcPr>
          <w:p>
            <w:pPr>
              <w:spacing w:after="0"/>
              <w:rPr>
                <w:sz w:val="16"/>
                <w:szCs w:val="16"/>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5,450</w:t>
            </w:r>
          </w:p>
        </w:tc>
        <w:tc>
          <w:tcPr>
            <w:tcW w:w="80" w:type="dxa"/>
            <w:vAlign w:val="bottom"/>
            <w:shd w:val="clear" w:color="auto" w:fill="CFF0FC"/>
          </w:tcPr>
          <w:p>
            <w:pPr>
              <w:spacing w:after="0"/>
              <w:rPr>
                <w:sz w:val="16"/>
                <w:szCs w:val="16"/>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(3,784)</w:t>
            </w:r>
          </w:p>
        </w:tc>
        <w:tc>
          <w:tcPr>
            <w:tcW w:w="80" w:type="dxa"/>
            <w:vAlign w:val="bottom"/>
            <w:shd w:val="clear" w:color="auto" w:fill="CFF0FC"/>
          </w:tcPr>
          <w:p>
            <w:pPr>
              <w:spacing w:after="0"/>
              <w:rPr>
                <w:sz w:val="16"/>
                <w:szCs w:val="16"/>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5,116</w:t>
            </w:r>
          </w:p>
        </w:tc>
        <w:tc>
          <w:tcPr>
            <w:tcW w:w="80" w:type="dxa"/>
            <w:vAlign w:val="bottom"/>
            <w:shd w:val="clear" w:color="auto" w:fill="CFF0FC"/>
          </w:tcPr>
          <w:p>
            <w:pPr>
              <w:spacing w:after="0"/>
              <w:rPr>
                <w:sz w:val="16"/>
                <w:szCs w:val="16"/>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178</w:t>
            </w:r>
          </w:p>
        </w:tc>
        <w:tc>
          <w:tcPr>
            <w:tcW w:w="80" w:type="dxa"/>
            <w:vAlign w:val="bottom"/>
            <w:shd w:val="clear" w:color="auto" w:fill="CFF0FC"/>
          </w:tcPr>
          <w:p>
            <w:pPr>
              <w:spacing w:after="0"/>
              <w:rPr>
                <w:sz w:val="16"/>
                <w:szCs w:val="16"/>
                <w:color w:val="auto"/>
              </w:rPr>
            </w:pPr>
          </w:p>
        </w:tc>
        <w:tc>
          <w:tcPr>
            <w:tcW w:w="18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5,294</w:t>
            </w:r>
          </w:p>
        </w:tc>
        <w:tc>
          <w:tcPr>
            <w:tcW w:w="0" w:type="dxa"/>
            <w:vAlign w:val="bottom"/>
          </w:tcPr>
          <w:p>
            <w:pPr>
              <w:spacing w:after="0"/>
              <w:rPr>
                <w:sz w:val="1"/>
                <w:szCs w:val="1"/>
                <w:color w:val="auto"/>
              </w:rPr>
            </w:pPr>
          </w:p>
        </w:tc>
      </w:tr>
      <w:tr>
        <w:trPr>
          <w:trHeight w:val="205"/>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shares)</w:t>
            </w:r>
          </w:p>
        </w:tc>
        <w:tc>
          <w:tcPr>
            <w:tcW w:w="96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vMerge w:val="continue"/>
            <w:shd w:val="clear" w:color="auto" w:fill="CFF0FC"/>
          </w:tcPr>
          <w:p>
            <w:pPr>
              <w:spacing w:after="0"/>
              <w:rPr>
                <w:sz w:val="17"/>
                <w:szCs w:val="17"/>
                <w:color w:val="auto"/>
              </w:rPr>
            </w:pPr>
          </w:p>
        </w:tc>
        <w:tc>
          <w:tcPr>
            <w:tcW w:w="80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vMerge w:val="continue"/>
            <w:shd w:val="clear" w:color="auto" w:fill="CFF0FC"/>
          </w:tcPr>
          <w:p>
            <w:pPr>
              <w:spacing w:after="0"/>
              <w:rPr>
                <w:sz w:val="17"/>
                <w:szCs w:val="17"/>
                <w:color w:val="auto"/>
              </w:rPr>
            </w:pPr>
          </w:p>
        </w:tc>
        <w:tc>
          <w:tcPr>
            <w:tcW w:w="78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vMerge w:val="continue"/>
            <w:shd w:val="clear" w:color="auto" w:fill="CFF0FC"/>
          </w:tcPr>
          <w:p>
            <w:pPr>
              <w:spacing w:after="0"/>
              <w:rPr>
                <w:sz w:val="17"/>
                <w:szCs w:val="17"/>
                <w:color w:val="auto"/>
              </w:rPr>
            </w:pPr>
          </w:p>
        </w:tc>
        <w:tc>
          <w:tcPr>
            <w:tcW w:w="82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vMerge w:val="continue"/>
            <w:shd w:val="clear" w:color="auto" w:fill="CFF0FC"/>
          </w:tcPr>
          <w:p>
            <w:pPr>
              <w:spacing w:after="0"/>
              <w:rPr>
                <w:sz w:val="17"/>
                <w:szCs w:val="17"/>
                <w:color w:val="auto"/>
              </w:rPr>
            </w:pPr>
          </w:p>
        </w:tc>
        <w:tc>
          <w:tcPr>
            <w:tcW w:w="92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vMerge w:val="continue"/>
            <w:shd w:val="clear" w:color="auto" w:fill="CFF0FC"/>
          </w:tcPr>
          <w:p>
            <w:pPr>
              <w:spacing w:after="0"/>
              <w:rPr>
                <w:sz w:val="17"/>
                <w:szCs w:val="17"/>
                <w:color w:val="auto"/>
              </w:rPr>
            </w:pPr>
          </w:p>
        </w:tc>
        <w:tc>
          <w:tcPr>
            <w:tcW w:w="84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vMerge w:val="continue"/>
            <w:shd w:val="clear" w:color="auto" w:fill="CFF0FC"/>
          </w:tcPr>
          <w:p>
            <w:pPr>
              <w:spacing w:after="0"/>
              <w:rPr>
                <w:sz w:val="17"/>
                <w:szCs w:val="17"/>
                <w:color w:val="auto"/>
              </w:rPr>
            </w:pPr>
          </w:p>
        </w:tc>
        <w:tc>
          <w:tcPr>
            <w:tcW w:w="900" w:type="dxa"/>
            <w:vAlign w:val="bottom"/>
            <w:tcBorders>
              <w:bottom w:val="single" w:sz="8" w:color="CFF0FC"/>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vMerge w:val="continue"/>
            <w:shd w:val="clear" w:color="auto" w:fill="CFF0FC"/>
          </w:tcPr>
          <w:p>
            <w:pPr>
              <w:spacing w:after="0"/>
              <w:rPr>
                <w:sz w:val="17"/>
                <w:szCs w:val="17"/>
                <w:color w:val="auto"/>
              </w:rPr>
            </w:pPr>
          </w:p>
        </w:tc>
        <w:tc>
          <w:tcPr>
            <w:tcW w:w="800" w:type="dxa"/>
            <w:vAlign w:val="bottom"/>
            <w:tcBorders>
              <w:bottom w:val="single" w:sz="8" w:color="CFF0FC"/>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2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99"/>
        </w:trPr>
        <w:tc>
          <w:tcPr>
            <w:tcW w:w="28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(2,117)</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712343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Stock-based compensation plans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Dividends declared</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Common stock issued from treasury</w:t>
      </w:r>
    </w:p>
    <w:p>
      <w:pPr>
        <w:spacing w:after="0" w:line="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p>
      <w:pPr>
        <w:spacing w:after="0" w:line="84" w:lineRule="exact"/>
        <w:rPr>
          <w:sz w:val="20"/>
          <w:szCs w:val="20"/>
          <w:color w:val="auto"/>
        </w:rPr>
      </w:pPr>
    </w:p>
    <w:p>
      <w:pPr>
        <w:ind w:left="200"/>
        <w:spacing w:after="0" w:line="302" w:lineRule="auto"/>
        <w:rPr>
          <w:sz w:val="20"/>
          <w:szCs w:val="20"/>
          <w:color w:val="auto"/>
        </w:rPr>
      </w:pPr>
      <w:r>
        <w:rPr>
          <w:rFonts w:ascii="Times New Roman" w:cs="Times New Roman" w:eastAsia="Times New Roman" w:hAnsi="Times New Roman"/>
          <w:sz w:val="14"/>
          <w:szCs w:val="14"/>
          <w:color w:val="auto"/>
        </w:rPr>
        <w:t>(after deducting 38,151,126 common treasury shares)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43"/>
        </w:trPr>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43"/>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122,812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37"/>
        </w:trPr>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578"/>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286,136,781</w:t>
            </w:r>
          </w:p>
        </w:tc>
        <w:tc>
          <w:tcPr>
            <w:tcW w:w="8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286</w:t>
            </w:r>
          </w:p>
        </w:tc>
        <w:tc>
          <w:tcPr>
            <w:tcW w:w="80" w:type="dxa"/>
            <w:vAlign w:val="bottom"/>
          </w:tcPr>
          <w:p>
            <w:pPr>
              <w:spacing w:after="0"/>
              <w:rPr>
                <w:sz w:val="24"/>
                <w:szCs w:val="24"/>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3,170</w:t>
            </w:r>
          </w:p>
        </w:tc>
        <w:tc>
          <w:tcPr>
            <w:tcW w:w="80" w:type="dxa"/>
            <w:vAlign w:val="bottom"/>
          </w:tcPr>
          <w:p>
            <w:pPr>
              <w:spacing w:after="0"/>
              <w:rPr>
                <w:sz w:val="24"/>
                <w:szCs w:val="24"/>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3,255</w:t>
            </w:r>
          </w:p>
        </w:tc>
        <w:tc>
          <w:tcPr>
            <w:tcW w:w="80" w:type="dxa"/>
            <w:vAlign w:val="bottom"/>
          </w:tcPr>
          <w:p>
            <w:pPr>
              <w:spacing w:after="0"/>
              <w:rPr>
                <w:sz w:val="24"/>
                <w:szCs w:val="24"/>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(3,706)</w:t>
            </w:r>
          </w:p>
        </w:tc>
        <w:tc>
          <w:tcPr>
            <w:tcW w:w="80" w:type="dxa"/>
            <w:vAlign w:val="bottom"/>
          </w:tcPr>
          <w:p>
            <w:pPr>
              <w:spacing w:after="0"/>
              <w:rPr>
                <w:sz w:val="24"/>
                <w:szCs w:val="24"/>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3,005</w:t>
            </w:r>
          </w:p>
        </w:tc>
        <w:tc>
          <w:tcPr>
            <w:tcW w:w="8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173</w:t>
            </w:r>
          </w:p>
        </w:tc>
        <w:tc>
          <w:tcPr>
            <w:tcW w:w="80" w:type="dxa"/>
            <w:vAlign w:val="bottom"/>
          </w:tcPr>
          <w:p>
            <w:pPr>
              <w:spacing w:after="0"/>
              <w:rPr>
                <w:sz w:val="24"/>
                <w:szCs w:val="24"/>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3,178</w:t>
            </w:r>
          </w:p>
        </w:tc>
      </w:tr>
      <w:tr>
        <w:trPr>
          <w:trHeight w:val="37"/>
        </w:trPr>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-1827530</wp:posOffset>
            </wp:positionH>
            <wp:positionV relativeFrom="paragraph">
              <wp:posOffset>-590550</wp:posOffset>
            </wp:positionV>
            <wp:extent cx="712343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3430" cy="154305"/>
                    </a:xfrm>
                    <a:prstGeom prst="rect">
                      <a:avLst/>
                    </a:prstGeom>
                    <a:noFill/>
                  </pic:spPr>
                </pic:pic>
              </a:graphicData>
            </a:graphic>
          </wp:anchor>
        </w:drawing>
        <w:drawing>
          <wp:anchor simplePos="0" relativeHeight="251657728" behindDoc="1" locked="0" layoutInCell="0" allowOverlap="1">
            <wp:simplePos x="0" y="0"/>
            <wp:positionH relativeFrom="column">
              <wp:posOffset>-1827530</wp:posOffset>
            </wp:positionH>
            <wp:positionV relativeFrom="paragraph">
              <wp:posOffset>-281940</wp:posOffset>
            </wp:positionV>
            <wp:extent cx="7123430" cy="266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3430" cy="26606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2840" w:space="60"/>
            <w:col w:w="8340"/>
          </w:cols>
          <w:pgMar w:left="320" w:top="33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There were no dividends declared or paid during the three and nine months ended September 30, 2025.</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left="340" w:right="2760"/>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CASH FLOWS (Unaudited)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21"/>
                <w:szCs w:val="21"/>
                <w:color w:val="auto"/>
              </w:rPr>
            </w:pPr>
          </w:p>
        </w:tc>
        <w:tc>
          <w:tcPr>
            <w:tcW w:w="100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8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7"/>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r>
      <w:tr>
        <w:trPr>
          <w:trHeight w:val="24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(692)</w:t>
            </w:r>
          </w:p>
        </w:tc>
        <w:tc>
          <w:tcPr>
            <w:tcW w:w="100" w:type="dxa"/>
            <w:vAlign w:val="bottom"/>
          </w:tcPr>
          <w:p>
            <w:pPr>
              <w:spacing w:after="0"/>
              <w:rPr>
                <w:sz w:val="21"/>
                <w:szCs w:val="21"/>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(1,798)</w:t>
            </w:r>
          </w:p>
        </w:tc>
      </w:tr>
      <w:tr>
        <w:trPr>
          <w:trHeight w:val="266"/>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Income (Loss) to Cash Flows from Operating Activities:</w:t>
            </w:r>
          </w:p>
        </w:tc>
        <w:tc>
          <w:tcPr>
            <w:tcW w:w="32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860" w:type="dxa"/>
            <w:vAlign w:val="bottom"/>
            <w:shd w:val="clear" w:color="auto" w:fill="CFF0FC"/>
          </w:tcPr>
          <w:p>
            <w:pPr>
              <w:spacing w:after="0"/>
              <w:rPr>
                <w:sz w:val="23"/>
                <w:szCs w:val="23"/>
                <w:color w:val="auto"/>
              </w:rPr>
            </w:pPr>
          </w:p>
        </w:tc>
      </w:tr>
      <w:tr>
        <w:trPr>
          <w:trHeight w:val="247"/>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w:t>
            </w:r>
          </w:p>
        </w:tc>
      </w:tr>
      <w:tr>
        <w:trPr>
          <w:trHeight w:val="266"/>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Amortization and Write-Off of Debt Issuance Costs</w:t>
            </w:r>
          </w:p>
        </w:tc>
        <w:tc>
          <w:tcPr>
            <w:tcW w:w="320" w:type="dxa"/>
            <w:vAlign w:val="bottom"/>
            <w:shd w:val="clear" w:color="auto" w:fill="CFF0FC"/>
          </w:tcPr>
          <w:p>
            <w:pPr>
              <w:spacing w:after="0"/>
              <w:rPr>
                <w:sz w:val="23"/>
                <w:szCs w:val="2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47"/>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 Impairment (Note 1)</w:t>
            </w:r>
          </w:p>
        </w:tc>
        <w:tc>
          <w:tcPr>
            <w:tcW w:w="3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r>
      <w:tr>
        <w:trPr>
          <w:trHeight w:val="266"/>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Provision for Deferred Income Taxes (Note 5)</w:t>
            </w:r>
          </w:p>
        </w:tc>
        <w:tc>
          <w:tcPr>
            <w:tcW w:w="320" w:type="dxa"/>
            <w:vAlign w:val="bottom"/>
            <w:shd w:val="clear" w:color="auto" w:fill="CFF0FC"/>
          </w:tcPr>
          <w:p>
            <w:pPr>
              <w:spacing w:after="0"/>
              <w:rPr>
                <w:sz w:val="23"/>
                <w:szCs w:val="2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1,345</w:t>
            </w:r>
          </w:p>
        </w:tc>
      </w:tr>
      <w:tr>
        <w:trPr>
          <w:trHeight w:val="247"/>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Pension Curtailments and Settlements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66"/>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Rationalization Charges (Note 3)</w:t>
            </w:r>
          </w:p>
        </w:tc>
        <w:tc>
          <w:tcPr>
            <w:tcW w:w="320" w:type="dxa"/>
            <w:vAlign w:val="bottom"/>
            <w:shd w:val="clear" w:color="auto" w:fill="CFF0FC"/>
          </w:tcPr>
          <w:p>
            <w:pPr>
              <w:spacing w:after="0"/>
              <w:rPr>
                <w:sz w:val="23"/>
                <w:szCs w:val="2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47"/>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Rationalization Payments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266"/>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(Gain) Loss on Asset Sales</w:t>
            </w:r>
          </w:p>
        </w:tc>
        <w:tc>
          <w:tcPr>
            <w:tcW w:w="320" w:type="dxa"/>
            <w:vAlign w:val="bottom"/>
            <w:shd w:val="clear" w:color="auto" w:fill="CFF0FC"/>
          </w:tcPr>
          <w:p>
            <w:pPr>
              <w:spacing w:after="0"/>
              <w:rPr>
                <w:sz w:val="23"/>
                <w:szCs w:val="2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47"/>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66"/>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Operating Lease Payments</w:t>
            </w:r>
          </w:p>
        </w:tc>
        <w:tc>
          <w:tcPr>
            <w:tcW w:w="320" w:type="dxa"/>
            <w:vAlign w:val="bottom"/>
            <w:shd w:val="clear" w:color="auto" w:fill="CFF0FC"/>
          </w:tcPr>
          <w:p>
            <w:pPr>
              <w:spacing w:after="0"/>
              <w:rPr>
                <w:sz w:val="23"/>
                <w:szCs w:val="2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47"/>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Pension Contributions and Direct Payments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66"/>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Changes in Operating Assets and Liabilities, Net of Asset Acquisitions and Dispositions:</w:t>
            </w:r>
          </w:p>
        </w:tc>
        <w:tc>
          <w:tcPr>
            <w:tcW w:w="32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860" w:type="dxa"/>
            <w:vAlign w:val="bottom"/>
            <w:shd w:val="clear" w:color="auto" w:fill="CFF0FC"/>
          </w:tcPr>
          <w:p>
            <w:pPr>
              <w:spacing w:after="0"/>
              <w:rPr>
                <w:sz w:val="23"/>
                <w:szCs w:val="23"/>
                <w:color w:val="auto"/>
              </w:rPr>
            </w:pPr>
          </w:p>
        </w:tc>
      </w:tr>
      <w:tr>
        <w:trPr>
          <w:trHeight w:val="247"/>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r>
      <w:tr>
        <w:trPr>
          <w:trHeight w:val="266"/>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shd w:val="clear" w:color="auto" w:fill="CFF0FC"/>
          </w:tcPr>
          <w:p>
            <w:pPr>
              <w:spacing w:after="0"/>
              <w:rPr>
                <w:sz w:val="23"/>
                <w:szCs w:val="2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47"/>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 Trade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66"/>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20" w:type="dxa"/>
            <w:vAlign w:val="bottom"/>
            <w:shd w:val="clear" w:color="auto" w:fill="CFF0FC"/>
          </w:tcPr>
          <w:p>
            <w:pPr>
              <w:spacing w:after="0"/>
              <w:rPr>
                <w:sz w:val="23"/>
                <w:szCs w:val="2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47"/>
        </w:trPr>
        <w:tc>
          <w:tcPr>
            <w:tcW w:w="8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r>
      <w:tr>
        <w:trPr>
          <w:trHeight w:val="266"/>
        </w:trPr>
        <w:tc>
          <w:tcPr>
            <w:tcW w:w="8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320" w:type="dxa"/>
            <w:vAlign w:val="bottom"/>
            <w:tcBorders>
              <w:bottom w:val="single" w:sz="8" w:color="auto"/>
            </w:tcBorders>
            <w:shd w:val="clear" w:color="auto" w:fill="CFF0FC"/>
          </w:tcPr>
          <w:p>
            <w:pPr>
              <w:spacing w:after="0"/>
              <w:rPr>
                <w:sz w:val="23"/>
                <w:szCs w:val="2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FF0FC"/>
          </w:tcPr>
          <w:p>
            <w:pPr>
              <w:spacing w:after="0"/>
              <w:rPr>
                <w:sz w:val="23"/>
                <w:szCs w:val="23"/>
                <w:color w:val="auto"/>
              </w:rPr>
            </w:pPr>
          </w:p>
        </w:tc>
        <w:tc>
          <w:tcPr>
            <w:tcW w:w="460" w:type="dxa"/>
            <w:vAlign w:val="bottom"/>
            <w:tcBorders>
              <w:bottom w:val="single" w:sz="8" w:color="auto"/>
            </w:tcBorders>
            <w:shd w:val="clear" w:color="auto" w:fill="CFF0FC"/>
          </w:tcPr>
          <w:p>
            <w:pPr>
              <w:spacing w:after="0"/>
              <w:rPr>
                <w:sz w:val="23"/>
                <w:szCs w:val="2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40"/>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 Cash Flows from Operating Activities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(716)</w:t>
            </w:r>
          </w:p>
        </w:tc>
      </w:tr>
      <w:tr>
        <w:trPr>
          <w:trHeight w:val="266"/>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860" w:type="dxa"/>
            <w:vAlign w:val="bottom"/>
            <w:shd w:val="clear" w:color="auto" w:fill="CFF0FC"/>
          </w:tcPr>
          <w:p>
            <w:pPr>
              <w:spacing w:after="0"/>
              <w:rPr>
                <w:sz w:val="23"/>
                <w:szCs w:val="23"/>
                <w:color w:val="auto"/>
              </w:rPr>
            </w:pPr>
          </w:p>
        </w:tc>
      </w:tr>
      <w:tr>
        <w:trPr>
          <w:trHeight w:val="247"/>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266"/>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Asset Dispositions</w:t>
            </w:r>
          </w:p>
        </w:tc>
        <w:tc>
          <w:tcPr>
            <w:tcW w:w="320" w:type="dxa"/>
            <w:vAlign w:val="bottom"/>
            <w:shd w:val="clear" w:color="auto" w:fill="CFF0FC"/>
          </w:tcPr>
          <w:p>
            <w:pPr>
              <w:spacing w:after="0"/>
              <w:rPr>
                <w:sz w:val="23"/>
                <w:szCs w:val="2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1,332</w:t>
            </w:r>
          </w:p>
        </w:tc>
      </w:tr>
      <w:tr>
        <w:trPr>
          <w:trHeight w:val="250"/>
        </w:trPr>
        <w:tc>
          <w:tcPr>
            <w:tcW w:w="848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6"/>
                <w:szCs w:val="16"/>
                <w:color w:val="auto"/>
              </w:rPr>
              <w:t>Other Transactions</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57"/>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Total Cash Flows from Investing Activities</w:t>
            </w:r>
          </w:p>
        </w:tc>
        <w:tc>
          <w:tcPr>
            <w:tcW w:w="3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(441)</w:t>
            </w:r>
          </w:p>
        </w:tc>
        <w:tc>
          <w:tcPr>
            <w:tcW w:w="1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663</w:t>
            </w:r>
          </w:p>
        </w:tc>
      </w:tr>
      <w:tr>
        <w:trPr>
          <w:trHeight w:val="24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66"/>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Short Term Debt and Overdrafts Incurred</w:t>
            </w:r>
          </w:p>
        </w:tc>
        <w:tc>
          <w:tcPr>
            <w:tcW w:w="320" w:type="dxa"/>
            <w:vAlign w:val="bottom"/>
            <w:shd w:val="clear" w:color="auto" w:fill="CFF0FC"/>
          </w:tcPr>
          <w:p>
            <w:pPr>
              <w:spacing w:after="0"/>
              <w:rPr>
                <w:sz w:val="23"/>
                <w:szCs w:val="2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856</w:t>
            </w:r>
          </w:p>
        </w:tc>
      </w:tr>
      <w:tr>
        <w:trPr>
          <w:trHeight w:val="247"/>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Short Term Debt and Overdrafts Paid</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w:t>
            </w:r>
          </w:p>
        </w:tc>
      </w:tr>
      <w:tr>
        <w:trPr>
          <w:trHeight w:val="266"/>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Long Term Debt Incurred</w:t>
            </w:r>
          </w:p>
        </w:tc>
        <w:tc>
          <w:tcPr>
            <w:tcW w:w="320" w:type="dxa"/>
            <w:vAlign w:val="bottom"/>
            <w:shd w:val="clear" w:color="auto" w:fill="CFF0FC"/>
          </w:tcPr>
          <w:p>
            <w:pPr>
              <w:spacing w:after="0"/>
              <w:rPr>
                <w:sz w:val="23"/>
                <w:szCs w:val="2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8,774</w:t>
            </w:r>
          </w:p>
        </w:tc>
        <w:tc>
          <w:tcPr>
            <w:tcW w:w="100" w:type="dxa"/>
            <w:vAlign w:val="bottom"/>
            <w:shd w:val="clear" w:color="auto" w:fill="CFF0FC"/>
          </w:tcPr>
          <w:p>
            <w:pPr>
              <w:spacing w:after="0"/>
              <w:rPr>
                <w:sz w:val="23"/>
                <w:szCs w:val="23"/>
                <w:color w:val="auto"/>
              </w:rPr>
            </w:pPr>
          </w:p>
        </w:tc>
        <w:tc>
          <w:tcPr>
            <w:tcW w:w="46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13,385</w:t>
            </w:r>
          </w:p>
        </w:tc>
      </w:tr>
      <w:tr>
        <w:trPr>
          <w:trHeight w:val="247"/>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Long Term Debt Paid</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(13,289)</w:t>
            </w:r>
          </w:p>
        </w:tc>
      </w:tr>
      <w:tr>
        <w:trPr>
          <w:trHeight w:val="266"/>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Transactions</w:t>
            </w:r>
          </w:p>
        </w:tc>
        <w:tc>
          <w:tcPr>
            <w:tcW w:w="320" w:type="dxa"/>
            <w:vAlign w:val="bottom"/>
            <w:tcBorders>
              <w:bottom w:val="single" w:sz="8" w:color="auto"/>
            </w:tcBorders>
            <w:shd w:val="clear" w:color="auto" w:fill="CFF0FC"/>
          </w:tcPr>
          <w:p>
            <w:pPr>
              <w:spacing w:after="0"/>
              <w:rPr>
                <w:sz w:val="23"/>
                <w:szCs w:val="2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FF0FC"/>
          </w:tcPr>
          <w:p>
            <w:pPr>
              <w:spacing w:after="0"/>
              <w:rPr>
                <w:sz w:val="23"/>
                <w:szCs w:val="23"/>
                <w:color w:val="auto"/>
              </w:rPr>
            </w:pPr>
          </w:p>
        </w:tc>
        <w:tc>
          <w:tcPr>
            <w:tcW w:w="460" w:type="dxa"/>
            <w:vAlign w:val="bottom"/>
            <w:tcBorders>
              <w:bottom w:val="single" w:sz="8" w:color="auto"/>
            </w:tcBorders>
            <w:shd w:val="clear" w:color="auto" w:fill="CFF0FC"/>
          </w:tcPr>
          <w:p>
            <w:pPr>
              <w:spacing w:after="0"/>
              <w:rPr>
                <w:sz w:val="23"/>
                <w:szCs w:val="2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40"/>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 Cash Flows from Financing Activities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w:t>
            </w:r>
          </w:p>
        </w:tc>
      </w:tr>
      <w:tr>
        <w:trPr>
          <w:trHeight w:val="266"/>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20" w:type="dxa"/>
            <w:vAlign w:val="bottom"/>
            <w:tcBorders>
              <w:bottom w:val="single" w:sz="8" w:color="auto"/>
            </w:tcBorders>
            <w:shd w:val="clear" w:color="auto" w:fill="CFF0FC"/>
          </w:tcPr>
          <w:p>
            <w:pPr>
              <w:spacing w:after="0"/>
              <w:rPr>
                <w:sz w:val="23"/>
                <w:szCs w:val="2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FF0FC"/>
          </w:tcPr>
          <w:p>
            <w:pPr>
              <w:spacing w:after="0"/>
              <w:rPr>
                <w:sz w:val="23"/>
                <w:szCs w:val="23"/>
                <w:color w:val="auto"/>
              </w:rPr>
            </w:pPr>
          </w:p>
        </w:tc>
        <w:tc>
          <w:tcPr>
            <w:tcW w:w="460" w:type="dxa"/>
            <w:vAlign w:val="bottom"/>
            <w:tcBorders>
              <w:bottom w:val="single" w:sz="8" w:color="auto"/>
            </w:tcBorders>
            <w:shd w:val="clear" w:color="auto" w:fill="CFF0FC"/>
          </w:tcPr>
          <w:p>
            <w:pPr>
              <w:spacing w:after="0"/>
              <w:rPr>
                <w:sz w:val="23"/>
                <w:szCs w:val="2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40"/>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w:t>
            </w:r>
          </w:p>
        </w:tc>
      </w:tr>
      <w:tr>
        <w:trPr>
          <w:trHeight w:val="266"/>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320" w:type="dxa"/>
            <w:vAlign w:val="bottom"/>
            <w:tcBorders>
              <w:bottom w:val="single" w:sz="8" w:color="auto"/>
            </w:tcBorders>
            <w:shd w:val="clear" w:color="auto" w:fill="CFF0FC"/>
          </w:tcPr>
          <w:p>
            <w:pPr>
              <w:spacing w:after="0"/>
              <w:rPr>
                <w:sz w:val="23"/>
                <w:szCs w:val="2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shd w:val="clear" w:color="auto" w:fill="CFF0FC"/>
          </w:tcPr>
          <w:p>
            <w:pPr>
              <w:spacing w:after="0"/>
              <w:rPr>
                <w:sz w:val="23"/>
                <w:szCs w:val="23"/>
                <w:color w:val="auto"/>
              </w:rPr>
            </w:pPr>
          </w:p>
        </w:tc>
        <w:tc>
          <w:tcPr>
            <w:tcW w:w="460" w:type="dxa"/>
            <w:vAlign w:val="bottom"/>
            <w:tcBorders>
              <w:bottom w:val="single" w:sz="8" w:color="auto"/>
            </w:tcBorders>
            <w:shd w:val="clear" w:color="auto" w:fill="CFF0FC"/>
          </w:tcPr>
          <w:p>
            <w:pPr>
              <w:spacing w:after="0"/>
              <w:rPr>
                <w:sz w:val="23"/>
                <w:szCs w:val="2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w:t>
            </w:r>
          </w:p>
        </w:tc>
      </w:tr>
      <w:tr>
        <w:trPr>
          <w:trHeight w:val="243"/>
        </w:trPr>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Period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869</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930</w:t>
            </w:r>
          </w:p>
        </w:tc>
      </w:tr>
      <w:tr>
        <w:trPr>
          <w:trHeight w:val="27"/>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-6265545</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NOTES TO CONSOLIDATED FINANCIAL STATEMENTS (Unaudited)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by The Goodyear Tire &amp; Rubber Company (the “Company,” “Goodyear,” “we,” “us” or “our”) in accordance with Securities and Exchange Commission (“SEC”) rules and regulations and generally accepted accounting principles in the United States of America ("U.S. GAAP") and in the opinion of management contain all adjustments (including normal recurring adjustments) necessary to fairly state the financial position, results of operations and cash flows for the periods presented. The preparation of financial statements in conformity with U.S. GAAP requires management to make estimates and assumptions that affect the amounts reported in the financial statements and accompanying notes. These interim consolidated financial statements should be read in conjunction with the consolidated financial statements and related notes thereto included in our Annual Report on Form 10-K for the year ended December 31, 2025 (the “2025 Form 10-K”).</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results for the three and nine months ended September 30, 2026 are not necessarily indicative of the results expected in subsequent quarters or for the year ending December 31, 2026.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Standards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4, 2024, the Financial Accounting Standards Board ("FASB") issued a final Accounting Standards Update ("ASU") to require disaggregated disclosure of income statement expenses. This new standard requires certain expense categories, including selling expenses, to be disaggregated in the notes to the consolidated financial statements. The standards update is effective for fiscal years beginning after December 15, 2026, and interim periods within fiscal years beginning after December 15, 2027. We are currently assessing the impact of this standards update on our disclosures in the notes to the consolidated financial statements.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18, 2025, the FASB issued a final ASU to modernize the accounting for internal-use software. This update replaces the previous stage-based capitalization model with a principles-based approach, allowing capitalization of software development costs once management has authorized and committed funding and it is probable the project will be completed and perform its intended function. The ASU also consolidates guidance for website development under the internal-use software framework and expands applicability to cloud-based and agile development methods. The standards update is effective for fiscal years beginning after December 15, 2026, with early adoption permitted. The adoption of this standards update will not have a material impact on our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 and Intangible Assets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and indefinite-lived intangible assets are tested for impairment annually or more frequently if an indicator of impairment is present. Intangible assets with finite lives are amortized over their useful lives and are reviewed for impairment whenever events or circumstances warrant such review. Goodwill and intangible assets are written down to fair value if considered impaired. Goodwill and Intangible Assets totaled $44 million and $640 million, respectively, at September 30, 2026, compared to $42 million and $663 million, respectively, at December 31, 2025. All goodwill was associated with the reporting unit in our Asia Pacific segment at September 30, 2026 and December 31, 2025.</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third quarter of 2026, macroeconomic and geopolitical events continued to have an adverse impact on our results and contributed to the decline in our replacement volume. We considered the impact on the fair value of our goodwill reporting unit and our indefinite-lived intangible assets. During this review, we considered the nature and extent of current market conditions, forecasts for reporting units and individual brands, as well as the quantitative analysis performed during our annual 2025 impairment test and the interim quantitative assessment performed in the second quarter of 2026. Based on our review of external and internal factors compared to our latest quantitative assessment, we determined it was not more likely than not that the fair value of our goodwill or indefinite-lived intangible assets is less than the respective carrying value, and thus, a triggering event had not occurred which would require an interim impairment test to be performed. We will continue to monitor our results and market conditions to determine if a future analysis would be required.</w:t>
      </w:r>
    </w:p>
    <w:p>
      <w:pPr>
        <w:spacing w:after="0" w:line="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third quarter of 2025, we recorded a non-cash impairment charge of $674 million to fully impair our North America reporting unit's goodwill in our Americas segment.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Tariff Refunds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International Emergency Economic Powers Act ("IEEPA") was used by President Trump to impose tariffs on imports. On December 10, 2025, we filed a lawsuit in the U.S. Court of International Trade challenging the IEPPA tariffs. On February 20, 2026, the U.S. Supreme Court ruled that IEEPA does not authorize the President to impose tariffs. The Court of International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Trade has ordered U.S. Customs and Border Protection ("CBP") to begin refunding tariffs imposed under IEEPA. On April 20, 2026, we submitted our claim for a refund of the IEEPA tariffs through the CBP portal established to process such claims.</w:t>
      </w:r>
    </w:p>
    <w:p>
      <w:pPr>
        <w:spacing w:after="0" w:line="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applied the loss recovery model and determined that the receipt of the refund of the previously paid IEEPA tariffs is probable. In the first quarter of 2026, we estimated the amount of the probable refund to be $60 million, of which $46 million was recognized as a reduction to cost of goods sold, $12 million was applied as a reduction to tariffs that remained in inventory, and $2 million was accrued as an other liability associated with contractual terms. We received IEEPA tariff refunds of $42 million in the second quarter of 2026, with the remaining refund amounts received in the third quarter of 2026.</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all legal entities in which we hold a controlling financial interest. A controlling financial interest generally arises from our ownership of a majority of the voting shares of our subsidiaries. We would also hold a controlling financial interest in variable interest entities if we are considered to be the primary beneficiary. Investments in companies in which we do not own a majority interest and we have the ability to exercise significant influence over operating and financial policies are accounted for using the equity method. Investments in other companies are primarily carried at cost. All intercompany balances and transactions have been eliminated in consolidation.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Cash</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as reported within the Consolidated Statements of Cash Flows:</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21"/>
                <w:szCs w:val="21"/>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57"/>
        </w:trPr>
        <w:tc>
          <w:tcPr>
            <w:tcW w:w="8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83"/>
        </w:trPr>
        <w:tc>
          <w:tcPr>
            <w:tcW w:w="84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FF0FC"/>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302"/>
        </w:trPr>
        <w:tc>
          <w:tcPr>
            <w:tcW w:w="8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869</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930</w:t>
            </w:r>
          </w:p>
        </w:tc>
      </w:tr>
      <w:tr>
        <w:trPr>
          <w:trHeight w:val="20"/>
        </w:trPr>
        <w:tc>
          <w:tcPr>
            <w:tcW w:w="84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Cash at both September 30, 2026 and 2025, primarily represents amounts required to be set aside for accounts receivable factoring programs. The restrictions lapse when cash from factored accounts receivable is remitted to the purchaser of those receivables. Restricted cash at September 30, 2025, also includes amounts collected in connection with ongoing agreements related to the sale of our off-the-road ("OTR") tire business. At both September 30, 2026 and 2025, restricted cash was recorded in Prepaid Expenses and Other Current Assets in the Consolidated Balance Sheets.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Reclassifications and Adjustments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have been reclassified to conform to the current presentation.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NET SALES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disaggregated net sales from contracts with customers by major source: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56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5"/>
        </w:trPr>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2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00" w:type="dxa"/>
            <w:vAlign w:val="bottom"/>
          </w:tcPr>
          <w:p>
            <w:pPr>
              <w:spacing w:after="0"/>
              <w:rPr>
                <w:sz w:val="16"/>
                <w:szCs w:val="16"/>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66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57"/>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3,896</w:t>
            </w:r>
          </w:p>
        </w:tc>
      </w:tr>
      <w:tr>
        <w:trPr>
          <w:trHeight w:val="25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3"/>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4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5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4"/>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2,675</w:t>
            </w:r>
          </w:p>
        </w:tc>
        <w:tc>
          <w:tcPr>
            <w:tcW w:w="80" w:type="dxa"/>
            <w:vAlign w:val="bottom"/>
          </w:tcPr>
          <w:p>
            <w:pPr>
              <w:spacing w:after="0"/>
              <w:rPr>
                <w:sz w:val="21"/>
                <w:szCs w:val="21"/>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1,355</w:t>
            </w:r>
          </w:p>
        </w:tc>
        <w:tc>
          <w:tcPr>
            <w:tcW w:w="8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4,540</w:t>
            </w:r>
          </w:p>
        </w:tc>
      </w:tr>
      <w:tr>
        <w:trPr>
          <w:trHeight w:val="27"/>
        </w:trPr>
        <w:tc>
          <w:tcPr>
            <w:tcW w:w="5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29"/>
        </w:trPr>
        <w:tc>
          <w:tcPr>
            <w:tcW w:w="5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
        </w:trPr>
        <w:tc>
          <w:tcPr>
            <w:tcW w:w="56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71"/>
        </w:trPr>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4"/>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7"/>
                <w:szCs w:val="17"/>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2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00" w:type="dxa"/>
            <w:vAlign w:val="bottom"/>
          </w:tcPr>
          <w:p>
            <w:pPr>
              <w:spacing w:after="0"/>
              <w:rPr>
                <w:sz w:val="17"/>
                <w:szCs w:val="17"/>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66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57"/>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3,905</w:t>
            </w:r>
          </w:p>
        </w:tc>
      </w:tr>
      <w:tr>
        <w:trPr>
          <w:trHeight w:val="25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3"/>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4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5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3"/>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2,737</w:t>
            </w:r>
          </w:p>
        </w:tc>
        <w:tc>
          <w:tcPr>
            <w:tcW w:w="80" w:type="dxa"/>
            <w:vAlign w:val="bottom"/>
          </w:tcPr>
          <w:p>
            <w:pPr>
              <w:spacing w:after="0"/>
              <w:rPr>
                <w:sz w:val="21"/>
                <w:szCs w:val="21"/>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1,407</w:t>
            </w:r>
          </w:p>
        </w:tc>
        <w:tc>
          <w:tcPr>
            <w:tcW w:w="8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4,645</w:t>
            </w:r>
          </w:p>
        </w:tc>
      </w:tr>
      <w:tr>
        <w:trPr>
          <w:trHeight w:val="27"/>
        </w:trPr>
        <w:tc>
          <w:tcPr>
            <w:tcW w:w="5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16"/>
        </w:trPr>
        <w:tc>
          <w:tcPr>
            <w:tcW w:w="5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
        </w:trPr>
        <w:tc>
          <w:tcPr>
            <w:tcW w:w="56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5"/>
        </w:trPr>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2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00" w:type="dxa"/>
            <w:vAlign w:val="bottom"/>
          </w:tcPr>
          <w:p>
            <w:pPr>
              <w:spacing w:after="0"/>
              <w:rPr>
                <w:sz w:val="16"/>
                <w:szCs w:val="16"/>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66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57"/>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10,766</w:t>
            </w:r>
          </w:p>
        </w:tc>
      </w:tr>
      <w:tr>
        <w:trPr>
          <w:trHeight w:val="25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3"/>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4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5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3"/>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7,120</w:t>
            </w:r>
          </w:p>
        </w:tc>
        <w:tc>
          <w:tcPr>
            <w:tcW w:w="80" w:type="dxa"/>
            <w:vAlign w:val="bottom"/>
          </w:tcPr>
          <w:p>
            <w:pPr>
              <w:spacing w:after="0"/>
              <w:rPr>
                <w:sz w:val="21"/>
                <w:szCs w:val="21"/>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4,090</w:t>
            </w:r>
          </w:p>
        </w:tc>
        <w:tc>
          <w:tcPr>
            <w:tcW w:w="8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1,461</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12,671</w:t>
            </w:r>
          </w:p>
        </w:tc>
      </w:tr>
      <w:tr>
        <w:trPr>
          <w:trHeight w:val="27"/>
        </w:trPr>
        <w:tc>
          <w:tcPr>
            <w:tcW w:w="5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29"/>
        </w:trPr>
        <w:tc>
          <w:tcPr>
            <w:tcW w:w="5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
        </w:trPr>
        <w:tc>
          <w:tcPr>
            <w:tcW w:w="56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5"/>
        </w:trPr>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2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00" w:type="dxa"/>
            <w:vAlign w:val="bottom"/>
          </w:tcPr>
          <w:p>
            <w:pPr>
              <w:spacing w:after="0"/>
              <w:rPr>
                <w:sz w:val="16"/>
                <w:szCs w:val="16"/>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66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57"/>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6,349</w:t>
            </w: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11,166</w:t>
            </w:r>
          </w:p>
        </w:tc>
      </w:tr>
      <w:tr>
        <w:trPr>
          <w:trHeight w:val="25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3"/>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4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5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3"/>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7,901</w:t>
            </w:r>
          </w:p>
        </w:tc>
        <w:tc>
          <w:tcPr>
            <w:tcW w:w="80" w:type="dxa"/>
            <w:vAlign w:val="bottom"/>
          </w:tcPr>
          <w:p>
            <w:pPr>
              <w:spacing w:after="0"/>
              <w:rPr>
                <w:sz w:val="21"/>
                <w:szCs w:val="21"/>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4,028</w:t>
            </w:r>
          </w:p>
        </w:tc>
        <w:tc>
          <w:tcPr>
            <w:tcW w:w="8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1,434</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13,363</w:t>
            </w:r>
          </w:p>
        </w:tc>
      </w:tr>
      <w:tr>
        <w:trPr>
          <w:trHeight w:val="27"/>
        </w:trPr>
        <w:tc>
          <w:tcPr>
            <w:tcW w:w="5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Tire unit sales consist of consumer, commercial, farm and OTR tire sales, including the sale of new Company-branded tires through Company-owned retail channels. OTR tire sales primarily consist of tires sold to The Yokohama Rubber Company, Limited (“Yokohama”), pursuant to the product supply agreement related to the sale of our OTR tire business. Other tire and related sales consist of aviation, race and motorcycle tire sales, retread sales and other tire related sales. Sales of tires in this category are not included in reported tire unit information. Retail services and service related sales consist of automotive services performed for customers through our Company-owned retail channels, and includes service related products. Chemical sales relate to the sale of synthetic rubber and other chemicals to third parties, and exclude intercompany sales. Other sales include items such as franchise fees and ancillary tire parts.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we receive consideration from a customer prior to transferring goods or services under the terms of a sales contract, we record deferred revenue, which represents a contract liability. Deferred revenue included in Other Current Liabilities in the Consolidated Balance Sheets totaled $33 million and $34 million at September 30, 2026 and December 31, 2025, respectively. Deferred revenue included in Other Long Term Liabilities in the Consolidated Balance Sheets totaled $59 million and $76 million at September 30, 2026 and December 31, 2025, respectively. We recognize deferred revenue after we have transferred control of the goods or services to the customer and all revenue recognition criteria are met. Revenue deferred at September 30, 2026 primarily relates to the product supply agreement we entered into with Yokohama in connection with the sale of our OTR tire business.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 of deferred revenue related to contracts with customers, and changes during the nine months ended September 30, 2026:</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9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7"/>
        </w:trPr>
        <w:tc>
          <w:tcPr>
            <w:tcW w:w="9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520" w:type="dxa"/>
            <w:vAlign w:val="bottom"/>
            <w:tcBorders>
              <w:bottom w:val="single" w:sz="8" w:color="CFF0FC"/>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r>
      <w:tr>
        <w:trPr>
          <w:trHeight w:val="257"/>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deferred during period</w:t>
            </w:r>
          </w:p>
        </w:tc>
        <w:tc>
          <w:tcPr>
            <w:tcW w:w="5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7"/>
        </w:trPr>
        <w:tc>
          <w:tcPr>
            <w:tcW w:w="9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63"/>
        </w:trPr>
        <w:tc>
          <w:tcPr>
            <w:tcW w:w="9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recognized during period</w:t>
            </w:r>
          </w:p>
        </w:tc>
        <w:tc>
          <w:tcPr>
            <w:tcW w:w="52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57"/>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5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84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302"/>
        </w:trPr>
        <w:tc>
          <w:tcPr>
            <w:tcW w:w="9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520" w:type="dxa"/>
            <w:vAlign w:val="bottom"/>
            <w:tcBorders>
              <w:bottom w:val="single" w:sz="8" w:color="CFF0FC"/>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r>
      <w:tr>
        <w:trPr>
          <w:trHeight w:val="20"/>
        </w:trPr>
        <w:tc>
          <w:tcPr>
            <w:tcW w:w="98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COSTS ASSOCIATED WITH RATIONALIZATION PROGRAMS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improve our global competitiveness, we have implemented, and are implementing, rationalization actions to reduce high-cost and excess manufacturing capacity and operating and administrative costs.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roll-forward of the liability balance between periods: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Associate-</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4"/>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200" w:type="dxa"/>
            <w:vAlign w:val="bottom"/>
          </w:tcPr>
          <w:p>
            <w:pPr>
              <w:spacing w:after="0"/>
              <w:rPr>
                <w:sz w:val="17"/>
                <w:szCs w:val="17"/>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300" w:type="dxa"/>
            <w:vAlign w:val="bottom"/>
          </w:tcPr>
          <w:p>
            <w:pPr>
              <w:spacing w:after="0"/>
              <w:rPr>
                <w:sz w:val="17"/>
                <w:szCs w:val="17"/>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706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57"/>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r>
      <w:tr>
        <w:trPr>
          <w:trHeight w:val="28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Charges</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64"/>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Incurred, net of foreign currency translation of ($5) million and $0 million, respectively</w:t>
            </w:r>
          </w:p>
        </w:tc>
        <w:tc>
          <w:tcPr>
            <w:tcW w:w="18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5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Reversed to the Statement of Operations</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06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02"/>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289</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r>
      <w:tr>
        <w:trPr>
          <w:trHeight w:val="20"/>
        </w:trPr>
        <w:tc>
          <w:tcPr>
            <w:tcW w:w="70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-33655</wp:posOffset>
            </wp:positionV>
            <wp:extent cx="60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-33655</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-222250</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-222250</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-950595</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-950595</wp:posOffset>
            </wp:positionV>
            <wp:extent cx="60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 w:lineRule="exact"/>
        <w:rPr>
          <w:sz w:val="20"/>
          <w:szCs w:val="20"/>
          <w:color w:val="auto"/>
        </w:rPr>
      </w:pPr>
    </w:p>
    <w:p>
      <w:pPr>
        <w:ind w:left="360" w:right="40" w:hanging="334"/>
        <w:spacing w:after="0" w:line="229" w:lineRule="auto"/>
        <w:tabs>
          <w:tab w:leader="none" w:pos="347" w:val="left"/>
        </w:tabs>
        <w:numPr>
          <w:ilvl w:val="0"/>
          <w:numId w:val="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Charges of $286 million exclude $7 million of benefit plan termination benefit charges recorded in Rationalizations in the Consolidated Statement of Operations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2026, we approved a plan to reduce manufacturing expenses globally. The plan includes approximately 300 net job reductions. We expect these actions to be substantially complete by the end of 2027. Total pre-tax charges are expected to be approximately $30 million, of which approximately $15 million is expected to be cash charges for associate-related and other exit costs, and the remaining costs are expected to be asset-related charges. We have accrued approximately $16 million for this plan at September 30, 2026.</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third quarter of 2026, we approved a plan to close our chemical manufacturing facilities in Niagara Falls, New York (“Niagara Falls”) and Bayport, Texas (“Bayport”). The plan includes approximately 85 job reductions. We expect these actions to be substantially complete by the end of 2027. Total pre-tax charges are expected to be between $55 million to $75 million, of which approximately $30 million is expected to be cash charges primarily for plant decommissioning and associate-related and other exit costs, and the remaining costs are expected to be non-cash charges primarily for accelerated depreciation and other asset-related charges. We have accrued approximately $5 million for this plan at September 30, 2026.</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third quarter of 2026, we approved a plan to permanently close our Fayetteville, North Carolina tire manufacturing facility ("Fayetteville"). The plan includes approximately 1,750 job reductions. We expect to substantially complete this rationalization plan by the end of 2027 and estimate the total pre-tax charges associated with this action to be between $535 million and $565 million, of which $190 million to $210 million are expected to be cash charges primarily for associate-related and other exit costs, and the remaining costs are expected to be non-cash charges primarily for accelerated depreciation and other asset-related charges ($290 million to $310 million) and pension special termination benefits ($40 million to $50 million). We have accrued approximately $109 million for this plan at September 30, 2026.</w:t>
      </w: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second quarter of 2026, we approved a plan to reduce headcount globally. The plan includes approximately 200 net headcount reductions. Total pre-tax charges are expected to be primarily cash charges of approximately $20 million for associate-related and other exit costs. We have accrued approximately $18 million for this plan at September 30, 2026.</w:t>
      </w:r>
    </w:p>
    <w:p>
      <w:pPr>
        <w:sectPr>
          <w:pgSz w:w="11900" w:h="16838" w:orient="portrait"/>
          <w:cols w:equalWidth="0" w:num="1">
            <w:col w:w="11240"/>
          </w:cols>
          <w:pgMar w:left="320" w:top="337"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first quarter of 2026, we approved a rationalization plan in Europe, Middle East and Africa ("EMEA") to improve its cost structure as part of actions we expect to take in order to streamline its sales and distribution model and simplify business processes. The plan includes approximately 400 net headcount reductions. In certain countries, relevant portions of the rationalization plan remain subject to consultation with employee representative bodies. Total pre-tax charges are expected to be primarily cash charges between $100 million and $110 million, of which $75 million to $85 million are for associate-related and other exit costs. We expect these actions to be substantially complete in 2028. We have accrued approximately $67 million for this plan at September 30, 2026.</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we approved a plan to reduce Selling, Administrative and General Expense ("SAG") headcount globally. The plan includes approximately 100 net headcount reductions. The total pre-tax charges associated with these actions are expected to be approximately $10 million, primarily for associate-related and other exit costs. We have accrued approximately $4 million for this plan at September 30, 2026.</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2026, we approved a plan in Americas to consolidate mold operations and close the Tall Timbers mold plant in Findlay, Ohio ("Tall Timbers"). The plan includes approximately 100 net headcount reductions. The total pre-tax charges associated with these actions are expected to be approximately $15 million, primarily for associate-related and other exit costs. We have accrued approximately $1 million for this plan at September 30, 2026.</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remainder of the accrual balance at September 30, 2026 primarily includes $60 million related to the closures of our Fulda, Germany ("Fulda") and our Fürstenwalde, Germany ("Fürstenwalde") tire manufacturing facilities and $11 million related to a rationalization and workforce reorganization plan in EMEA.</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September 30, 2026 and December 31, 2025, $193 million and $131 million were recorded in Other Current Liabilities in the Consolidated Balance Sheets,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net rationalization charges included in Income (Loss) before Income Taxes: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240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21"/>
                <w:szCs w:val="21"/>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7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Year Plans</w:t>
            </w: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2"/>
                <w:szCs w:val="22"/>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Plan Curtailments/Settlements/Termination Benefits</w:t>
            </w:r>
          </w:p>
        </w:tc>
        <w:tc>
          <w:tcPr>
            <w:tcW w:w="32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Year Plans - Net Charges</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8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10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Prior Year Plans</w:t>
            </w:r>
          </w:p>
        </w:tc>
        <w:tc>
          <w:tcPr>
            <w:tcW w:w="32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2"/>
                <w:szCs w:val="22"/>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3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5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Prior Year Plans - Net Charges</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Pr>
          <w:p>
            <w:pPr>
              <w:spacing w:after="0"/>
              <w:rPr>
                <w:sz w:val="21"/>
                <w:szCs w:val="21"/>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Pr>
          <w:p>
            <w:pPr>
              <w:spacing w:after="0"/>
              <w:rPr>
                <w:sz w:val="21"/>
                <w:szCs w:val="21"/>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57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b w:val="1"/>
                <w:bCs w:val="1"/>
                <w:color w:val="auto"/>
              </w:rPr>
              <w:t>Total Net Charges</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Asset write-offs (recoveries), accelerated depreciation, and accelerated lease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700" w:type="dxa"/>
            <w:vAlign w:val="bottom"/>
            <w:vMerge w:val="continue"/>
          </w:tcPr>
          <w:p>
            <w:pPr>
              <w:spacing w:after="0"/>
              <w:rPr>
                <w:sz w:val="16"/>
                <w:szCs w:val="16"/>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6"/>
                <w:szCs w:val="16"/>
                <w:color w:val="auto"/>
              </w:rPr>
            </w:pPr>
          </w:p>
        </w:tc>
        <w:tc>
          <w:tcPr>
            <w:tcW w:w="4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6"/>
                <w:szCs w:val="16"/>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6"/>
                <w:szCs w:val="16"/>
                <w:color w:val="auto"/>
              </w:rPr>
            </w:pPr>
          </w:p>
        </w:tc>
        <w:tc>
          <w:tcPr>
            <w:tcW w:w="4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net</w:t>
            </w:r>
          </w:p>
        </w:tc>
        <w:tc>
          <w:tcPr>
            <w:tcW w:w="3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-350520</wp:posOffset>
            </wp:positionV>
            <wp:extent cx="603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-350520</wp:posOffset>
            </wp:positionV>
            <wp:extent cx="603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-539115</wp:posOffset>
            </wp:positionV>
            <wp:extent cx="603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-539115</wp:posOffset>
            </wp:positionV>
            <wp:extent cx="603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-744855</wp:posOffset>
            </wp:positionV>
            <wp:extent cx="60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-899160</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-899160</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-1259205</wp:posOffset>
            </wp:positionV>
            <wp:extent cx="60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-1456690</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-1456690</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-1628140</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-1619250</wp:posOffset>
            </wp:positionV>
            <wp:extent cx="603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-1619250</wp:posOffset>
            </wp:positionV>
            <wp:extent cx="603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-1824990</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-1979295</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-2348230</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-2348230</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Substantially all of the new charges for the three and nine months ended September 30, 2026 and 2025 relate to future cash outflows. Net current year plan charges for the three and nine months ended September 30, 2026 primarily relate to plans approved during the first, second and third quarters of 2026 described above and also include a $7 million termination benefits charge for one of our defined benefit pension plans related to headcount reductions at Fayetteville. Net current year plan charges for the three months ended September 30, 2025 primarily relate to the elimination of commercial tire production at our Danville, Virginia tire manufacturing facility ("Danville") and the closure of our Kariega, South Africa tire manufacturing facility ("Kariega"). Net current year plan charges for the nine months ended September 30, 2025 also include a $4 million termination benefits charge for one of our defined benefit pension plans related to headcount reductions at Danville.</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prior year plan charges for both the three and nine months ended September 30, 2026 and 2025 primarily relate to the closures of Fulda and Fürstenwalde.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 write-offs (recoveries), accelerated depreciation, and accelerated lease costs for both the three and nine months ended September 30, 2026 primarily relate to the announced closures of Niagara Falls, Bayport, Fayetteville, Tall Timbers, Fulda and Fürstenwalde.</w:t>
      </w:r>
    </w:p>
    <w:p>
      <w:pPr>
        <w:sectPr>
          <w:pgSz w:w="11900" w:h="16838" w:orient="portrait"/>
          <w:cols w:equalWidth="0" w:num="1">
            <w:col w:w="11240"/>
          </w:cols>
          <w:pgMar w:left="320" w:top="337"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 write-offs (recoveries), accelerated depreciation, and accelerated lease costs for both the three and nine months ended September 30, 2025 primarily relate to the closures of Fulda and Fürstenwalde, the elimination of commercial tire production at Danville, and the closure of Kariega.</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Ongoing rationalization plans had approximately $950 million in charges incurred prior to 2026 and have approximately $200 million in expected charges to be incurred in future periods.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2,950 associates will be released under plans initiated in 2026, of which approximately 450 were released through September 30, 2026. In the first nine months of 2026, approximately 550 associates were released under plans initiated in prior years. Approximately 2,950 associates remain to be released under all ongoing rationalization plans.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OTHER (INCOME) EXPENSE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5"/>
                <w:szCs w:val="15"/>
                <w:color w:val="auto"/>
              </w:rPr>
            </w:pPr>
          </w:p>
        </w:tc>
      </w:tr>
      <w:tr>
        <w:trPr>
          <w:trHeight w:val="190"/>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4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6"/>
                <w:szCs w:val="16"/>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21"/>
                <w:szCs w:val="21"/>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21"/>
                <w:szCs w:val="21"/>
                <w:color w:val="auto"/>
              </w:rPr>
            </w:pPr>
          </w:p>
        </w:tc>
      </w:tr>
      <w:tr>
        <w:trPr>
          <w:trHeight w:val="37"/>
        </w:trPr>
        <w:tc>
          <w:tcPr>
            <w:tcW w:w="57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257"/>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Non-service related pension and other postretirement benefits</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fees and financial instruments expense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63"/>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foreign currency exchange (gains) losses</w:t>
            </w:r>
          </w:p>
        </w:tc>
        <w:tc>
          <w:tcPr>
            <w:tcW w:w="30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63"/>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product liability expense - discontinued products</w:t>
            </w:r>
          </w:p>
        </w:tc>
        <w:tc>
          <w:tcPr>
            <w:tcW w:w="30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and other (income)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83"/>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Miscellaneous (income) expense</w:t>
            </w: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0"/>
        </w:trPr>
        <w:tc>
          <w:tcPr>
            <w:tcW w:w="5700" w:type="dxa"/>
            <w:vAlign w:val="bottom"/>
          </w:tcPr>
          <w:p>
            <w:pPr>
              <w:spacing w:after="0"/>
              <w:rPr>
                <w:sz w:val="21"/>
                <w:szCs w:val="21"/>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21"/>
                <w:szCs w:val="21"/>
                <w:color w:val="auto"/>
              </w:rPr>
            </w:pPr>
          </w:p>
        </w:tc>
        <w:tc>
          <w:tcPr>
            <w:tcW w:w="88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00" w:type="dxa"/>
            <w:vAlign w:val="bottom"/>
          </w:tcPr>
          <w:p>
            <w:pPr>
              <w:spacing w:after="0"/>
              <w:rPr>
                <w:sz w:val="21"/>
                <w:szCs w:val="21"/>
                <w:color w:val="auto"/>
              </w:rPr>
            </w:pPr>
          </w:p>
        </w:tc>
        <w:tc>
          <w:tcPr>
            <w:tcW w:w="860" w:type="dxa"/>
            <w:vAlign w:val="bottom"/>
            <w:tcBorders>
              <w:top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21"/>
                <w:szCs w:val="21"/>
                <w:color w:val="auto"/>
              </w:rPr>
            </w:pPr>
          </w:p>
        </w:tc>
        <w:tc>
          <w:tcPr>
            <w:tcW w:w="90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r>
      <w:tr>
        <w:trPr>
          <w:trHeight w:val="27"/>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1"/>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-393700</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-393700</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-753745</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-753745</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-959485</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-959485</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-959485</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-1113790</wp:posOffset>
            </wp:positionV>
            <wp:extent cx="60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-1113790</wp:posOffset>
            </wp:positionV>
            <wp:extent cx="603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-1113790</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-1319530</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-1490980</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-1490980</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Non-service related pension and other postretirement benefits cost consists primarily of the interest cost, expected return on plan assets and amortization components of net periodic cost, as well as curtailments and settlements which are not related to rationalization plans. Pension expense for the three and nine months ended September 30, 2025 includes pension settlement charges of $68 million and $72 million, respectively, resulting from total lump sum payments exceeding annual service and interest cost of the applicable plan. For further information, refer to Note to the Consolidated Financial Statements No. 10, Pension, Savings and Other Postretirement Benefit Plans.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Royalty and other income for the three and nine months ended September 30, 2026 includes $12 million and $41 million, respectively, related to royalty income from the OTR license agreement and transition services income related to the sales of the OTR tire business, the Dunlop brand and the chemical business. Royalty and other income for the three and nine months ended September 30, 2025 includes $13 million and $26 million, respectively, related to royalty income from the OTR license agreement and transition services income related to the sales of the OTR tire business and the Dunlop brand.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Expense also includes financing fees and financial instruments expense, which consists of commitment fees and charges incurred in connection with financing transactions; net foreign currency exchange (gains) losses, primarily related to the euro and Turkish lira; interest (income); general and product liability expense - discontinued products, which consists of charges for claims against us related primarily to asbestos personal injury claims, net of probable insurance recoveries; and miscellaneous (income)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third quarter of 2026, we recorded income tax expense of $28 million on loss before income taxes of $211 million. For the first nine months of 2026, we recorded income tax expense of $140 million on loss before income taxes of $552 million. Income tax expense for the three months ended September 30, 2026 includes net discrete tax benefits of $7 million. Income tax expense for the nine months ended September 30, 2026 includes net discrete tax expense of $19 million and is primarily related to an expected settlement of a prior year tax matter in one of our foreign locations.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third quarter of 2025, we recorded income tax expense of $1,464 million on loss before income taxes of $733 million. For the first nine months of 2025, we recorded income tax expense of $1,501 million on loss before income taxes of $297 million. Income tax expense for the three and nine months ended September 30, 2025 includes net discrete tax expense of $1,450 million and $1,446 million, respectively. Discrete tax expense for both periods was primarily related to the establishment of a full valuation allowance on our net deferred tax assets in the U.S.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the three and nine months ended September 30, 2026 primarily relates to losses in the U.S. and foreign jurisdictions in which no tax benefits are recorded and the discrete items noted above. The difference between our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tax rate and the U.S. statutory rate of 21% for the three and nine months ended September 30, 2025 was mainly impacted by the establishment of a full valuation allowance on our net deferred tax assets of $1.4 billion in the U.S.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information. We give operating results during the most recent three-year period a significant weight in our analysis. We perform scheduling exercises to determine if sufficient taxable income of the appropriate character exists in the periods required in order to realize our deferred tax assets with limited lives (such as tax loss carryforwards and tax credits) prior to their expiration. We also consider prudent tax planning strategies (including an assessment of their feasibility) to accelerate taxable income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September 30, 2026 and December 31, 2025, we had approximately $1.6 billion and $1.4 billion, respectively, of U.S. federal, state and local net deferred tax assets and related valuation allowances totaling $1.6 billion and $1.4 billion, respectively. At September 30, 2026 and December 31, 2025, we also had foreign net deferred tax assets of approximately $1.6 billion and $1.5 billion, respectively, and related valuation allowances of approximately $1.3 billion. Our foreign valuation allowances include a $1.1 billion full valuation allowance on our net deferred tax assets in Luxembourg. Our losses in the U.S. and various foreign taxing jurisdictions in recent periods represented sufficient negative evidence to require us to maintain a full valuation allowance against certain of these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on our U.S. and foreign deferred tax assets will exist within the next twelve months.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have published the Pillar Two model rules which adopt a global corporate minimum tax of 15% for multinational enterprises with average revenue in excess of €750 million. Certain jurisdictions in which we operate enacted legislation consistent with one or more of the OECD Pillar Two model rules effective in 2024. The model rules include minimum domestic top-up taxes, income inclusion rules, and undertaxed profit rules all aimed to ensure that multinational corporations pay a minimum effective corporate tax rate of 15% in each jurisdiction in which they operate. We do not expect the Pillar Two model rules to materially impact our annual effective tax rate in 2026. However, we are continuing to evaluate the Pillar Two model rules and related developments, including the side-by-side safe harbor package for U.S.-based multinationals, and their potential impact on future periods.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an audit by the Internal Revenue Service ("IRS"), we received a Notice of Proposed Adjustment ("NOPA") during the second quarter of 2025 related to an intercompany sale of certain intellectual property in 2021. The IRS proposed to disallow income recognition totaling $1.5 billion associated with this transaction. The federal tax charge related to that income recognition was fully offset by the utilization of $315 million of then-existing deferred tax assets, including tax loss carryforwards and foreign tax credits.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challenged the proposed adjustment through the established IRS administrative procedures and engaged in settlement discussions with the IRS. On July 29, 2026, we entered into a closing agreement with the IRS resolving all federal income tax consequences related to the 2021 transaction (the "IRS settlement"). As a result of the IRS settlement, in the third quarter of 2026, we wrote-off approximately $45 million of our deferred tax assets that were previously utilized to offset the related federal and state taxes. However, since our U.S. deferred tax assets are in a full valuation allowance, the write-off of those deferred tax assets did not have a material impact on our operating results or cash flow.</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open to examination in the United States from 2021 onward and in Germany from 2019 onward. Generally, for our remaining tax jurisdictions, years from 2021 onward are still open to examination.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EARNINGS PER SHARE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are computed based on the weighted average number of common shares outstanding. Diluted earnings per share are calculated to reflect the potential dilution that could occur if securities or other contracts were exercised or converted into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common share are calculated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2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20" w:type="dxa"/>
            <w:vAlign w:val="bottom"/>
          </w:tcPr>
          <w:p>
            <w:pPr>
              <w:spacing w:after="0"/>
              <w:rPr>
                <w:sz w:val="21"/>
                <w:szCs w:val="21"/>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66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 — basic:</w:t>
            </w: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Goodyear net income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bottom w:val="single" w:sz="8" w:color="CFF0FC"/>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Loss per common share — basic</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660" w:type="dxa"/>
            <w:vAlign w:val="bottom"/>
            <w:vMerge w:val="continue"/>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(0.82)</w:t>
            </w:r>
          </w:p>
        </w:tc>
        <w:tc>
          <w:tcPr>
            <w:tcW w:w="8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(7.62)</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(6.35)</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 — diluted:</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8"/>
        </w:trPr>
        <w:tc>
          <w:tcPr>
            <w:tcW w:w="5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Goodyear net income (loss)</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bottom w:val="single" w:sz="8" w:color="CFF0FC"/>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6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Dilutive effect of stock options and other dilutive securities</w:t>
            </w:r>
          </w:p>
        </w:tc>
        <w:tc>
          <w:tcPr>
            <w:tcW w:w="32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Loss per common share — diluted</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(0.82)</w:t>
            </w:r>
          </w:p>
        </w:tc>
        <w:tc>
          <w:tcPr>
            <w:tcW w:w="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(7.62)</w:t>
            </w:r>
          </w:p>
        </w:tc>
        <w:tc>
          <w:tcPr>
            <w:tcW w:w="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(6.35)</w:t>
            </w: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-33655</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-33655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-33655</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-222250</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-222250</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-222250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-454025</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-616585</wp:posOffset>
            </wp:positionV>
            <wp:extent cx="603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-831215</wp:posOffset>
            </wp:positionV>
            <wp:extent cx="60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-831215</wp:posOffset>
            </wp:positionV>
            <wp:extent cx="60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-1002665</wp:posOffset>
            </wp:positionV>
            <wp:extent cx="60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-1353820</wp:posOffset>
            </wp:positionV>
            <wp:extent cx="60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-1353820</wp:posOffset>
            </wp:positionV>
            <wp:extent cx="603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-1593850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-1593850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-1593850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-1782445</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-1782445</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-1782445</wp:posOffset>
            </wp:positionV>
            <wp:extent cx="60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-2005330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-2168525</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-2168525</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Weighted average shares outstanding — diluted for both the three and nine months ended September 30, 2026 excludes approximately 2 million equivalent shares, and, for both the three and nine months ended September 30, 2025, excludes approximately 3 million equivalent shares, related to options with exercise prices greater than the average market price of our common shares (i.e., "underwater" options). Additionally, weighted average shares outstanding</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diluted for both the three and nine months ended September 30, 2026 excludes the dilutive effect of approximately 1 million equivalent shares, and for both the three and nine months ended September 30, 2025 excludes the dilutive effect of approximately 2 million equivalent shares, related to unvested restricted stock units, as their inclusion would have been anti-dilutive due to the Goodyear net loss.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BUSINESS SEGMENTS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information reflects our strategic business units (“SBUs”), which are organized to meet customer requirements and global competition. For the three and nine months ended September 30, 2026, we operated our business through operating segments representing our regional tire businesses: Americas; EMEA; and Asia Pacific. Segment information is reported on the basis used for reporting to our Chief Executive Officer. Each of the SBUs is involved in the development, manufacture, distribution and sale of tires. Certain of the SBUs also provide related products and services, which include retreads and automotive and commercial truck maintenance and repair services.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Cost of Goods Sold ("CGS") (excluding asset write-offs and accelerated depreciation charges) and SAG (including certain allocated corporate administrative expenses). Segment operating income also includes certain royalties and equity in earnings of most affiliates. Segment operating income does not include net rationalization charges, asset sales, goodwill and other asset impairment charges, and certain other items.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chief operating decision maker ("CODM") is the Chief Executive Officer. The CODM uses segment operating income to allocate resources (including employees, property, and financial or capital resources) for each segment predominantly in the annual budget and forecasting process. The CODM considers budget-to-actual variances on a monthly basis for the profit measure when making decisions about allocating capital and personnel to the segments. The CODM also uses segment operating income for evaluating product pricing and to assess the performance for each segment by comparing the results and return on assets of each segment with one another.</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segment sales, significant segment expenses and segment operating income (loss), and the reconciliation of segment operating income (loss) to Income (Loss) before Income Taxes: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5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5"/>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6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and Africa</w:t>
            </w:r>
          </w:p>
        </w:tc>
        <w:tc>
          <w:tcPr>
            <w:tcW w:w="24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20" w:type="dxa"/>
            <w:vAlign w:val="bottom"/>
          </w:tcPr>
          <w:p>
            <w:pPr>
              <w:spacing w:after="0"/>
              <w:rPr>
                <w:sz w:val="16"/>
                <w:szCs w:val="16"/>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22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57"/>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4,540</w:t>
            </w:r>
          </w:p>
        </w:tc>
      </w:tr>
      <w:tr>
        <w:trPr>
          <w:trHeight w:val="257"/>
        </w:trPr>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r>
      <w:tr>
        <w:trPr>
          <w:trHeight w:val="25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3"/>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expense</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r>
      <w:tr>
        <w:trPr>
          <w:trHeight w:val="27"/>
        </w:trPr>
        <w:tc>
          <w:tcPr>
            <w:tcW w:w="5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2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5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r>
      <w:tr>
        <w:trPr>
          <w:trHeight w:val="25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Rationalizations (Note 3)</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5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(Note 4)</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(gains) losses on asset sales</w:t>
            </w:r>
          </w:p>
        </w:tc>
        <w:tc>
          <w:tcPr>
            <w:tcW w:w="26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8"/>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write-offs, accelerated depreciation and accelerated lease costs,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4"/>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(Note 3)</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26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3"/>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60" w:type="dxa"/>
            <w:vAlign w:val="bottom"/>
            <w:shd w:val="clear" w:color="auto" w:fill="CFF0FC"/>
          </w:tcPr>
          <w:p>
            <w:pPr>
              <w:spacing w:after="0"/>
              <w:rPr>
                <w:sz w:val="24"/>
                <w:szCs w:val="24"/>
                <w:color w:val="auto"/>
              </w:rPr>
            </w:pPr>
          </w:p>
        </w:tc>
        <w:tc>
          <w:tcPr>
            <w:tcW w:w="11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28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50"/>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5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-1971040</wp:posOffset>
            </wp:positionV>
            <wp:extent cx="59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-1971040</wp:posOffset>
            </wp:positionV>
            <wp:extent cx="59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-1971040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-3093720</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-3093720</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-3093720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 w:lineRule="exact"/>
        <w:rPr>
          <w:sz w:val="20"/>
          <w:szCs w:val="20"/>
          <w:color w:val="auto"/>
        </w:rPr>
      </w:pPr>
    </w:p>
    <w:p>
      <w:pPr>
        <w:ind w:left="360" w:right="20" w:hanging="334"/>
        <w:spacing w:after="0" w:line="229" w:lineRule="auto"/>
        <w:tabs>
          <w:tab w:leader="none" w:pos="347"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represents OTR license agreement royalty income, in addition to transition services income related to the sales of the OTR tire business, the Dunlop brand and the chemical business.</w:t>
      </w:r>
    </w:p>
    <w:p>
      <w:pPr>
        <w:spacing w:after="0" w:line="60" w:lineRule="exact"/>
        <w:rPr>
          <w:rFonts w:ascii="Times New Roman" w:cs="Times New Roman" w:eastAsia="Times New Roman" w:hAnsi="Times New Roman"/>
          <w:sz w:val="23"/>
          <w:szCs w:val="23"/>
          <w:color w:val="auto"/>
          <w:vertAlign w:val="superscript"/>
        </w:rPr>
      </w:pPr>
    </w:p>
    <w:p>
      <w:pPr>
        <w:ind w:left="340" w:hanging="314"/>
        <w:spacing w:after="0"/>
        <w:tabs>
          <w:tab w:leader="none" w:pos="34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represents unallocated corporate costs and the elimination of royalty and other income attributable to the SBUs.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5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1"/>
        </w:trPr>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4"/>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6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and Africa</w:t>
            </w:r>
          </w:p>
        </w:tc>
        <w:tc>
          <w:tcPr>
            <w:tcW w:w="24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20" w:type="dxa"/>
            <w:vAlign w:val="bottom"/>
          </w:tcPr>
          <w:p>
            <w:pPr>
              <w:spacing w:after="0"/>
              <w:rPr>
                <w:sz w:val="17"/>
                <w:szCs w:val="17"/>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22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57"/>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4,645</w:t>
            </w:r>
          </w:p>
        </w:tc>
      </w:tr>
      <w:tr>
        <w:trPr>
          <w:trHeight w:val="257"/>
        </w:trPr>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3,747</w:t>
            </w:r>
          </w:p>
        </w:tc>
      </w:tr>
      <w:tr>
        <w:trPr>
          <w:trHeight w:val="25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3"/>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expense</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r>
      <w:tr>
        <w:trPr>
          <w:trHeight w:val="27"/>
        </w:trPr>
        <w:tc>
          <w:tcPr>
            <w:tcW w:w="5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2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5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r>
      <w:tr>
        <w:trPr>
          <w:trHeight w:val="25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Rationalizations (Note 3)</w:t>
            </w:r>
          </w:p>
        </w:tc>
        <w:tc>
          <w:tcPr>
            <w:tcW w:w="26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5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expense (Note 4)</w:t>
            </w:r>
          </w:p>
        </w:tc>
        <w:tc>
          <w:tcPr>
            <w:tcW w:w="26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5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(gains) losses on asset sales</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8"/>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Asset write-offs, accelerated depreciation and accelerated lease costs,</w:t>
            </w: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41"/>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(Note 3)</w:t>
            </w:r>
          </w:p>
        </w:tc>
        <w:tc>
          <w:tcPr>
            <w:tcW w:w="2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5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26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84"/>
        </w:trPr>
        <w:tc>
          <w:tcPr>
            <w:tcW w:w="522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CFF0FC"/>
            </w:tcBorders>
          </w:tcPr>
          <w:p>
            <w:pPr>
              <w:spacing w:after="0"/>
              <w:rPr>
                <w:sz w:val="24"/>
                <w:szCs w:val="24"/>
                <w:color w:val="auto"/>
              </w:rPr>
            </w:pPr>
          </w:p>
        </w:tc>
        <w:tc>
          <w:tcPr>
            <w:tcW w:w="1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128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120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02"/>
        </w:trPr>
        <w:tc>
          <w:tcPr>
            <w:tcW w:w="52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6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(733)</w:t>
            </w: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-2150745</wp:posOffset>
            </wp:positionV>
            <wp:extent cx="596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-2150745</wp:posOffset>
            </wp:positionV>
            <wp:extent cx="596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-2150745</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-3274060</wp:posOffset>
            </wp:positionV>
            <wp:extent cx="596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-3274060</wp:posOffset>
            </wp:positionV>
            <wp:extent cx="596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-3274060</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 w:lineRule="exact"/>
        <w:rPr>
          <w:sz w:val="20"/>
          <w:szCs w:val="20"/>
          <w:color w:val="auto"/>
        </w:rPr>
      </w:pPr>
    </w:p>
    <w:p>
      <w:pPr>
        <w:ind w:left="360" w:right="20" w:hanging="334"/>
        <w:spacing w:after="0" w:line="229" w:lineRule="auto"/>
        <w:tabs>
          <w:tab w:leader="none" w:pos="347"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represents OTR transition license agreement royalty income, in addition to transition services income related to the sales of the OTR tire business and the Dunlop brand.</w:t>
      </w:r>
    </w:p>
    <w:p>
      <w:pPr>
        <w:spacing w:after="0" w:line="60" w:lineRule="exact"/>
        <w:rPr>
          <w:rFonts w:ascii="Times New Roman" w:cs="Times New Roman" w:eastAsia="Times New Roman" w:hAnsi="Times New Roman"/>
          <w:sz w:val="23"/>
          <w:szCs w:val="23"/>
          <w:color w:val="auto"/>
          <w:vertAlign w:val="superscript"/>
        </w:rPr>
      </w:pPr>
    </w:p>
    <w:p>
      <w:pPr>
        <w:ind w:left="340" w:hanging="314"/>
        <w:spacing w:after="0"/>
        <w:tabs>
          <w:tab w:leader="none" w:pos="34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represents unallocated corporate costs and the elimination of royalty and other income attributable to the SBUs.</w:t>
      </w:r>
    </w:p>
    <w:p>
      <w:pPr>
        <w:sectPr>
          <w:pgSz w:w="11900" w:h="16838" w:orient="portrait"/>
          <w:cols w:equalWidth="0" w:num="1">
            <w:col w:w="11220"/>
          </w:cols>
          <w:pgMar w:left="320" w:top="337" w:right="359" w:bottom="906"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906"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5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5"/>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8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and Africa</w:t>
            </w:r>
          </w:p>
        </w:tc>
        <w:tc>
          <w:tcPr>
            <w:tcW w:w="24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20" w:type="dxa"/>
            <w:vAlign w:val="bottom"/>
          </w:tcPr>
          <w:p>
            <w:pPr>
              <w:spacing w:after="0"/>
              <w:rPr>
                <w:sz w:val="16"/>
                <w:szCs w:val="16"/>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22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57"/>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12,671</w:t>
            </w:r>
          </w:p>
        </w:tc>
      </w:tr>
      <w:tr>
        <w:trPr>
          <w:trHeight w:val="257"/>
        </w:trPr>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10,490</w:t>
            </w:r>
          </w:p>
        </w:tc>
      </w:tr>
      <w:tr>
        <w:trPr>
          <w:trHeight w:val="25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3"/>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expense</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5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r>
      <w:tr>
        <w:trPr>
          <w:trHeight w:val="27"/>
        </w:trPr>
        <w:tc>
          <w:tcPr>
            <w:tcW w:w="5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2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1"/>
        </w:trPr>
        <w:tc>
          <w:tcPr>
            <w:tcW w:w="5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r>
      <w:tr>
        <w:trPr>
          <w:trHeight w:val="25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Rationalizations (Note 3)</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5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(Note 4)</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(gains) losses on asset sales</w:t>
            </w:r>
          </w:p>
        </w:tc>
        <w:tc>
          <w:tcPr>
            <w:tcW w:w="26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8"/>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write-offs, accelerated depreciation and accelerated lease costs,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4"/>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(Note 3)</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26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5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3"/>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60" w:type="dxa"/>
            <w:vAlign w:val="bottom"/>
            <w:shd w:val="clear" w:color="auto" w:fill="CFF0FC"/>
          </w:tcPr>
          <w:p>
            <w:pPr>
              <w:spacing w:after="0"/>
              <w:rPr>
                <w:sz w:val="24"/>
                <w:szCs w:val="24"/>
                <w:color w:val="auto"/>
              </w:rPr>
            </w:pPr>
          </w:p>
        </w:tc>
        <w:tc>
          <w:tcPr>
            <w:tcW w:w="11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26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50"/>
        </w:trPr>
        <w:tc>
          <w:tcPr>
            <w:tcW w:w="52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(552)</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-1971040</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-1971040</wp:posOffset>
            </wp:positionV>
            <wp:extent cx="596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-1971040</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-3093720</wp:posOffset>
            </wp:positionV>
            <wp:extent cx="59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-3093720</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-3093720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 w:lineRule="exact"/>
        <w:rPr>
          <w:sz w:val="20"/>
          <w:szCs w:val="20"/>
          <w:color w:val="auto"/>
        </w:rPr>
      </w:pPr>
    </w:p>
    <w:p>
      <w:pPr>
        <w:ind w:left="360" w:right="20" w:hanging="334"/>
        <w:spacing w:after="0" w:line="229" w:lineRule="auto"/>
        <w:tabs>
          <w:tab w:leader="none" w:pos="347"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represents OTR license agreement royalty income, in addition to transition services income related to the sales of the OTR tire business, the Dunlop brand and the chemical business.</w:t>
      </w:r>
    </w:p>
    <w:p>
      <w:pPr>
        <w:spacing w:after="0" w:line="60" w:lineRule="exact"/>
        <w:rPr>
          <w:rFonts w:ascii="Times New Roman" w:cs="Times New Roman" w:eastAsia="Times New Roman" w:hAnsi="Times New Roman"/>
          <w:sz w:val="23"/>
          <w:szCs w:val="23"/>
          <w:color w:val="auto"/>
          <w:vertAlign w:val="superscript"/>
        </w:rPr>
      </w:pPr>
    </w:p>
    <w:p>
      <w:pPr>
        <w:ind w:left="340" w:hanging="314"/>
        <w:spacing w:after="0"/>
        <w:tabs>
          <w:tab w:leader="none" w:pos="34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represents unallocated corporate costs and the elimination of royalty and other income attributable to the SBUs.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5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1"/>
        </w:trPr>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4"/>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8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and Africa</w:t>
            </w:r>
          </w:p>
        </w:tc>
        <w:tc>
          <w:tcPr>
            <w:tcW w:w="24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20" w:type="dxa"/>
            <w:vAlign w:val="bottom"/>
          </w:tcPr>
          <w:p>
            <w:pPr>
              <w:spacing w:after="0"/>
              <w:rPr>
                <w:sz w:val="17"/>
                <w:szCs w:val="17"/>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22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57"/>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13,363</w:t>
            </w:r>
          </w:p>
        </w:tc>
      </w:tr>
      <w:tr>
        <w:trPr>
          <w:trHeight w:val="257"/>
        </w:trPr>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10,889</w:t>
            </w:r>
          </w:p>
        </w:tc>
      </w:tr>
      <w:tr>
        <w:trPr>
          <w:trHeight w:val="25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3"/>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expense</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5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641</w:t>
            </w:r>
          </w:p>
        </w:tc>
      </w:tr>
      <w:tr>
        <w:trPr>
          <w:trHeight w:val="27"/>
        </w:trPr>
        <w:tc>
          <w:tcPr>
            <w:tcW w:w="5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2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5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r>
      <w:tr>
        <w:trPr>
          <w:trHeight w:val="25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Rationalizations (Note 3)</w:t>
            </w:r>
          </w:p>
        </w:tc>
        <w:tc>
          <w:tcPr>
            <w:tcW w:w="26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5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expense (Note 4)</w:t>
            </w:r>
          </w:p>
        </w:tc>
        <w:tc>
          <w:tcPr>
            <w:tcW w:w="26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5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(gains) losses on asset sales</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8"/>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Asset write-offs, accelerated depreciation and accelerated lease costs,</w:t>
            </w:r>
          </w:p>
        </w:tc>
        <w:tc>
          <w:tcPr>
            <w:tcW w:w="2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41"/>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(Note 3)</w:t>
            </w:r>
          </w:p>
        </w:tc>
        <w:tc>
          <w:tcPr>
            <w:tcW w:w="2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5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26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84"/>
        </w:trPr>
        <w:tc>
          <w:tcPr>
            <w:tcW w:w="522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CFF0FC"/>
            </w:tcBorders>
          </w:tcPr>
          <w:p>
            <w:pPr>
              <w:spacing w:after="0"/>
              <w:rPr>
                <w:sz w:val="24"/>
                <w:szCs w:val="24"/>
                <w:color w:val="auto"/>
              </w:rPr>
            </w:pPr>
          </w:p>
        </w:tc>
        <w:tc>
          <w:tcPr>
            <w:tcW w:w="1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126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120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302"/>
        </w:trPr>
        <w:tc>
          <w:tcPr>
            <w:tcW w:w="52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6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-2150745</wp:posOffset>
            </wp:positionV>
            <wp:extent cx="59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-2150745</wp:posOffset>
            </wp:positionV>
            <wp:extent cx="59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-2150745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-3274060</wp:posOffset>
            </wp:positionV>
            <wp:extent cx="59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-3274060</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-3274060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 w:lineRule="exact"/>
        <w:rPr>
          <w:sz w:val="20"/>
          <w:szCs w:val="20"/>
          <w:color w:val="auto"/>
        </w:rPr>
      </w:pPr>
    </w:p>
    <w:p>
      <w:pPr>
        <w:ind w:left="360" w:right="20" w:hanging="334"/>
        <w:spacing w:after="0" w:line="229" w:lineRule="auto"/>
        <w:tabs>
          <w:tab w:leader="none" w:pos="347"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represents OTR license agreement royalty income, in addition to transition services income related to the sales of the OTR tire business and the Dunlop brand.</w:t>
      </w:r>
    </w:p>
    <w:p>
      <w:pPr>
        <w:spacing w:after="0" w:line="60" w:lineRule="exact"/>
        <w:rPr>
          <w:rFonts w:ascii="Times New Roman" w:cs="Times New Roman" w:eastAsia="Times New Roman" w:hAnsi="Times New Roman"/>
          <w:sz w:val="23"/>
          <w:szCs w:val="23"/>
          <w:color w:val="auto"/>
          <w:vertAlign w:val="superscript"/>
        </w:rPr>
      </w:pPr>
    </w:p>
    <w:p>
      <w:pPr>
        <w:ind w:left="340" w:hanging="314"/>
        <w:spacing w:after="0"/>
        <w:tabs>
          <w:tab w:leader="none" w:pos="34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represents unallocated corporate costs and the elimination of royalty income attributable to the SBUs.</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assets: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6"/>
                <w:szCs w:val="16"/>
                <w:color w:val="auto"/>
              </w:rPr>
            </w:pPr>
          </w:p>
        </w:tc>
        <w:tc>
          <w:tcPr>
            <w:tcW w:w="11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24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r>
      <w:tr>
        <w:trPr>
          <w:trHeight w:val="257"/>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w:t>
            </w:r>
          </w:p>
        </w:tc>
      </w:tr>
      <w:tr>
        <w:trPr>
          <w:trHeight w:val="27"/>
        </w:trPr>
        <w:tc>
          <w:tcPr>
            <w:tcW w:w="8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82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6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4,878</w:t>
            </w:r>
          </w:p>
        </w:tc>
      </w:tr>
      <w:tr>
        <w:trPr>
          <w:trHeight w:val="257"/>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r>
      <w:tr>
        <w:trPr>
          <w:trHeight w:val="27"/>
        </w:trPr>
        <w:tc>
          <w:tcPr>
            <w:tcW w:w="8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Assets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17,622</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17,319</w:t>
            </w:r>
          </w:p>
        </w:tc>
      </w:tr>
      <w:tr>
        <w:trPr>
          <w:trHeight w:val="257"/>
        </w:trPr>
        <w:tc>
          <w:tcPr>
            <w:tcW w:w="8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7"/>
        </w:trPr>
        <w:tc>
          <w:tcPr>
            <w:tcW w:w="82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02"/>
        </w:trPr>
        <w:tc>
          <w:tcPr>
            <w:tcW w:w="8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18,500</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18,208</w:t>
            </w:r>
          </w:p>
        </w:tc>
      </w:tr>
      <w:tr>
        <w:trPr>
          <w:trHeight w:val="20"/>
        </w:trPr>
        <w:tc>
          <w:tcPr>
            <w:tcW w:w="8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-1310640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geographic information. Net sales by country were determined based on the location of the selling subsidiary. Long-lived assets consist of property, plant and equipment. For net sales, only the United States and Luxembourg were considered to be significant. For long-lived assets, only the United States and China were considered to be significant.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4"/>
                <w:szCs w:val="14"/>
                <w:color w:val="auto"/>
              </w:rPr>
            </w:pPr>
          </w:p>
        </w:tc>
        <w:tc>
          <w:tcPr>
            <w:tcW w:w="256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56"/>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22"/>
                <w:szCs w:val="22"/>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6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57"/>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8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w:t>
            </w:r>
          </w:p>
        </w:tc>
      </w:tr>
      <w:tr>
        <w:trPr>
          <w:trHeight w:val="27"/>
        </w:trPr>
        <w:tc>
          <w:tcPr>
            <w:tcW w:w="5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5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Luxembourg</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57"/>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international</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w:t>
            </w:r>
          </w:p>
        </w:tc>
      </w:tr>
      <w:tr>
        <w:trPr>
          <w:trHeight w:val="27"/>
        </w:trPr>
        <w:tc>
          <w:tcPr>
            <w:tcW w:w="5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02"/>
        </w:trPr>
        <w:tc>
          <w:tcPr>
            <w:tcW w:w="56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4,540</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12,671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13,363</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52"/>
        </w:trPr>
        <w:tc>
          <w:tcPr>
            <w:tcW w:w="5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40"/>
              <w:spacing w:after="0" w:line="15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40" w:type="dxa"/>
            <w:vAlign w:val="bottom"/>
          </w:tcPr>
          <w:p>
            <w:pPr>
              <w:jc w:val="right"/>
              <w:ind w:right="155"/>
              <w:spacing w:after="0" w:line="152"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4"/>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66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57"/>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w:t>
            </w:r>
          </w:p>
        </w:tc>
      </w:tr>
      <w:tr>
        <w:trPr>
          <w:trHeight w:val="27"/>
        </w:trPr>
        <w:tc>
          <w:tcPr>
            <w:tcW w:w="5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5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57"/>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international</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w:t>
            </w:r>
          </w:p>
        </w:tc>
      </w:tr>
      <w:tr>
        <w:trPr>
          <w:trHeight w:val="27"/>
        </w:trPr>
        <w:tc>
          <w:tcPr>
            <w:tcW w:w="56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02"/>
        </w:trPr>
        <w:tc>
          <w:tcPr>
            <w:tcW w:w="56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7,452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7,843</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-942340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-2150745</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-2150745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impairment, as described in Note to the Consolidated Financial Statements No. 1, Accounting Policies; rationalizations, as described in Note to the Consolidated Financial Statements No. 3, Costs Associated with Rationalization Programs; net (gains) losses on asset sales, and asset write-offs, accelerated depreciation and accelerated lease costs were not charged (credited) to the SBUs for performance evaluation purposes but were attributable to the SBUs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30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4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4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21"/>
                <w:szCs w:val="21"/>
                <w:color w:val="auto"/>
              </w:rPr>
            </w:pPr>
          </w:p>
        </w:tc>
      </w:tr>
      <w:tr>
        <w:trPr>
          <w:trHeight w:val="37"/>
        </w:trPr>
        <w:tc>
          <w:tcPr>
            <w:tcW w:w="4320" w:type="dxa"/>
            <w:vAlign w:val="bottom"/>
            <w:tcBorders>
              <w:bottom w:val="single" w:sz="8" w:color="CCEEFF"/>
            </w:tcBorders>
          </w:tcPr>
          <w:p>
            <w:pPr>
              <w:spacing w:after="0"/>
              <w:rPr>
                <w:sz w:val="3"/>
                <w:szCs w:val="3"/>
                <w:color w:val="auto"/>
              </w:rPr>
            </w:pPr>
          </w:p>
        </w:tc>
        <w:tc>
          <w:tcPr>
            <w:tcW w:w="136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 Impairment</w:t>
            </w:r>
          </w:p>
        </w:tc>
        <w:tc>
          <w:tcPr>
            <w:tcW w:w="1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222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0" w:type="dxa"/>
            <w:vAlign w:val="bottom"/>
          </w:tcPr>
          <w:p>
            <w:pPr>
              <w:spacing w:after="0"/>
              <w:rPr>
                <w:sz w:val="22"/>
                <w:szCs w:val="22"/>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02"/>
        </w:trPr>
        <w:tc>
          <w:tcPr>
            <w:tcW w:w="4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Goodwill Impairment</w:t>
            </w:r>
          </w:p>
        </w:tc>
        <w:tc>
          <w:tcPr>
            <w:tcW w:w="2220" w:type="dxa"/>
            <w:vAlign w:val="bottom"/>
            <w:tcBorders>
              <w:bottom w:val="single" w:sz="8" w:color="CCEEFF"/>
            </w:tcBorders>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w:t>
            </w:r>
          </w:p>
        </w:tc>
        <w:tc>
          <w:tcPr>
            <w:tcW w:w="20" w:type="dxa"/>
            <w:vAlign w:val="bottom"/>
          </w:tcPr>
          <w:p>
            <w:pPr>
              <w:spacing w:after="0"/>
              <w:rPr>
                <w:sz w:val="24"/>
                <w:szCs w:val="24"/>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16"/>
        </w:trPr>
        <w:tc>
          <w:tcPr>
            <w:tcW w:w="4320" w:type="dxa"/>
            <w:vAlign w:val="bottom"/>
          </w:tcPr>
          <w:p>
            <w:pPr>
              <w:spacing w:after="0"/>
              <w:rPr>
                <w:sz w:val="24"/>
                <w:szCs w:val="24"/>
                <w:color w:val="auto"/>
              </w:rPr>
            </w:pPr>
          </w:p>
        </w:tc>
        <w:tc>
          <w:tcPr>
            <w:tcW w:w="222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-1139825</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-1139825</wp:posOffset>
            </wp:positionV>
            <wp:extent cx="596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4"/>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0" w:type="dxa"/>
            <w:vAlign w:val="bottom"/>
            <w:gridSpan w:val="3"/>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21"/>
                <w:szCs w:val="21"/>
                <w:color w:val="auto"/>
              </w:rPr>
            </w:pPr>
          </w:p>
        </w:tc>
        <w:tc>
          <w:tcPr>
            <w:tcW w:w="9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56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Rationalizations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2"/>
                <w:szCs w:val="22"/>
                <w:color w:val="auto"/>
              </w:rPr>
            </w:pPr>
          </w:p>
        </w:tc>
        <w:tc>
          <w:tcPr>
            <w:tcW w:w="86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7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57"/>
        </w:trPr>
        <w:tc>
          <w:tcPr>
            <w:tcW w:w="5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57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Rationalizations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70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5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gridSpan w:val="4"/>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0" w:type="dxa"/>
            <w:vAlign w:val="bottom"/>
            <w:gridSpan w:val="3"/>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22"/>
                <w:szCs w:val="22"/>
                <w:color w:val="auto"/>
              </w:rPr>
            </w:pP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
        </w:trPr>
        <w:tc>
          <w:tcPr>
            <w:tcW w:w="56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(Gains) Losses on Asset Sales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Pr>
          <w:p>
            <w:pPr>
              <w:jc w:val="right"/>
              <w:ind w:right="13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2"/>
                <w:szCs w:val="22"/>
                <w:color w:val="auto"/>
              </w:rPr>
            </w:pPr>
          </w:p>
        </w:tc>
        <w:tc>
          <w:tcPr>
            <w:tcW w:w="86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7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Pr>
          <w:p>
            <w:pPr>
              <w:spacing w:after="0"/>
              <w:rPr>
                <w:sz w:val="22"/>
                <w:szCs w:val="22"/>
                <w:color w:val="auto"/>
              </w:rPr>
            </w:pP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2"/>
                <w:szCs w:val="22"/>
                <w:color w:val="auto"/>
              </w:rPr>
            </w:pP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2"/>
                <w:szCs w:val="22"/>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5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(Gains) Losses on Asset Sales</w:t>
            </w:r>
          </w:p>
        </w:tc>
        <w:tc>
          <w:tcPr>
            <w:tcW w:w="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5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gridSpan w:val="4"/>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0" w:type="dxa"/>
            <w:vAlign w:val="bottom"/>
            <w:gridSpan w:val="3"/>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21"/>
                <w:szCs w:val="21"/>
                <w:color w:val="auto"/>
              </w:rPr>
            </w:pPr>
          </w:p>
        </w:tc>
        <w:tc>
          <w:tcPr>
            <w:tcW w:w="9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5700" w:type="dxa"/>
            <w:vAlign w:val="bottom"/>
            <w:tcBorders>
              <w:bottom w:val="single" w:sz="8" w:color="CCEEFF"/>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Write-Offs, Accelerated Depreciation, and Accelerated Lease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2"/>
                <w:szCs w:val="22"/>
                <w:color w:val="auto"/>
              </w:rPr>
            </w:pPr>
          </w:p>
        </w:tc>
        <w:tc>
          <w:tcPr>
            <w:tcW w:w="86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57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7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57"/>
        </w:trPr>
        <w:tc>
          <w:tcPr>
            <w:tcW w:w="5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Pr>
          <w:p>
            <w:pPr>
              <w:spacing w:after="0"/>
              <w:rPr>
                <w:sz w:val="22"/>
                <w:szCs w:val="22"/>
                <w:color w:val="auto"/>
              </w:rPr>
            </w:pP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Asset Write-Offs, Accelerated Depreciation, and</w:t>
            </w:r>
          </w:p>
        </w:tc>
        <w:tc>
          <w:tcPr>
            <w:tcW w:w="30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0" w:type="dxa"/>
            <w:vAlign w:val="bottom"/>
          </w:tcPr>
          <w:p>
            <w:pPr>
              <w:spacing w:after="0"/>
              <w:rPr>
                <w:sz w:val="1"/>
                <w:szCs w:val="1"/>
                <w:color w:val="auto"/>
              </w:rPr>
            </w:pPr>
          </w:p>
        </w:tc>
      </w:tr>
      <w:tr>
        <w:trPr>
          <w:trHeight w:val="258"/>
        </w:trPr>
        <w:tc>
          <w:tcPr>
            <w:tcW w:w="57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Accelerated Lease Costs, net</w:t>
            </w: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980" w:type="dxa"/>
            <w:vAlign w:val="bottom"/>
            <w:tcBorders>
              <w:bottom w:val="single" w:sz="8" w:color="auto"/>
            </w:tcBorders>
            <w:vMerge w:val="continue"/>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vMerge w:val="continue"/>
            <w:shd w:val="clear" w:color="auto" w:fill="CCEEFF"/>
          </w:tcPr>
          <w:p>
            <w:pPr>
              <w:spacing w:after="0"/>
              <w:rPr>
                <w:sz w:val="22"/>
                <w:szCs w:val="22"/>
                <w:color w:val="auto"/>
              </w:rPr>
            </w:pPr>
          </w:p>
        </w:tc>
        <w:tc>
          <w:tcPr>
            <w:tcW w:w="38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vMerge w:val="continue"/>
            <w:shd w:val="clear" w:color="auto" w:fill="CCEEFF"/>
          </w:tcPr>
          <w:p>
            <w:pPr>
              <w:spacing w:after="0"/>
              <w:rPr>
                <w:sz w:val="22"/>
                <w:szCs w:val="22"/>
                <w:color w:val="auto"/>
              </w:rPr>
            </w:pPr>
          </w:p>
        </w:tc>
        <w:tc>
          <w:tcPr>
            <w:tcW w:w="4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vMerge w:val="continue"/>
            <w:shd w:val="clear" w:color="auto" w:fill="CCEEFF"/>
          </w:tcPr>
          <w:p>
            <w:pPr>
              <w:spacing w:after="0"/>
              <w:rPr>
                <w:sz w:val="22"/>
                <w:szCs w:val="22"/>
                <w:color w:val="auto"/>
              </w:rPr>
            </w:pPr>
          </w:p>
        </w:tc>
        <w:tc>
          <w:tcPr>
            <w:tcW w:w="46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-3693795</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-3882390</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-5005705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-5005705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-1782445</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-1971040</wp:posOffset>
            </wp:positionV>
            <wp:extent cx="596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-2374265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-2374265</wp:posOffset>
            </wp:positionV>
            <wp:extent cx="596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-3093720</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-3093720</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-1191260</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-1191260</wp:posOffset>
            </wp:positionV>
            <wp:extent cx="603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segment capital expenditures and depreciation and amortization: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2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21"/>
                <w:szCs w:val="21"/>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6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3"/>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56"/>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7"/>
        </w:trPr>
        <w:tc>
          <w:tcPr>
            <w:tcW w:w="5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3"/>
        </w:trPr>
        <w:tc>
          <w:tcPr>
            <w:tcW w:w="5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56"/>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5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02"/>
        </w:trPr>
        <w:tc>
          <w:tcPr>
            <w:tcW w:w="5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Capital Expenditures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5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02"/>
        </w:trPr>
        <w:tc>
          <w:tcPr>
            <w:tcW w:w="56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-33655</wp:posOffset>
            </wp:positionV>
            <wp:extent cx="596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-222250</wp:posOffset>
            </wp:positionV>
            <wp:extent cx="596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-1344930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-1344930</wp:posOffset>
            </wp:positionV>
            <wp:extent cx="596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42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21"/>
                <w:szCs w:val="21"/>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6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r>
              <w:rPr>
                <w:rFonts w:ascii="Times New Roman" w:cs="Times New Roman" w:eastAsia="Times New Roman" w:hAnsi="Times New Roman"/>
                <w:sz w:val="23"/>
                <w:szCs w:val="23"/>
                <w:b w:val="1"/>
                <w:bCs w:val="1"/>
                <w:color w:val="auto"/>
                <w:vertAlign w:val="superscript"/>
              </w:rPr>
              <w:t>(1)</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57"/>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5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Depreciation and Amortization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785</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6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w:t>
            </w:r>
          </w:p>
        </w:tc>
        <w:tc>
          <w:tcPr>
            <w:tcW w:w="0" w:type="dxa"/>
            <w:vAlign w:val="bottom"/>
          </w:tcPr>
          <w:p>
            <w:pPr>
              <w:spacing w:after="0"/>
              <w:rPr>
                <w:sz w:val="1"/>
                <w:szCs w:val="1"/>
                <w:color w:val="auto"/>
              </w:rPr>
            </w:pPr>
          </w:p>
        </w:tc>
      </w:tr>
      <w:tr>
        <w:trPr>
          <w:trHeight w:val="27"/>
        </w:trPr>
        <w:tc>
          <w:tcPr>
            <w:tcW w:w="56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596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-1311275</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-1311275</wp:posOffset>
            </wp:positionV>
            <wp:extent cx="596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3" w:lineRule="exact"/>
        <w:rPr>
          <w:sz w:val="20"/>
          <w:szCs w:val="20"/>
          <w:color w:val="auto"/>
        </w:rPr>
      </w:pPr>
    </w:p>
    <w:p>
      <w:pPr>
        <w:ind w:left="340" w:hanging="314"/>
        <w:spacing w:after="0"/>
        <w:tabs>
          <w:tab w:leader="none" w:pos="34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amounts presented do not include the allocation of asset write-offs, accelerated depreciation and accelerated lease costs, net, to Corporate.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equity in the net (income) loss of investees accounted for by the equity method: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2420" w:type="dxa"/>
            <w:vAlign w:val="bottom"/>
            <w:gridSpan w:val="4"/>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r>
      <w:tr>
        <w:trPr>
          <w:trHeight w:val="257"/>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Pr>
          <w:p>
            <w:pPr>
              <w:spacing w:after="0"/>
              <w:rPr>
                <w:sz w:val="22"/>
                <w:szCs w:val="22"/>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6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3"/>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in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57"/>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2"/>
                <w:szCs w:val="22"/>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5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3"/>
        </w:trPr>
        <w:tc>
          <w:tcPr>
            <w:tcW w:w="5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5"/>
              </w:rPr>
              <w:t>(7)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5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02"/>
        </w:trPr>
        <w:tc>
          <w:tcPr>
            <w:tcW w:w="5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Segment Equity in (Income)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-33655</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-33655</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-222250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-222250</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-942340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-942340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FINANCING ARRANGEMENTS AND DERIVATIVE FINANCIAL INSTRUMENTS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2026, we had total credit arrangements of $10,939 million, of which $3,639 million were unused. At that date, approximately 19% of our debt was at variable interest rates averaging 6.10%.</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Notes Payable and Overdrafts, Long Term Debt and Finance Leases due Within One Year and Short Term Financing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2026, we had short term committed and uncommitted credit arrangements totaling $687 million, of which $313 million were unused.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arrangements are available primarily to certain of our foreign subsidiaries through various banks at quoted market interest rates.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amounts due within one year:</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2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6"/>
                <w:szCs w:val="16"/>
                <w:color w:val="auto"/>
              </w:rPr>
            </w:pPr>
          </w:p>
        </w:tc>
        <w:tc>
          <w:tcPr>
            <w:tcW w:w="12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2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7"/>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200" w:type="dxa"/>
            <w:vAlign w:val="bottom"/>
          </w:tcPr>
          <w:p>
            <w:pPr>
              <w:spacing w:after="0"/>
              <w:rPr>
                <w:sz w:val="22"/>
                <w:szCs w:val="22"/>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 and Overdrafts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349</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506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2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7.62 %</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4.875% Notes due 2027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7.625% Notes due 2027</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00" w:type="dxa"/>
            <w:vAlign w:val="bottom"/>
          </w:tcPr>
          <w:p>
            <w:pPr>
              <w:spacing w:after="0"/>
              <w:rPr>
                <w:sz w:val="22"/>
                <w:szCs w:val="22"/>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Mexican credit facility</w:t>
            </w: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5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foreign and domestic debt (including finance leases)</w:t>
            </w:r>
          </w:p>
        </w:tc>
        <w:tc>
          <w:tcPr>
            <w:tcW w:w="200" w:type="dxa"/>
            <w:vAlign w:val="bottom"/>
          </w:tcPr>
          <w:p>
            <w:pPr>
              <w:spacing w:after="0"/>
              <w:rPr>
                <w:sz w:val="22"/>
                <w:szCs w:val="22"/>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 Term Debt and Finance Leases due Within One Year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990</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364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obligations due within one year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1,339</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870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-33655</wp:posOffset>
            </wp:positionV>
            <wp:extent cx="60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-222250</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-436245</wp:posOffset>
            </wp:positionV>
            <wp:extent cx="603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-624840</wp:posOffset>
            </wp:positionV>
            <wp:extent cx="603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-1910715</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-2099310</wp:posOffset>
            </wp:positionV>
            <wp:extent cx="603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-2468245</wp:posOffset>
            </wp:positionV>
            <wp:extent cx="603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Long Term Debt and Finance Leases and Financing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2026, we had long term credit arrangements totaling $10,252 million, of which $3,326 million were unused.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long term debt and finance leases, net of unamortized discounts, and interest rates: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Pr>
          <w:p>
            <w:pPr>
              <w:spacing w:after="0"/>
              <w:rPr>
                <w:sz w:val="16"/>
                <w:szCs w:val="16"/>
                <w:color w:val="auto"/>
              </w:rPr>
            </w:pPr>
          </w:p>
        </w:tc>
        <w:tc>
          <w:tcPr>
            <w:tcW w:w="2560" w:type="dxa"/>
            <w:vAlign w:val="bottom"/>
            <w:gridSpan w:val="3"/>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54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85"/>
        </w:trPr>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Interest</w:t>
            </w:r>
          </w:p>
        </w:tc>
      </w:tr>
      <w:tr>
        <w:trPr>
          <w:trHeight w:val="190"/>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10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60" w:type="dxa"/>
            <w:vAlign w:val="bottom"/>
          </w:tcPr>
          <w:p>
            <w:pPr>
              <w:spacing w:after="0"/>
              <w:rPr>
                <w:sz w:val="16"/>
                <w:szCs w:val="16"/>
                <w:color w:val="auto"/>
              </w:rPr>
            </w:pPr>
          </w:p>
        </w:tc>
        <w:tc>
          <w:tcPr>
            <w:tcW w:w="10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2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37"/>
        </w:trPr>
        <w:tc>
          <w:tcPr>
            <w:tcW w:w="548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3"/>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r>
      <w:tr>
        <w:trPr>
          <w:trHeight w:val="257"/>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4.875% due 2027</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3"/>
        </w:trPr>
        <w:tc>
          <w:tcPr>
            <w:tcW w:w="5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7.625% due 2027</w:t>
            </w: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bottom w:val="single" w:sz="8" w:color="CFF0FC"/>
            </w:tcBorders>
            <w:shd w:val="clear" w:color="auto" w:fill="CFF0FC"/>
          </w:tcPr>
          <w:p>
            <w:pPr>
              <w:spacing w:after="0"/>
              <w:rPr>
                <w:sz w:val="22"/>
                <w:szCs w:val="22"/>
                <w:color w:val="auto"/>
              </w:rPr>
            </w:pPr>
          </w:p>
        </w:tc>
      </w:tr>
      <w:tr>
        <w:trPr>
          <w:trHeight w:val="257"/>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 due 2028</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3"/>
        </w:trPr>
        <w:tc>
          <w:tcPr>
            <w:tcW w:w="5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2.75% Euro Notes due 2028</w:t>
            </w: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bottom w:val="single" w:sz="8" w:color="CFF0FC"/>
            </w:tcBorders>
            <w:shd w:val="clear" w:color="auto" w:fill="CFF0FC"/>
          </w:tcPr>
          <w:p>
            <w:pPr>
              <w:spacing w:after="0"/>
              <w:rPr>
                <w:sz w:val="22"/>
                <w:szCs w:val="22"/>
                <w:color w:val="auto"/>
              </w:rPr>
            </w:pPr>
          </w:p>
        </w:tc>
      </w:tr>
      <w:tr>
        <w:trPr>
          <w:trHeight w:val="257"/>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 due 2029</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3"/>
        </w:trPr>
        <w:tc>
          <w:tcPr>
            <w:tcW w:w="5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6.625% due 2030</w:t>
            </w: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bottom w:val="single" w:sz="8" w:color="CFF0FC"/>
            </w:tcBorders>
            <w:shd w:val="clear" w:color="auto" w:fill="CFF0FC"/>
          </w:tcPr>
          <w:p>
            <w:pPr>
              <w:spacing w:after="0"/>
              <w:rPr>
                <w:sz w:val="22"/>
                <w:szCs w:val="22"/>
                <w:color w:val="auto"/>
              </w:rPr>
            </w:pPr>
          </w:p>
        </w:tc>
      </w:tr>
      <w:tr>
        <w:trPr>
          <w:trHeight w:val="257"/>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5.25% due April 2031</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3"/>
        </w:trPr>
        <w:tc>
          <w:tcPr>
            <w:tcW w:w="5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5.25% due July 2031</w:t>
            </w: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bottom w:val="single" w:sz="8" w:color="CFF0FC"/>
            </w:tcBorders>
            <w:shd w:val="clear" w:color="auto" w:fill="CFF0FC"/>
          </w:tcPr>
          <w:p>
            <w:pPr>
              <w:spacing w:after="0"/>
              <w:rPr>
                <w:sz w:val="22"/>
                <w:szCs w:val="22"/>
                <w:color w:val="auto"/>
              </w:rPr>
            </w:pPr>
          </w:p>
        </w:tc>
      </w:tr>
      <w:tr>
        <w:trPr>
          <w:trHeight w:val="257"/>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8.875% due 2032</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3"/>
        </w:trPr>
        <w:tc>
          <w:tcPr>
            <w:tcW w:w="5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5.625% due 2033</w:t>
            </w: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bottom w:val="single" w:sz="8" w:color="CFF0FC"/>
            </w:tcBorders>
            <w:shd w:val="clear" w:color="auto" w:fill="CFF0FC"/>
          </w:tcPr>
          <w:p>
            <w:pPr>
              <w:spacing w:after="0"/>
              <w:rPr>
                <w:sz w:val="22"/>
                <w:szCs w:val="22"/>
                <w:color w:val="auto"/>
              </w:rPr>
            </w:pPr>
          </w:p>
        </w:tc>
      </w:tr>
      <w:tr>
        <w:trPr>
          <w:trHeight w:val="25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Credit Facilities:</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3"/>
        </w:trPr>
        <w:tc>
          <w:tcPr>
            <w:tcW w:w="5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First lien revolving credit facility due 2030</w:t>
            </w: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5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European revolving credit facility due 2028</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3.93 %</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3"/>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Pan-European accounts receivable facility</w:t>
            </w: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5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5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3.86 %</w:t>
            </w:r>
          </w:p>
        </w:tc>
      </w:tr>
      <w:tr>
        <w:trPr>
          <w:trHeight w:val="25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Mexican credit facility</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5.99 %</w:t>
            </w: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5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5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1.69 %</w:t>
            </w:r>
          </w:p>
        </w:tc>
      </w:tr>
      <w:tr>
        <w:trPr>
          <w:trHeight w:val="283"/>
        </w:trPr>
        <w:tc>
          <w:tcPr>
            <w:tcW w:w="5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foreign and domestic debt</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54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9.26 %</w:t>
            </w:r>
          </w:p>
        </w:tc>
        <w:tc>
          <w:tcPr>
            <w:tcW w:w="8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52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8.32 %</w:t>
            </w:r>
          </w:p>
        </w:tc>
      </w:tr>
      <w:tr>
        <w:trPr>
          <w:trHeight w:val="257"/>
        </w:trPr>
        <w:tc>
          <w:tcPr>
            <w:tcW w:w="54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10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0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bottom w:val="single" w:sz="8" w:color="CFF0FC"/>
            </w:tcBorders>
            <w:shd w:val="clear" w:color="auto" w:fill="CFF0FC"/>
          </w:tcPr>
          <w:p>
            <w:pPr>
              <w:spacing w:after="0"/>
              <w:rPr>
                <w:sz w:val="22"/>
                <w:szCs w:val="22"/>
                <w:color w:val="auto"/>
              </w:rPr>
            </w:pPr>
          </w:p>
        </w:tc>
      </w:tr>
      <w:tr>
        <w:trPr>
          <w:trHeight w:val="25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
        </w:trPr>
        <w:tc>
          <w:tcPr>
            <w:tcW w:w="548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4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20" w:type="dxa"/>
            <w:vAlign w:val="bottom"/>
            <w:tcBorders>
              <w:bottom w:val="single" w:sz="8" w:color="CFF0FC"/>
            </w:tcBorders>
          </w:tcPr>
          <w:p>
            <w:pPr>
              <w:spacing w:after="0"/>
              <w:rPr>
                <w:sz w:val="2"/>
                <w:szCs w:val="2"/>
                <w:color w:val="auto"/>
              </w:rPr>
            </w:pPr>
          </w:p>
        </w:tc>
      </w:tr>
      <w:tr>
        <w:trPr>
          <w:trHeight w:val="257"/>
        </w:trPr>
        <w:tc>
          <w:tcPr>
            <w:tcW w:w="54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0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10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bottom w:val="single" w:sz="8" w:color="CFF0FC"/>
            </w:tcBorders>
            <w:shd w:val="clear" w:color="auto" w:fill="CFF0FC"/>
          </w:tcPr>
          <w:p>
            <w:pPr>
              <w:spacing w:after="0"/>
              <w:rPr>
                <w:sz w:val="22"/>
                <w:szCs w:val="22"/>
                <w:color w:val="auto"/>
              </w:rPr>
            </w:pPr>
          </w:p>
        </w:tc>
      </w:tr>
      <w:tr>
        <w:trPr>
          <w:trHeight w:val="284"/>
        </w:trPr>
        <w:tc>
          <w:tcPr>
            <w:tcW w:w="5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FF0FC"/>
            </w:tcBorders>
          </w:tcPr>
          <w:p>
            <w:pPr>
              <w:spacing w:after="0"/>
              <w:rPr>
                <w:sz w:val="24"/>
                <w:szCs w:val="24"/>
                <w:color w:val="auto"/>
              </w:rPr>
            </w:pPr>
          </w:p>
        </w:tc>
        <w:tc>
          <w:tcPr>
            <w:tcW w:w="14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FF0FC"/>
            </w:tcBorders>
          </w:tcPr>
          <w:p>
            <w:pPr>
              <w:spacing w:after="0"/>
              <w:rPr>
                <w:sz w:val="24"/>
                <w:szCs w:val="24"/>
                <w:color w:val="auto"/>
              </w:rPr>
            </w:pPr>
          </w:p>
        </w:tc>
        <w:tc>
          <w:tcPr>
            <w:tcW w:w="1420" w:type="dxa"/>
            <w:vAlign w:val="bottom"/>
            <w:tcBorders>
              <w:bottom w:val="single" w:sz="8" w:color="CFF0FC"/>
            </w:tcBorders>
          </w:tcPr>
          <w:p>
            <w:pPr>
              <w:spacing w:after="0"/>
              <w:rPr>
                <w:sz w:val="24"/>
                <w:szCs w:val="24"/>
                <w:color w:val="auto"/>
              </w:rPr>
            </w:pPr>
          </w:p>
        </w:tc>
      </w:tr>
      <w:tr>
        <w:trPr>
          <w:trHeight w:val="257"/>
        </w:trPr>
        <w:tc>
          <w:tcPr>
            <w:tcW w:w="54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10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10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bottom w:val="single" w:sz="8" w:color="CFF0FC"/>
            </w:tcBorders>
            <w:shd w:val="clear" w:color="auto" w:fill="CFF0FC"/>
          </w:tcPr>
          <w:p>
            <w:pPr>
              <w:spacing w:after="0"/>
              <w:rPr>
                <w:sz w:val="22"/>
                <w:szCs w:val="22"/>
                <w:color w:val="auto"/>
              </w:rPr>
            </w:pPr>
          </w:p>
        </w:tc>
      </w:tr>
      <w:tr>
        <w:trPr>
          <w:trHeight w:val="25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portion due within one year</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
        </w:trPr>
        <w:tc>
          <w:tcPr>
            <w:tcW w:w="548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4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20" w:type="dxa"/>
            <w:vAlign w:val="bottom"/>
            <w:tcBorders>
              <w:bottom w:val="single" w:sz="8" w:color="CFF0FC"/>
            </w:tcBorders>
          </w:tcPr>
          <w:p>
            <w:pPr>
              <w:spacing w:after="0"/>
              <w:rPr>
                <w:sz w:val="2"/>
                <w:szCs w:val="2"/>
                <w:color w:val="auto"/>
              </w:rPr>
            </w:pPr>
          </w:p>
        </w:tc>
      </w:tr>
      <w:tr>
        <w:trPr>
          <w:trHeight w:val="302"/>
        </w:trPr>
        <w:tc>
          <w:tcPr>
            <w:tcW w:w="54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6,030</w:t>
            </w:r>
          </w:p>
        </w:tc>
        <w:tc>
          <w:tcPr>
            <w:tcW w:w="10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5,328</w:t>
            </w:r>
          </w:p>
        </w:tc>
        <w:tc>
          <w:tcPr>
            <w:tcW w:w="10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CFF0FC"/>
            </w:tcBorders>
            <w:shd w:val="clear" w:color="auto" w:fill="CFF0FC"/>
          </w:tcPr>
          <w:p>
            <w:pPr>
              <w:spacing w:after="0"/>
              <w:rPr>
                <w:sz w:val="24"/>
                <w:szCs w:val="24"/>
                <w:color w:val="auto"/>
              </w:rPr>
            </w:pPr>
          </w:p>
        </w:tc>
      </w:tr>
      <w:tr>
        <w:trPr>
          <w:trHeight w:val="20"/>
        </w:trPr>
        <w:tc>
          <w:tcPr>
            <w:tcW w:w="54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-33655</wp:posOffset>
            </wp:positionV>
            <wp:extent cx="596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-33655</wp:posOffset>
            </wp:positionV>
            <wp:extent cx="596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-222250</wp:posOffset>
            </wp:positionV>
            <wp:extent cx="596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-222250</wp:posOffset>
            </wp:positionV>
            <wp:extent cx="59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-590550</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-590550</wp:posOffset>
            </wp:positionV>
            <wp:extent cx="596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-959485</wp:posOffset>
            </wp:positionV>
            <wp:extent cx="596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-959485</wp:posOffset>
            </wp:positionV>
            <wp:extent cx="596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-1328420</wp:posOffset>
            </wp:positionV>
            <wp:extent cx="596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-1328420</wp:posOffset>
            </wp:positionV>
            <wp:extent cx="596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-4568190</wp:posOffset>
            </wp:positionV>
            <wp:extent cx="596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-4568190</wp:posOffset>
            </wp:positionV>
            <wp:extent cx="596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-4568190</wp:posOffset>
            </wp:positionV>
            <wp:extent cx="596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53" w:lineRule="exact"/>
        <w:rPr>
          <w:sz w:val="20"/>
          <w:szCs w:val="20"/>
          <w:color w:val="auto"/>
        </w:rPr>
      </w:pPr>
    </w:p>
    <w:p>
      <w:pPr>
        <w:ind w:left="340" w:hanging="314"/>
        <w:spacing w:after="0"/>
        <w:tabs>
          <w:tab w:leader="none" w:pos="34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rates are weighted average interest rates primarily related to various foreign credit facilities with customary terms and conditions.</w:t>
      </w:r>
    </w:p>
    <w:p>
      <w:pPr>
        <w:spacing w:after="0" w:line="1" w:lineRule="exact"/>
        <w:rPr>
          <w:rFonts w:ascii="Times New Roman" w:cs="Times New Roman" w:eastAsia="Times New Roman" w:hAnsi="Times New Roman"/>
          <w:sz w:val="23"/>
          <w:szCs w:val="23"/>
          <w:color w:val="auto"/>
          <w:vertAlign w:val="superscript"/>
        </w:rPr>
      </w:pPr>
    </w:p>
    <w:p>
      <w:pPr>
        <w:ind w:left="360" w:right="40" w:hanging="334"/>
        <w:spacing w:after="0" w:line="219" w:lineRule="auto"/>
        <w:tabs>
          <w:tab w:leader="none" w:pos="347"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$4 million non-cash financing additions during the nine months ended September 30, 2026 and $2 million of non-cash financing additions during the twelve months ended December 31,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2026, we had $5,423 million of outstanding notes, compared to $4,391 million at December 31,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$1,050 million 8.875% Senior Notes due 2032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4, 2026, we issued $1,050 million in aggregate principal amount of 8.875% senior notes due 2032.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2030</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first lien revolving credit facility matures on May 19, 2030 and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a variety of collateral. Availability under the facility is subject to a borrowing base, which is based on (i) eligible accounts receivable and inventory of The Goodyear Tire &amp; Rubber Company and certain of its U.S. and Canadian subsidiaries, (ii) the greater of 50% of the appraised value, if any, of our principal trademarks or $400 million, (iii) the value of eligible machinery</w:t>
      </w:r>
    </w:p>
    <w:p>
      <w:pPr>
        <w:sectPr>
          <w:pgSz w:w="11900" w:h="16838" w:orient="portrait"/>
          <w:cols w:equalWidth="0" w:num="1">
            <w:col w:w="11240"/>
          </w:cols>
          <w:pgMar w:left="320" w:top="337"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As of September 30, 2026, our borrowing base, and therefore our availability under this facility, was $270 million below the facility's stated amount of $2.75 billion.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2024. The facility also has customary defaults, including a cross-default to material indebtedness of Goodyear and our subsidiaries.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Available Cash (as defined in the facility) plus the average quarterly availability under the facility is greater than 25% of the total commitments under the facility, amounts drawn under the facility will bear interest, at our option, at (i) 125 basis points over SOFR or (ii) 25 basis points over an alternate base rate (the higher of (a) the prime rate, (b) the federal funds effective rate or the overnight bank funding rate plus 50 basis points or (c) SOFR plus 100 basis points). If Available Cash plus the average quarterly availability under the facility is equal to or less than 25% of the total commitments under the facility, then amounts drawn under the facility will bear interest, at our option, at (i) 150 basis points over SOFR or (ii) 50 basis points over an alternate base rate. Based on our current liquidity, amounts drawn under this facility bear interest at SOFR plus 125 basis points. Undrawn amounts under the facility are subject to an annual commitment fee of 25 basis points.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2026, we had $57 million of borrowings and $1 million of letters of credit issued under the revolving credit facility. At December 31, 2025, we had no borrowings and $1 million of letters of credit issued under the revolving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2028</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European revolving credit facility matures on January 14, 2028 and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GEBV and certain of its subsidiaries in the United Kingdom, Luxembourg, France and Germany provide guarantees to support the facility. The German guarantors secure the German tranche on a first-lien basis and the all-borrower tranche on a second-lien basis. GEBV and its other subsidiaries that provide guarantees secure the all-borrower tranche on a first-lien basis and generally do not provide collateral support for the German tranche. The Company and its U.S. and Canadian subsidiaries that guarantee our U.S. first lien revolving credit facility described above also provide unsecured guarantees in support of the facility.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2021. The facility also has customary defaults, including a cross-default to material indebtedness of Goodyear and our subsidiaries.</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September 30, 2026, there were $204 million (€180 million) of borrowings outstanding under the German tranche, $415 million (€365 million) of borrowings outstanding under the all-borrower tranche, and no letters of credit outstanding under the European revolving credit facility. At December 31, 2025, we had no borrowings and no letters of credit outstanding under the European revolving credit facility.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Facility (On-Balance Sheet)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2032. The terms of the facility provide the flexibility to designate annually the maximum amount of funding available under the facility in an amount of not less than €30 million and not more than €450 million. For the period from October 2025 through October 2027, the designated maximum amount of the facility is €300 million.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18, 2032,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to law, regulation or accounting standards), or (d) our request for early termination of the facility. The facility’s current back-up liquidity commitments will expire in October 2027.</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warranties, covenants and Early Amortisation Events. In addition, it is an Early Amortisation Event under the facility if GEBV’s ratio of Consolidated Net GEBV Indebtedness to Consolidated GEBV EBITDA for a period of four consecutive fiscal quarters is greater than 3.0 to 1.0 at the end of any fiscal quarter. This financial covenant is substantially similar to the covenant included in our European revolving credit facility.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2026, the amounts available and utilized under this program totaled $228 million (€200 million). At December 31, 2025, the amounts available and utilized under this program totaled $292 million (€249 million). The program does not qualify for sale accounting, and accordingly, these amounts are included in Long Term Debt and Finance Leases.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description of the collateral securing the credit facilities described above as well as the covenants applicable to them, refer to Note to the Consolidated Financial Statements No. 16, Financing Arrangements and Derivative Financial Instruments, in our 2025 Form 10-K.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sold certain of our accounts receivables under off-balance sheet programs. For these programs, we have concluded that there is generally no risk of loss to us from non-payment of the sold receivables. At September 30, 2026, the gross amount of receivables sold was $844 million, compared to $892 million at December 31,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Supplier Financing</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supplier finance programs with several financial institutions. Under these programs, the financial institutions act as our paying agents with respect to accounts payable due to our suppliers. We agree to pay the financial institutions the stated amount of the confirmed invoices from the designated suppliers on the original due dates of the invoices. Invoice payment terms can be up to 120 days based on industry norms for the specific item purchased. We do not pay any fees to the financial institutions, and we do not pledge any assets as security or provide other forms of guarantees for these programs. These programs allow our suppliers to sell their receivables to the financial institutions at the sole discretion of the suppliers and the financial institutions on terms that are negotiated among them. We are not always notified when our suppliers sell receivables under these programs. Our obligations to our suppliers, including the amounts due and scheduled payment dates, are not impacted by our suppliers’ decisions to sell their receivables under these programs. The amounts available under these programs were $899 million and $876 million at September 30, 2026 and December 31, 2025, respectively. The amounts confirmed to the financial institutions were $589 million and $551 million at September 30, 2026 and December 31, 2025, respectively, and are included in Accounts Payable — Trade in our Consolidated Balance Sheets. All activity related to these obligations is presented within operating activities on the Consolidated Statements of Cash Flows.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Foreign Credit Facilities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Mexican subsidiary and a U.S. subsidiary have a revolving credit facility in Mexico. At September 30, 2026, we have $200 million available and no borrowings outstanding under this facility. At December 31, 2025, the amounts available and utilized under the facility were $200 million. The facility was renewed on September 1, 2026 and matures on November 22, 2028. The facility has covenants relating to the Mexican and U.S. subsidiaries and has customary representations and warranties and defaults relating to the Mexican and U.S. subsidiaries' ability to perform their respective obligations under the facility.</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Chinese subsidiaries have several financing arrangements in China. These facilities contain covenants relating to these Chinese subsidiaries and have customary representations and warranties and defaults relating to these Chinese subsidiaries' ability to perform their respective obligations under these facilities. These facilities are also available for other off-balance sheet utilization, such as letters of credit and bank acceptances.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total amounts available and utilized under the Chinese financing arrangements: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6"/>
                <w:szCs w:val="16"/>
                <w:color w:val="auto"/>
              </w:rPr>
            </w:pPr>
          </w:p>
        </w:tc>
        <w:tc>
          <w:tcPr>
            <w:tcW w:w="120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3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8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available</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797</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854</w:t>
            </w:r>
          </w:p>
        </w:tc>
        <w:tc>
          <w:tcPr>
            <w:tcW w:w="0" w:type="dxa"/>
            <w:vAlign w:val="bottom"/>
          </w:tcPr>
          <w:p>
            <w:pPr>
              <w:spacing w:after="0"/>
              <w:rPr>
                <w:sz w:val="1"/>
                <w:szCs w:val="1"/>
                <w:color w:val="auto"/>
              </w:rPr>
            </w:pPr>
          </w:p>
        </w:tc>
      </w:tr>
      <w:tr>
        <w:trPr>
          <w:trHeight w:val="20"/>
        </w:trPr>
        <w:tc>
          <w:tcPr>
            <w:tcW w:w="83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Amounts utilized: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3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3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Notes Payable and Overdrafts</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6"/>
        </w:trPr>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 Term Debt due Within One Year</w:t>
            </w: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Long Term Debt</w:t>
            </w:r>
          </w:p>
        </w:tc>
        <w:tc>
          <w:tcPr>
            <w:tcW w:w="18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56"/>
        </w:trPr>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Letters of credit, bank acceptances and other utilization</w:t>
            </w: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83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utilized</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w:t>
            </w:r>
          </w:p>
        </w:tc>
        <w:tc>
          <w:tcPr>
            <w:tcW w:w="0" w:type="dxa"/>
            <w:vAlign w:val="bottom"/>
          </w:tcPr>
          <w:p>
            <w:pPr>
              <w:spacing w:after="0"/>
              <w:rPr>
                <w:sz w:val="1"/>
                <w:szCs w:val="1"/>
                <w:color w:val="auto"/>
              </w:rPr>
            </w:pPr>
          </w:p>
        </w:tc>
      </w:tr>
      <w:tr>
        <w:trPr>
          <w:trHeight w:val="20"/>
        </w:trPr>
        <w:tc>
          <w:tcPr>
            <w:tcW w:w="83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Maturities</w:t>
            </w:r>
          </w:p>
        </w:tc>
        <w:tc>
          <w:tcPr>
            <w:tcW w:w="1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10/26-6/29</w:t>
            </w:r>
          </w:p>
        </w:tc>
        <w:tc>
          <w:tcPr>
            <w:tcW w:w="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1/26-7/27</w:t>
            </w:r>
          </w:p>
        </w:tc>
        <w:tc>
          <w:tcPr>
            <w:tcW w:w="0" w:type="dxa"/>
            <w:vAlign w:val="bottom"/>
          </w:tcPr>
          <w:p>
            <w:pPr>
              <w:spacing w:after="0"/>
              <w:rPr>
                <w:sz w:val="1"/>
                <w:szCs w:val="1"/>
                <w:color w:val="auto"/>
              </w:rPr>
            </w:pPr>
          </w:p>
        </w:tc>
      </w:tr>
      <w:tr>
        <w:trPr>
          <w:trHeight w:val="27"/>
        </w:trPr>
        <w:tc>
          <w:tcPr>
            <w:tcW w:w="83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-548005</wp:posOffset>
            </wp:positionV>
            <wp:extent cx="603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-908050</wp:posOffset>
            </wp:positionV>
            <wp:extent cx="603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-1653540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Currency Contracts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foreign currency contracts in order to manage the impact of changes in foreign exchange rates on our consolidated results of operations and future foreign currency-denominated cash flows. These contracts may be used to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values for foreign currency hedge contracts that do not meet the criteria to be accounted for as cash flow hedging instruments: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1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6"/>
                <w:szCs w:val="16"/>
                <w:color w:val="auto"/>
              </w:rPr>
            </w:pPr>
          </w:p>
        </w:tc>
        <w:tc>
          <w:tcPr>
            <w:tcW w:w="114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Values — Current asset (liability):</w:t>
            </w: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r>
      <w:tr>
        <w:trPr>
          <w:trHeight w:val="257"/>
        </w:trPr>
        <w:tc>
          <w:tcPr>
            <w:tcW w:w="8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8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84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-539750</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2026 and December 31, 2025, these outstanding foreign currency derivatives had notional amounts of $1,841 million and $1,942 million, respectively, and were primarily related to intercompany loans. Other (Income) Expense included net transaction gains on derivatives of $0 million and $24 million for the three and nine months ended September 30, 2026, respectively, and net transaction gains on derivatives of $4 million and losses of $102 million for the three and nine months ended September 30, 2025, respectively. These amounts were substantially offset in Other (Income) Expense by the effect of changing exchange rates on the underlying currency exposures.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enter into master netting agreements with counterparties. The amounts eligible for offset under the master netting agreements are not material and we have elected a gross presentation of foreign currency contracts in the Consolidated Balance Sheets.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counterparties to our foreign currency contracts were considered by us to be substantial and creditworthy financial institutions that were recognized market makers at the time we entered into those contracts. We seek to control our credit exposure to these counterparties by diversifying across multiple counterparties, by setting counterparty credit limits based on long term credit ratings and other indicators of counterparty credit risk such as credit default swap spreads and default probabilities, and by monitoring the financial strength of these counterparties on a regular basis. We also enter into master netting agreements with counterparties when possible. By controlling and monitoring exposure to counterparties in this manner, we believe that we effectively manage the risk of loss due to nonperformance by a counterparty. However, the inability of a counterparty to fulfill its contractual obligations to us could have a material adverse effect on our liquidity, financial position or results of operations in the period in which it occurs.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assets and liabilities recorded at fair value on the Consolidated Balance Sheets at September 30,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Carrying Value</w:t>
            </w:r>
          </w:p>
        </w:tc>
        <w:tc>
          <w:tcPr>
            <w:tcW w:w="140" w:type="dxa"/>
            <w:vAlign w:val="bottom"/>
          </w:tcPr>
          <w:p>
            <w:pPr>
              <w:spacing w:after="0"/>
              <w:rPr>
                <w:sz w:val="15"/>
                <w:szCs w:val="15"/>
                <w:color w:val="auto"/>
              </w:rPr>
            </w:pPr>
          </w:p>
        </w:tc>
        <w:tc>
          <w:tcPr>
            <w:tcW w:w="17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3"/>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in the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0" w:type="dxa"/>
            <w:vAlign w:val="bottom"/>
          </w:tcPr>
          <w:p>
            <w:pPr>
              <w:spacing w:after="0"/>
              <w:rPr>
                <w:sz w:val="15"/>
                <w:szCs w:val="15"/>
                <w:color w:val="auto"/>
              </w:rPr>
            </w:pPr>
          </w:p>
        </w:tc>
        <w:tc>
          <w:tcPr>
            <w:tcW w:w="17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5"/>
                <w:szCs w:val="15"/>
                <w:color w:val="auto"/>
              </w:rPr>
            </w:pPr>
          </w:p>
        </w:tc>
        <w:tc>
          <w:tcPr>
            <w:tcW w:w="1620" w:type="dxa"/>
            <w:vAlign w:val="bottom"/>
            <w:gridSpan w:val="4"/>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4"/>
                <w:szCs w:val="14"/>
                <w:color w:val="auto"/>
              </w:rPr>
            </w:pPr>
          </w:p>
        </w:tc>
        <w:tc>
          <w:tcPr>
            <w:tcW w:w="17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200" w:type="dxa"/>
            <w:vAlign w:val="bottom"/>
          </w:tcPr>
          <w:p>
            <w:pPr>
              <w:spacing w:after="0"/>
              <w:rPr>
                <w:sz w:val="14"/>
                <w:szCs w:val="14"/>
                <w:color w:val="auto"/>
              </w:rPr>
            </w:pPr>
          </w:p>
        </w:tc>
        <w:tc>
          <w:tcPr>
            <w:tcW w:w="17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00" w:type="dxa"/>
            <w:vAlign w:val="bottom"/>
          </w:tcPr>
          <w:p>
            <w:pPr>
              <w:spacing w:after="0"/>
              <w:rPr>
                <w:sz w:val="14"/>
                <w:szCs w:val="14"/>
                <w:color w:val="auto"/>
              </w:rPr>
            </w:pPr>
          </w:p>
        </w:tc>
        <w:tc>
          <w:tcPr>
            <w:tcW w:w="1040" w:type="dxa"/>
            <w:vAlign w:val="bottom"/>
            <w:gridSpan w:val="3"/>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40" w:type="dxa"/>
            <w:vAlign w:val="bottom"/>
          </w:tcPr>
          <w:p>
            <w:pPr>
              <w:spacing w:after="0"/>
              <w:rPr>
                <w:sz w:val="17"/>
                <w:szCs w:val="17"/>
                <w:color w:val="auto"/>
              </w:rPr>
            </w:pPr>
          </w:p>
        </w:tc>
        <w:tc>
          <w:tcPr>
            <w:tcW w:w="1080" w:type="dxa"/>
            <w:vAlign w:val="bottom"/>
            <w:gridSpan w:val="3"/>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3"/>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6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364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8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32</w:t>
            </w:r>
          </w:p>
        </w:tc>
        <w:tc>
          <w:tcPr>
            <w:tcW w:w="8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4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FF0FC"/>
            </w:tcBorders>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14</w:t>
            </w:r>
          </w:p>
        </w:tc>
        <w:tc>
          <w:tcPr>
            <w:tcW w:w="8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fair value information about long term fixed rate and variable rate debt, excluding finance leases,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December 31, 2025:</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4"/>
                <w:szCs w:val="14"/>
                <w:color w:val="auto"/>
              </w:rPr>
            </w:pPr>
          </w:p>
        </w:tc>
        <w:tc>
          <w:tcPr>
            <w:tcW w:w="11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4"/>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7"/>
                <w:szCs w:val="17"/>
                <w:color w:val="auto"/>
              </w:rPr>
            </w:pPr>
          </w:p>
        </w:tc>
        <w:tc>
          <w:tcPr>
            <w:tcW w:w="11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64"/>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Fixed Rate Debt:</w:t>
            </w:r>
            <w:r>
              <w:rPr>
                <w:rFonts w:ascii="Times New Roman" w:cs="Times New Roman" w:eastAsia="Times New Roman" w:hAnsi="Times New Roman"/>
                <w:sz w:val="23"/>
                <w:szCs w:val="23"/>
                <w:b w:val="1"/>
                <w:bCs w:val="1"/>
                <w:color w:val="auto"/>
                <w:vertAlign w:val="superscript"/>
              </w:rPr>
              <w:t>(1)</w:t>
            </w:r>
          </w:p>
        </w:tc>
        <w:tc>
          <w:tcPr>
            <w:tcW w:w="1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r>
      <w:tr>
        <w:trPr>
          <w:trHeight w:val="25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18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4,422</w:t>
            </w:r>
          </w:p>
        </w:tc>
      </w:tr>
      <w:tr>
        <w:trPr>
          <w:trHeight w:val="256"/>
        </w:trPr>
        <w:tc>
          <w:tcPr>
            <w:tcW w:w="8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4"/>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Rate Debt:</w:t>
            </w:r>
            <w:r>
              <w:rPr>
                <w:rFonts w:ascii="Times New Roman" w:cs="Times New Roman" w:eastAsia="Times New Roman" w:hAnsi="Times New Roman"/>
                <w:sz w:val="23"/>
                <w:szCs w:val="23"/>
                <w:b w:val="1"/>
                <w:bCs w:val="1"/>
                <w:color w:val="auto"/>
                <w:vertAlign w:val="superscript"/>
              </w:rPr>
              <w:t>(1)</w:t>
            </w:r>
          </w:p>
        </w:tc>
        <w:tc>
          <w:tcPr>
            <w:tcW w:w="18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r>
      <w:tr>
        <w:trPr>
          <w:trHeight w:val="25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18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7"/>
        </w:trPr>
        <w:tc>
          <w:tcPr>
            <w:tcW w:w="84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-1242695</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 w:lineRule="exact"/>
        <w:rPr>
          <w:sz w:val="20"/>
          <w:szCs w:val="20"/>
          <w:color w:val="auto"/>
        </w:rPr>
      </w:pPr>
    </w:p>
    <w:p>
      <w:pPr>
        <w:jc w:val="both"/>
        <w:ind w:left="360" w:right="40" w:hanging="334"/>
        <w:spacing w:after="0" w:line="235" w:lineRule="auto"/>
        <w:tabs>
          <w:tab w:leader="none" w:pos="347"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Notes Payable and Overdrafts of $349 million and $506 million at September 30, 2026 and December 31, 2025, respectively, of which $177 million and $216 million, respectively, are at fixed rates and $172 million and $290 million, respectively, are at variable rates. The carrying value of Notes Payable and Overdrafts approximates fair value due to the short term nature of the facilities.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Long term debt with fair values of $4,947 million and $4,291 million at September 30, 2026 and December 31, 2025, respectively, were estimated using quoted Level 1 market prices. The carrying value of the remaining long term debt approximates fair value since the terms of the financing arrangements are similar to terms that could be obtained under current lending market conditions.</w:t>
      </w:r>
    </w:p>
    <w:p>
      <w:pPr>
        <w:spacing w:after="0" w:line="172" w:lineRule="exact"/>
        <w:rPr>
          <w:sz w:val="20"/>
          <w:szCs w:val="20"/>
          <w:color w:val="auto"/>
        </w:rPr>
      </w:pPr>
    </w:p>
    <w:p>
      <w:pPr>
        <w:ind w:right="4400"/>
        <w:spacing w:after="0" w:line="359"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NOTE 10. PENSION, SAVINGS AND OTHER POSTRETIREMENT BENEFIT PLANS </w:t>
      </w:r>
      <w:r>
        <w:rPr>
          <w:rFonts w:ascii="Times New Roman" w:cs="Times New Roman" w:eastAsia="Times New Roman" w:hAnsi="Times New Roman"/>
          <w:sz w:val="18"/>
          <w:szCs w:val="18"/>
          <w:color w:val="auto"/>
        </w:rPr>
        <w:t>We provide employees with defined benefit pension or defined contribution savings plans. Defined benefit pension cost follows:</w:t>
      </w: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U.S.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U.S.</w:t>
            </w:r>
          </w:p>
        </w:tc>
        <w:tc>
          <w:tcPr>
            <w:tcW w:w="860" w:type="dxa"/>
            <w:vAlign w:val="bottom"/>
          </w:tcPr>
          <w:p>
            <w:pPr>
              <w:spacing w:after="0"/>
              <w:rPr>
                <w:sz w:val="16"/>
                <w:szCs w:val="16"/>
                <w:color w:val="auto"/>
              </w:rPr>
            </w:pPr>
          </w:p>
        </w:tc>
      </w:tr>
      <w:tr>
        <w:trPr>
          <w:trHeight w:val="37"/>
        </w:trPr>
        <w:tc>
          <w:tcPr>
            <w:tcW w:w="57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gridSpan w:val="4"/>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gridSpan w:val="4"/>
          </w:tcPr>
          <w:p>
            <w:pPr>
              <w:spacing w:after="0"/>
              <w:rPr>
                <w:sz w:val="3"/>
                <w:szCs w:val="3"/>
                <w:color w:val="auto"/>
              </w:rPr>
            </w:pPr>
          </w:p>
        </w:tc>
      </w:tr>
      <w:tr>
        <w:trPr>
          <w:trHeight w:val="185"/>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2400" w:type="dxa"/>
            <w:vAlign w:val="bottom"/>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00" w:type="dxa"/>
            <w:vAlign w:val="bottom"/>
          </w:tcPr>
          <w:p>
            <w:pPr>
              <w:spacing w:after="0"/>
              <w:rPr>
                <w:sz w:val="21"/>
                <w:szCs w:val="21"/>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7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57"/>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3"/>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0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5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
        </w:trPr>
        <w:tc>
          <w:tcPr>
            <w:tcW w:w="57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r>
      <w:tr>
        <w:trPr>
          <w:trHeight w:val="25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curtailments/settlements/termination benefits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57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02"/>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defined benefit pension cost</w:t>
            </w: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r>
      <w:tr>
        <w:trPr>
          <w:trHeight w:val="20"/>
        </w:trPr>
        <w:tc>
          <w:tcPr>
            <w:tcW w:w="57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-33655</wp:posOffset>
            </wp:positionV>
            <wp:extent cx="603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-222250</wp:posOffset>
            </wp:positionV>
            <wp:extent cx="603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-590550</wp:posOffset>
            </wp:positionV>
            <wp:extent cx="60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-1319530</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-1319530</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40" w:type="dxa"/>
            <w:vAlign w:val="bottom"/>
            <w:gridSpan w:val="3"/>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Non-U.S.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w w:val="99"/>
              </w:rPr>
              <w:t>Non-U.S.</w:t>
            </w:r>
          </w:p>
        </w:tc>
        <w:tc>
          <w:tcPr>
            <w:tcW w:w="860" w:type="dxa"/>
            <w:vAlign w:val="bottom"/>
          </w:tcPr>
          <w:p>
            <w:pPr>
              <w:spacing w:after="0"/>
              <w:rPr>
                <w:sz w:val="16"/>
                <w:szCs w:val="16"/>
                <w:color w:val="auto"/>
              </w:rPr>
            </w:pPr>
          </w:p>
        </w:tc>
      </w:tr>
      <w:tr>
        <w:trPr>
          <w:trHeight w:val="37"/>
        </w:trPr>
        <w:tc>
          <w:tcPr>
            <w:tcW w:w="5700" w:type="dxa"/>
            <w:vAlign w:val="bottom"/>
          </w:tcPr>
          <w:p>
            <w:pPr>
              <w:spacing w:after="0"/>
              <w:rPr>
                <w:sz w:val="3"/>
                <w:szCs w:val="3"/>
                <w:color w:val="auto"/>
              </w:rPr>
            </w:pPr>
          </w:p>
        </w:tc>
        <w:tc>
          <w:tcPr>
            <w:tcW w:w="2300" w:type="dxa"/>
            <w:vAlign w:val="bottom"/>
            <w:tcBorders>
              <w:bottom w:val="single" w:sz="8" w:color="auto"/>
            </w:tcBorders>
            <w:gridSpan w:val="4"/>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gridSpan w:val="4"/>
          </w:tcPr>
          <w:p>
            <w:pPr>
              <w:spacing w:after="0"/>
              <w:rPr>
                <w:sz w:val="3"/>
                <w:szCs w:val="3"/>
                <w:color w:val="auto"/>
              </w:rPr>
            </w:pPr>
          </w:p>
        </w:tc>
      </w:tr>
      <w:tr>
        <w:trPr>
          <w:trHeight w:val="185"/>
        </w:trPr>
        <w:tc>
          <w:tcPr>
            <w:tcW w:w="5700" w:type="dxa"/>
            <w:vAlign w:val="bottom"/>
          </w:tcPr>
          <w:p>
            <w:pPr>
              <w:spacing w:after="0"/>
              <w:rPr>
                <w:sz w:val="16"/>
                <w:szCs w:val="16"/>
                <w:color w:val="auto"/>
              </w:rPr>
            </w:pPr>
          </w:p>
        </w:tc>
        <w:tc>
          <w:tcPr>
            <w:tcW w:w="2300" w:type="dxa"/>
            <w:vAlign w:val="bottom"/>
            <w:gridSpan w:val="4"/>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4"/>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40" w:type="dxa"/>
            <w:vAlign w:val="bottom"/>
            <w:gridSpan w:val="3"/>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r>
      <w:tr>
        <w:trPr>
          <w:trHeight w:val="243"/>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700" w:type="dxa"/>
            <w:vAlign w:val="bottom"/>
            <w:tcBorders>
              <w:bottom w:val="single" w:sz="8" w:color="CFF0FC"/>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57"/>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60" w:type="dxa"/>
            <w:vAlign w:val="bottom"/>
            <w:tcBorders>
              <w:bottom w:val="single" w:sz="8" w:color="CFF0FC"/>
            </w:tcBorders>
            <w:shd w:val="clear" w:color="auto" w:fill="CFF0FC"/>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5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3"/>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6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860" w:type="dxa"/>
            <w:vAlign w:val="bottom"/>
          </w:tcPr>
          <w:p>
            <w:pPr>
              <w:spacing w:after="0"/>
              <w:rPr>
                <w:sz w:val="22"/>
                <w:szCs w:val="22"/>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2"/>
                <w:szCs w:val="22"/>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84"/>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86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5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860" w:type="dxa"/>
            <w:vAlign w:val="bottom"/>
            <w:tcBorders>
              <w:top w:val="single" w:sz="8" w:color="auto"/>
            </w:tcBorders>
          </w:tcPr>
          <w:p>
            <w:pPr>
              <w:jc w:val="right"/>
              <w:ind w:right="657"/>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80" w:type="dxa"/>
            <w:vAlign w:val="bottom"/>
          </w:tcPr>
          <w:p>
            <w:pPr>
              <w:spacing w:after="0"/>
              <w:rPr>
                <w:sz w:val="21"/>
                <w:szCs w:val="21"/>
                <w:color w:val="auto"/>
              </w:rPr>
            </w:pPr>
          </w:p>
        </w:tc>
        <w:tc>
          <w:tcPr>
            <w:tcW w:w="900" w:type="dxa"/>
            <w:vAlign w:val="bottom"/>
            <w:tcBorders>
              <w:top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Pr>
          <w:p>
            <w:pPr>
              <w:spacing w:after="0"/>
              <w:rPr>
                <w:sz w:val="21"/>
                <w:szCs w:val="21"/>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7"/>
        </w:trPr>
        <w:tc>
          <w:tcPr>
            <w:tcW w:w="5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83"/>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curtailments/settlements/termination benefits</w:t>
            </w:r>
          </w:p>
        </w:tc>
        <w:tc>
          <w:tcPr>
            <w:tcW w:w="86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defined benefit pension cost</w:t>
            </w:r>
          </w:p>
        </w:tc>
        <w:tc>
          <w:tcPr>
            <w:tcW w:w="860" w:type="dxa"/>
            <w:vAlign w:val="bottom"/>
            <w:tcBorders>
              <w:top w:val="single" w:sz="8" w:color="auto"/>
            </w:tcBorders>
          </w:tcPr>
          <w:p>
            <w:pPr>
              <w:jc w:val="right"/>
              <w:ind w:right="657"/>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80" w:type="dxa"/>
            <w:vAlign w:val="bottom"/>
          </w:tcPr>
          <w:p>
            <w:pPr>
              <w:spacing w:after="0"/>
              <w:rPr>
                <w:sz w:val="21"/>
                <w:szCs w:val="21"/>
                <w:color w:val="auto"/>
              </w:rPr>
            </w:pPr>
          </w:p>
        </w:tc>
        <w:tc>
          <w:tcPr>
            <w:tcW w:w="900" w:type="dxa"/>
            <w:vAlign w:val="bottom"/>
            <w:tcBorders>
              <w:top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Pr>
          <w:p>
            <w:pPr>
              <w:spacing w:after="0"/>
              <w:rPr>
                <w:sz w:val="21"/>
                <w:szCs w:val="21"/>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27"/>
        </w:trPr>
        <w:tc>
          <w:tcPr>
            <w:tcW w:w="57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-1499235</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-1499235</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-1499235</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cost is recorded in CGS or SAG. Other components of net periodic pension cost are recorded in Other (Income) Expense. Net curtailments, settlements and termination benefits, if any, are recorded in Other (Income) Expense or Rationalizations if related to a rationalization plan.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third quarter of 2026, a pension termination benefits charge of $7 million was recorded related to the exit of employees under an approved rationalization plan.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third quarter and first nine months of 2025, pension settlement charges of $68 million and $72 million, respectively, were recorded in Other (Income) Expense. The settlement charges resulted from total lump sums exceeding annual service and interest cost of the applicable plans, including $68 million in the third quarter from the offer of lump sum payments over a limited time to certain active and former employees in the U.S. salaried defined benefit pension plan. In addition, in the first nine months of 2025, pension termination benefits charges of $4 million and $1 million were recorded related to the exit of employees under an approved rationalization plan and the sale of the OTR tire business, respectively.</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provide certain U.S. employees and employees at certain non-U.S. subsidiaries with health care benefits or life insurance benefits upon retirement. There was no net other postretirement benefit expense for the three and nine months ended September 30, 2026. Net other postretirement benefits income for three and nine months ended September 30, 2025 was $1 million for both periods.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contribute approximately $25 million to our funded non-U.S. pension plans in 2026. For the three and nine months ended September 30, 2026, we contributed $3 million and $12 million, respectively, to our non-U.S. plans.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expense recognized for our contributions to defined contribution savings plans for the three months ended September 30, 2026 and 2025 was $26 million and $30 million, respectively, and for the nine months ended September 30, 2026 and 2025 was $83 million and $92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STOCK COMPENSATION PLANS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granted 2.2 million restricted stock units and 0.7 million performance share units during the nine months ended September 30, 2026 under our stock compensation plans. We measure the fair value of grants of restricted stock units and performance share units based primarily on the closing market price of a share of our common stock on the date of the grant, modified as appropriate to take into account the features of such grants. The weighted average fair value per share was $8.34 for restricted stock units and $8.30 for performance share units granted during the nine months ended September 30, 2026.</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recognized stock-based compensation expense of $1 million and $13 million during the three and nine months ended September 30, 2026, respectively. At September 30, 2026, unearned compensation cost related to the unvested portion of all stock-based awards was approximately $19 million and is expected to be recognized over the remaining vesting period of the respective grants, through the third quarter of 2029. We recognized stock-based compensation expense of $6 million and $17 million during the three and nine months ended September 30,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recorded liabilities totaling $84 million and $79 million at September 30, 2026 and December 31, 2025, respectively, for anticipated costs related to various environmental matters, primarily the remediation of numerous waste disposal sites and certain properties sold by us. Of these amounts, $22 million was included in Other Current Liabilities at both September 30, 2026 and December 31, 2025. The costs include legal and consulting fees, site studies, the design and implementation 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remediation plans, post-remediation monitoring and related activities, and will be paid over several years. The amount of our ultimate liability in respect of these matters may be affected by several uncertainties, primarily the ultimate cost of required remediation and the extent to which other responsible parties contribute. We have limited potential insurance coverage for future environmental claims.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many of the remediation activities related to environmental matters vary substantially in duration and cost from site to site and the associated costs for each vary depending on the mix of unique site characteristics, in some cases we cannot reasonably estimate a range of possible losses. Although it is not possible to estimate with certainty the outcome of all of our environmental matters, management believes that potential losses in excess of current reserves for environmental matters, individually and in the aggregate, will not have a material adverse effect on our financial position, cash flows or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Workers’ Compensation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recorded net liabilities, on a discounted basis, totaling $148 million and $145 million for anticipated costs related to workers’ compensation at September 30, 2026 and December 31, 2025, respectively. Of these amounts, $28 million was included in Other Current Liabilities as part of Compensation and Benefits at both September 30, 2026 and December 31, 2025.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At September 30, 2026 and December 31, 2025, the liability was discounted using a risk-free rate of return. At September 30, 2026, we estimate that it is reasonably possible that the liability could exceed our recorded amounts by approximately $25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Product Liability and Other Litigation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recorded liabilities for both asserted and unasserted claims totaling $435 million and $417 million, including related legal fees expected to be incurred, for potential product liability and other tort claims, including asbestos claims, at September 30, 2026 and December 31, 2025, respectively. Of these amounts, $74 million and $66 million were included in Other Current Liabilities at September 30, 2026 and December 31, 2025, respectively. The amounts recorded were estimated based on an assessment of potential liability using an analysis of available information with respect to pending claims, historical experience and, where available, recent and current trends. Based upon that assessment, at September 30, 2026, we do not believe that estimated reasonably possible losses associated with general and product liability claims in excess of the amounts recorded will have a material adverse effect on our financial position, cash flows or results of operations. However, the amount of our ultimate liability in respect of these matters may differ from these estimates.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recorded an indemnification asset within Accounts Receivable of $1 million and within Other Assets of $2 million for Sumitomo Rubber Industries, Ltd. ("SRI's") obligation to indemnify us for certain product liability claims related to products manufactured by a formerly consolidated joint venture entity, subject to certain caps and restrictions.</w:t>
      </w:r>
    </w:p>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Asbestos. </w:t>
      </w:r>
      <w:r>
        <w:rPr>
          <w:rFonts w:ascii="Times New Roman" w:cs="Times New Roman" w:eastAsia="Times New Roman" w:hAnsi="Times New Roman"/>
          <w:sz w:val="18"/>
          <w:szCs w:val="18"/>
          <w:color w:val="auto"/>
        </w:rPr>
        <w:t>We are a defendant in numerous lawsuits alleging various asbestos-related personal injuries purported to result from alleged exposure to asbestos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certain products manufactured by us or present in certain of our facilities. Typically, these lawsuits have been brought against multiple defendants in state and federal courts. To date, we have disposed of approximately 169,700 claims by defending, obtaining the dismissal thereof, or entering into a settlement. The sum of our accrued asbestos-related liability and gross payments to date, including legal costs, by us and our insurers totaled $613 million through September 30, 2026 and $597 million through December 31, 2025.</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recent approximate asbestos claims activity follows. Because claims are often filed and disposed of by settlement or dismissal in large numbers, the amount and timing of filings, settlements and dismissals and the number of open claims during a particular period can fluctuate significantly.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80" w:type="dxa"/>
            <w:vAlign w:val="bottom"/>
          </w:tcPr>
          <w:p>
            <w:pPr>
              <w:spacing w:after="0"/>
              <w:rPr>
                <w:sz w:val="15"/>
                <w:szCs w:val="15"/>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5"/>
                <w:szCs w:val="15"/>
                <w:color w:val="auto"/>
              </w:rPr>
            </w:pPr>
          </w:p>
        </w:tc>
        <w:tc>
          <w:tcPr>
            <w:tcW w:w="11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848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57"/>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Pending claims, beginning of period</w:t>
            </w:r>
          </w:p>
        </w:tc>
        <w:tc>
          <w:tcPr>
            <w:tcW w:w="44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30,400</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35,400</w:t>
            </w:r>
          </w:p>
        </w:tc>
      </w:tr>
      <w:tr>
        <w:trPr>
          <w:trHeight w:val="25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claims filed</w:t>
            </w: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7"/>
        </w:trPr>
        <w:tc>
          <w:tcPr>
            <w:tcW w:w="8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3"/>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Claims settled/dismissed</w:t>
            </w:r>
          </w:p>
        </w:tc>
        <w:tc>
          <w:tcPr>
            <w:tcW w:w="44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(5,800)</w:t>
            </w:r>
          </w:p>
        </w:tc>
      </w:tr>
      <w:tr>
        <w:trPr>
          <w:trHeight w:val="25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Pending claims, end of period</w:t>
            </w:r>
          </w:p>
        </w:tc>
        <w:tc>
          <w:tcPr>
            <w:tcW w:w="4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28,500</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30,400</w:t>
            </w:r>
          </w:p>
        </w:tc>
      </w:tr>
      <w:tr>
        <w:trPr>
          <w:trHeight w:val="27"/>
        </w:trPr>
        <w:tc>
          <w:tcPr>
            <w:tcW w:w="8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480" w:type="dxa"/>
            <w:vAlign w:val="bottom"/>
            <w:tcBorders>
              <w:bottom w:val="single" w:sz="8" w:color="CFF0FC"/>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03"/>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w:t>
            </w:r>
            <w:r>
              <w:rPr>
                <w:rFonts w:ascii="Times New Roman" w:cs="Times New Roman" w:eastAsia="Times New Roman" w:hAnsi="Times New Roman"/>
                <w:sz w:val="23"/>
                <w:szCs w:val="23"/>
                <w:color w:val="auto"/>
                <w:vertAlign w:val="superscript"/>
              </w:rPr>
              <w:t>(1)</w:t>
            </w:r>
          </w:p>
        </w:tc>
        <w:tc>
          <w:tcPr>
            <w:tcW w:w="440" w:type="dxa"/>
            <w:vAlign w:val="bottom"/>
            <w:tcBorders>
              <w:bottom w:val="single" w:sz="8" w:color="auto"/>
            </w:tcBorders>
            <w:shd w:val="clear" w:color="auto" w:fill="CFF0FC"/>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-222250</wp:posOffset>
            </wp:positionV>
            <wp:extent cx="603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-984885</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 w:lineRule="exact"/>
        <w:rPr>
          <w:sz w:val="20"/>
          <w:szCs w:val="20"/>
          <w:color w:val="auto"/>
        </w:rPr>
      </w:pPr>
    </w:p>
    <w:p>
      <w:pPr>
        <w:ind w:left="5540" w:right="1920" w:hanging="5514"/>
        <w:spacing w:after="0" w:line="857" w:lineRule="auto"/>
        <w:tabs>
          <w:tab w:leader="none" w:pos="343"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cash payments made during the period by us and our insurers for asbestos litigation defense and claim resolution.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and at least annually, review our existing reserves for pending claims, including a reasonable estimate of the liability associated with unasserted asbestos claims, and estimate our receivables from probable insurance recoveries. We recorded gross liabilities for both asserted and unasserted claims, inclusive of defense costs, totaling $112 million and $107 million at September 30, 2026 and December 31, 2025, respectively. In determining the estimate of our asbestos liability, we evaluated claims over the next ten-year period. Due to the difficulties in making these estimates, analysis based on new data and/or a change in circumstances arising in the future may result in an increase in the recorded obligation, and that increase could be significant.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certain primary and excess insurance coverage under coverage-in-place agreements, and also have additional excess liability insurance with respect to asbestos liabilities. After consultation with our outside legal counsel and giving consideration to agreements with certain of our insurance carriers, the financial viability and legal obligations of our insurance carriers and other relevant factors, we determine an amount we expect is probable of recovery from such carriers. We record a receivable with respect to such policies when we determine that recovery is probable and we can reasonably estimate the amount of a particular recovery.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an insurance receivable related to asbestos claims of $58 million and $57 million at September 30, 2026 and December 31, 2025, respectively. We expect that approximately 50% of asbestos claim related losses would be recoverable through insurance during the ten-year period covered by the estimated liability. Of these amounts, $10 million was included in Current Assets as part of Accounts Receivable at both September 30, 2026 and December 31, 2025. The recorded receivable consists of an amount we expect to collect under coverage-in-place agreements with certain primary and excess insurance carriers, as well as an amount we believe is probable of recovery from certain of our other excess insurance carriers.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at December 31, 2025, we had approximately $510 million in excess level policy limits applicable to indemnity and defense costs for asbestos products claims under coverage-in-place agreements. We also had additional unsettled excess level policy limits potentially applicable to such costs. In addition, we had coverage under certain primary policies for indemnity and defense costs for asbestos products claims under remaining aggregate limits pursuant to a coverage-in-place agreement, as well as coverage for indemnity and defense costs for asbestos premises claims pursuant to coverage-in-place agreements.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both asserted and unasserted claims, it is reasonably possible that we may incur a material amount of cost in excess of the current reserve; however, such amounts cannot be reasonably estimated. Coverage under insurance policies is subject to varying characteristics of asbestos claims including, but not limited to, the type of claim (premise vs. product exposure), alleged date of first exposure to our products or premises and disease alleged. Recoveries may also be limited by insurer insolvencies or financial difficulties. Depending upon the nature of these characteristics or events, as well as the resolution of certain legal issues, some portion of the insurance may not be accessible by 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currently a party to various claims, indirect tax assessments and legal proceedings in addition to those noted above. If management believes that a loss arising from these matters is probable and can reasonably be estimated, we record the amount of the loss, or the minimum estimated liability when the loss is estimated using a range and no point within the range is more probable than another. As additional information becomes available, any potential liability related to these matters is assessed and the estimates are revised, if necessary. Based on currently available information, management believes that the ultimate outcome of these matters, individually and in the aggregate, will not have a material adverse effect on our financial position or overall trends in results of operations.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recorded liabilities and estimates of reasonably possible losses for the contingent liabilities described above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which we did not anticipate. Such an unfavorable decision could 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Matters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regulations.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period could be materially affected. An unfavorable tax settlement would require use of our cash, and lead to recognition of expense to the extent the settlement amount exceeds recorded liabilities and, in the case of an income tax settlement, result in an increase in our effective tax rate in the period of resolution. A favorable tax settlement would be recognized as a reduction of expense to the extent the settlement amount is lower than recorded liabilities and, in the case of an income tax settlement, would result in a reduction in our effective tax rate in the period of resolution.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an audit by the IRS, we received a Notice of Proposed Adjustment ("NOPA") during the second quarter of 2025 related to an intercompany sale of certain intellectual property in 2021. The IRS proposed to disallow income recognition totaling $1.5 billion associated with this transaction. The federal tax charge related to that income recognition was fully offset by the utilization of $315 million of then-existing deferred tax assets, including tax loss carryforwards and foreign tax credits.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challenged the proposed adjustment through the established IRS administrative procedures and engaged in settlement discussions with the IRS. On July 29, 2026, we entered into a closing agreement with the IRS resolving all federal income tax consequences related to the 2021 transaction (the "IRS settlement"). As a result of the IRS settlement, in the third quarter of 2026, we wrote-off approximately $45 million of our deferred tax assets that were previously utilized to offset the related federal and state taxes. However, since our U.S. deferred tax assets are in a full valuation allowance, the write-off of those deferred tax assets did not have a material impact on our operating results or cash flow.</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Company applies consistent transfer pricing policies and practices globally, supports transfer prices through economic studies, seeks advance pricing agreements and joint audits to the extent possible and believes its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 successful in defending such claims, our results of operations could be materially adversely affected in the case we are unsuccessful in the defense of existing or future claims.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Binding Commitments and Guarantees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off-balance sheet financial guarantees and other commitments totaling $15 million at both September 30, 2026 and December 31, 2025. We issue guarantees to financial institutions or other entities on behalf of certain of our affiliates, lessors or customers. We generally do not require collateral in connection with the issuance of these guarantees.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2015, as a result of the dissolution of the global alliance with SRI, we issued a guarantee of $46 million to an insurance company related to SRI's obligation to pay certain outstanding workers' compensation claims of a formerly consolidated joint venture entity. As of September 30, 2026, this guarantee amount has been reduced to $15 million. We have concluded the probability of our performance to be remote and, therefore, have not recorded a liability for this guarantee. While there is no fixed duration of this guarantee, we expect the amount of this guarantee to continue to decrease over time as the formerly consolidated joint venture entity pays its outstanding claims.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performance under these guarantees is triggered by non-payment or another specified event, we would be obligated to make payment to the financial institution or the other entity, and would typically have recourse to the affiliate, lessor, customer or SRI, as applicable. We are unable to estimate the extent to which our lessors’, customers’ or SRI's assets would be adequate to recover any payments made by us under the related guarantees.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agreement to provide a revolving loan commitment to TireHub, LLC. During the first quarter of 2026, the revolving loan commitment decreased from $130 million to $100 million. The carrying value of our net investment in TireHub was $17 million and $44 million, which includes an outstanding loan receivable of $84 million and $103 million, including $1 million and $2 million of interest, at September 30, 2026 and December 31, 2025, respectively, and was included in Other Assets on our Consolidated Balance Sheets. Our investment in TireHub is accounted for under the equity method of accounting and, as such, includes our 50% share of the net income (losses) of TireHub.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CAPITAL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the first nine months of 2026, we did not repurchase any shares from employees.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changes in AOCL, by component, for the nine months ended September 30, 2026 and 2025, after tax and minority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34290</wp:posOffset>
            </wp:positionV>
            <wp:extent cx="60325" cy="6000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60007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34290</wp:posOffset>
            </wp:positionV>
            <wp:extent cx="60325" cy="6000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60007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34290</wp:posOffset>
            </wp:positionV>
            <wp:extent cx="60325" cy="6000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60007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6"/>
        </w:trPr>
        <w:tc>
          <w:tcPr>
            <w:tcW w:w="4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Net Actuarial</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62"/>
        </w:trPr>
        <w:tc>
          <w:tcPr>
            <w:tcW w:w="4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 and</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6"/>
        </w:trPr>
        <w:tc>
          <w:tcPr>
            <w:tcW w:w="4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Gains (Losses)</w:t>
            </w:r>
          </w:p>
        </w:tc>
        <w:tc>
          <w:tcPr>
            <w:tcW w:w="24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Prior Service</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from Securities</w:t>
            </w: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400" w:type="dxa"/>
            <w:vAlign w:val="bottom"/>
          </w:tcPr>
          <w:p>
            <w:pPr>
              <w:spacing w:after="0"/>
              <w:rPr>
                <w:sz w:val="16"/>
                <w:szCs w:val="16"/>
                <w:color w:val="auto"/>
              </w:rPr>
            </w:pPr>
          </w:p>
        </w:tc>
        <w:tc>
          <w:tcPr>
            <w:tcW w:w="126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3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7"/>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(1,927)</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(3,588)</w:t>
            </w:r>
          </w:p>
        </w:tc>
      </w:tr>
      <w:tr>
        <w:trPr>
          <w:trHeight w:val="238"/>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4"/>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reclassifications</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8"/>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61"/>
        </w:trPr>
        <w:tc>
          <w:tcPr>
            <w:tcW w:w="4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5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(1,647)</w:t>
            </w:r>
          </w:p>
        </w:tc>
        <w:tc>
          <w:tcPr>
            <w:tcW w:w="100" w:type="dxa"/>
            <w:vAlign w:val="bottom"/>
          </w:tcPr>
          <w:p>
            <w:pPr>
              <w:spacing w:after="0"/>
              <w:rPr>
                <w:sz w:val="21"/>
                <w:szCs w:val="21"/>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(1,856)</w:t>
            </w:r>
          </w:p>
        </w:tc>
        <w:tc>
          <w:tcPr>
            <w:tcW w:w="80" w:type="dxa"/>
            <w:vAlign w:val="bottom"/>
          </w:tcPr>
          <w:p>
            <w:pPr>
              <w:spacing w:after="0"/>
              <w:rPr>
                <w:sz w:val="21"/>
                <w:szCs w:val="21"/>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(3,502)</w:t>
            </w:r>
          </w:p>
        </w:tc>
      </w:tr>
      <w:tr>
        <w:trPr>
          <w:trHeight w:val="27"/>
        </w:trPr>
        <w:tc>
          <w:tcPr>
            <w:tcW w:w="4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
        </w:trPr>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01"/>
        </w:trPr>
        <w:tc>
          <w:tcPr>
            <w:tcW w:w="4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6"/>
        </w:trPr>
        <w:tc>
          <w:tcPr>
            <w:tcW w:w="4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Net Actuarial</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6"/>
        </w:trPr>
        <w:tc>
          <w:tcPr>
            <w:tcW w:w="4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 and</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62"/>
        </w:trPr>
        <w:tc>
          <w:tcPr>
            <w:tcW w:w="4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Gains (Losses)</w:t>
            </w:r>
          </w:p>
        </w:tc>
        <w:tc>
          <w:tcPr>
            <w:tcW w:w="24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Prior Service</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4"/>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280" w:type="dxa"/>
            <w:vAlign w:val="bottom"/>
          </w:tcPr>
          <w:p>
            <w:pPr>
              <w:spacing w:after="0"/>
              <w:rPr>
                <w:sz w:val="17"/>
                <w:szCs w:val="17"/>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40" w:type="dxa"/>
            <w:vAlign w:val="bottom"/>
          </w:tcPr>
          <w:p>
            <w:pPr>
              <w:spacing w:after="0"/>
              <w:rPr>
                <w:sz w:val="17"/>
                <w:szCs w:val="17"/>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from Securities</w:t>
            </w:r>
          </w:p>
        </w:tc>
        <w:tc>
          <w:tcPr>
            <w:tcW w:w="24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400" w:type="dxa"/>
            <w:vAlign w:val="bottom"/>
          </w:tcPr>
          <w:p>
            <w:pPr>
              <w:spacing w:after="0"/>
              <w:rPr>
                <w:sz w:val="17"/>
                <w:szCs w:val="17"/>
                <w:color w:val="auto"/>
              </w:rPr>
            </w:pPr>
          </w:p>
        </w:tc>
        <w:tc>
          <w:tcPr>
            <w:tcW w:w="126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3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7"/>
        </w:trPr>
        <w:tc>
          <w:tcPr>
            <w:tcW w:w="4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(1,705)</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(2,140)</w:t>
            </w:r>
          </w:p>
        </w:tc>
        <w:tc>
          <w:tcPr>
            <w:tcW w:w="8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(3,844)</w:t>
            </w:r>
          </w:p>
        </w:tc>
      </w:tr>
      <w:tr>
        <w:trPr>
          <w:trHeight w:val="238"/>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4"/>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reclassifications</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4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8"/>
        </w:trPr>
        <w:tc>
          <w:tcPr>
            <w:tcW w:w="4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r>
      <w:tr>
        <w:trPr>
          <w:trHeight w:val="261"/>
        </w:trPr>
        <w:tc>
          <w:tcPr>
            <w:tcW w:w="4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5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5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(1,707)</w:t>
            </w:r>
          </w:p>
        </w:tc>
        <w:tc>
          <w:tcPr>
            <w:tcW w:w="100" w:type="dxa"/>
            <w:vAlign w:val="bottom"/>
          </w:tcPr>
          <w:p>
            <w:pPr>
              <w:spacing w:after="0"/>
              <w:rPr>
                <w:sz w:val="21"/>
                <w:szCs w:val="21"/>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(2,000)</w:t>
            </w:r>
          </w:p>
        </w:tc>
        <w:tc>
          <w:tcPr>
            <w:tcW w:w="80" w:type="dxa"/>
            <w:vAlign w:val="bottom"/>
          </w:tcPr>
          <w:p>
            <w:pPr>
              <w:spacing w:after="0"/>
              <w:rPr>
                <w:sz w:val="21"/>
                <w:szCs w:val="21"/>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(3,706)</w:t>
            </w:r>
          </w:p>
        </w:tc>
      </w:tr>
      <w:tr>
        <w:trPr>
          <w:trHeight w:val="27"/>
        </w:trPr>
        <w:tc>
          <w:tcPr>
            <w:tcW w:w="4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-1045210</wp:posOffset>
            </wp:positionV>
            <wp:extent cx="603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-1045210</wp:posOffset>
            </wp:positionV>
            <wp:extent cx="603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reclassifications out of AOCL:</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80" w:type="dxa"/>
            <w:vAlign w:val="bottom"/>
          </w:tcPr>
          <w:p>
            <w:pPr>
              <w:spacing w:after="0"/>
              <w:rPr>
                <w:sz w:val="15"/>
                <w:szCs w:val="15"/>
                <w:color w:val="auto"/>
              </w:rPr>
            </w:pPr>
          </w:p>
        </w:tc>
        <w:tc>
          <w:tcPr>
            <w:tcW w:w="1720" w:type="dxa"/>
            <w:vAlign w:val="bottom"/>
            <w:gridSpan w:val="4"/>
          </w:tcPr>
          <w:p>
            <w:pPr>
              <w:jc w:val="center"/>
              <w:ind w:left="2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3"/>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80" w:type="dxa"/>
            <w:vAlign w:val="bottom"/>
          </w:tcPr>
          <w:p>
            <w:pPr>
              <w:spacing w:after="0"/>
              <w:rPr>
                <w:sz w:val="16"/>
                <w:szCs w:val="16"/>
                <w:color w:val="auto"/>
              </w:rPr>
            </w:pPr>
          </w:p>
        </w:tc>
        <w:tc>
          <w:tcPr>
            <w:tcW w:w="1720" w:type="dxa"/>
            <w:vAlign w:val="bottom"/>
            <w:gridSpan w:val="4"/>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Expense</w:t>
            </w: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4180" w:type="dxa"/>
            <w:vAlign w:val="bottom"/>
            <w:vMerge w:val="continue"/>
          </w:tcPr>
          <w:p>
            <w:pPr>
              <w:spacing w:after="0"/>
              <w:rPr>
                <w:sz w:val="24"/>
                <w:szCs w:val="24"/>
                <w:color w:val="auto"/>
              </w:rPr>
            </w:pPr>
          </w:p>
        </w:tc>
        <w:tc>
          <w:tcPr>
            <w:tcW w:w="1720" w:type="dxa"/>
            <w:vAlign w:val="bottom"/>
            <w:gridSpan w:val="4"/>
            <w:vMerge w:val="restart"/>
          </w:tcPr>
          <w:p>
            <w:pPr>
              <w:jc w:val="center"/>
              <w:ind w:left="257"/>
              <w:spacing w:after="0"/>
              <w:rPr>
                <w:sz w:val="20"/>
                <w:szCs w:val="20"/>
                <w:color w:val="auto"/>
              </w:rPr>
            </w:pPr>
            <w:r>
              <w:rPr>
                <w:rFonts w:ascii="Times New Roman" w:cs="Times New Roman" w:eastAsia="Times New Roman" w:hAnsi="Times New Roman"/>
                <w:sz w:val="14"/>
                <w:szCs w:val="14"/>
                <w:b w:val="1"/>
                <w:bCs w:val="1"/>
                <w:color w:val="auto"/>
              </w:rPr>
              <w:t>Amount Reclassified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vMerge w:val="restart"/>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Amount Reclassified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53"/>
        </w:trPr>
        <w:tc>
          <w:tcPr>
            <w:tcW w:w="418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gridSpan w:val="3"/>
            <w:vMerge w:val="continue"/>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18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color w:val="auto"/>
              </w:rPr>
              <w:t>Component of AOCL</w:t>
            </w:r>
          </w:p>
        </w:tc>
        <w:tc>
          <w:tcPr>
            <w:tcW w:w="640" w:type="dxa"/>
            <w:vAlign w:val="bottom"/>
          </w:tcPr>
          <w:p>
            <w:pPr>
              <w:spacing w:after="0"/>
              <w:rPr>
                <w:sz w:val="16"/>
                <w:szCs w:val="16"/>
                <w:color w:val="auto"/>
              </w:rPr>
            </w:pPr>
          </w:p>
        </w:tc>
        <w:tc>
          <w:tcPr>
            <w:tcW w:w="1080" w:type="dxa"/>
            <w:vAlign w:val="bottom"/>
            <w:gridSpan w:val="3"/>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from AOCL</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from AOCL</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0" w:type="dxa"/>
            <w:vAlign w:val="bottom"/>
          </w:tcPr>
          <w:p>
            <w:pPr>
              <w:spacing w:after="0"/>
              <w:rPr>
                <w:sz w:val="1"/>
                <w:szCs w:val="1"/>
                <w:color w:val="auto"/>
              </w:rPr>
            </w:pPr>
          </w:p>
        </w:tc>
      </w:tr>
      <w:tr>
        <w:trPr>
          <w:trHeight w:val="37"/>
        </w:trPr>
        <w:tc>
          <w:tcPr>
            <w:tcW w:w="4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before tax</w:t>
            </w:r>
          </w:p>
        </w:tc>
        <w:tc>
          <w:tcPr>
            <w:tcW w:w="640" w:type="dxa"/>
            <w:vAlign w:val="bottom"/>
            <w:tcBorders>
              <w:bottom w:val="single" w:sz="8" w:color="CFF0FC"/>
            </w:tcBorders>
            <w:shd w:val="clear" w:color="auto" w:fill="CFF0FC"/>
          </w:tcPr>
          <w:p>
            <w:pPr>
              <w:jc w:val="right"/>
              <w:ind w:right="45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FF0FC"/>
            </w:tcBorders>
            <w:shd w:val="clear" w:color="auto" w:fill="CFF0FC"/>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FF0FC"/>
            </w:tcBorders>
            <w:gridSpan w:val="2"/>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FF0FC"/>
            </w:tcBorders>
            <w:shd w:val="clear" w:color="auto" w:fill="CFF0FC"/>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22"/>
                <w:szCs w:val="22"/>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Asset Sales</w:t>
            </w:r>
          </w:p>
        </w:tc>
        <w:tc>
          <w:tcPr>
            <w:tcW w:w="0" w:type="dxa"/>
            <w:vAlign w:val="bottom"/>
          </w:tcPr>
          <w:p>
            <w:pPr>
              <w:spacing w:after="0"/>
              <w:rPr>
                <w:sz w:val="1"/>
                <w:szCs w:val="1"/>
                <w:color w:val="auto"/>
              </w:rPr>
            </w:pPr>
          </w:p>
        </w:tc>
      </w:tr>
      <w:tr>
        <w:trPr>
          <w:trHeight w:val="257"/>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64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2"/>
                <w:szCs w:val="22"/>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2"/>
                <w:szCs w:val="22"/>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Taxes</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of tax</w:t>
            </w:r>
          </w:p>
        </w:tc>
        <w:tc>
          <w:tcPr>
            <w:tcW w:w="640" w:type="dxa"/>
            <w:vAlign w:val="bottom"/>
            <w:tcBorders>
              <w:bottom w:val="single" w:sz="8" w:color="CFF0FC"/>
            </w:tcBorders>
            <w:shd w:val="clear" w:color="auto" w:fill="CFF0FC"/>
          </w:tcPr>
          <w:p>
            <w:pPr>
              <w:jc w:val="right"/>
              <w:ind w:right="45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FF0FC"/>
            </w:tcBorders>
            <w:shd w:val="clear" w:color="auto" w:fill="CFF0FC"/>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FF0FC"/>
            </w:tcBorders>
            <w:gridSpan w:val="2"/>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FF0FC"/>
            </w:tcBorders>
            <w:shd w:val="clear" w:color="auto" w:fill="CFF0FC"/>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22"/>
                <w:szCs w:val="22"/>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486"/>
        </w:trPr>
        <w:tc>
          <w:tcPr>
            <w:tcW w:w="4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and unrecognized</w:t>
            </w:r>
          </w:p>
        </w:tc>
        <w:tc>
          <w:tcPr>
            <w:tcW w:w="6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gains and losses</w:t>
            </w:r>
          </w:p>
        </w:tc>
        <w:tc>
          <w:tcPr>
            <w:tcW w:w="640" w:type="dxa"/>
            <w:vAlign w:val="bottom"/>
            <w:tcBorders>
              <w:bottom w:val="single" w:sz="8" w:color="CFF0FC"/>
            </w:tcBorders>
            <w:shd w:val="clear" w:color="auto" w:fill="CFF0FC"/>
          </w:tcPr>
          <w:p>
            <w:pPr>
              <w:jc w:val="right"/>
              <w:ind w:right="457"/>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FF0FC"/>
            </w:tcBorders>
            <w:shd w:val="clear" w:color="auto" w:fill="CFF0FC"/>
          </w:tcPr>
          <w:p>
            <w:pPr>
              <w:spacing w:after="0"/>
              <w:rPr>
                <w:sz w:val="20"/>
                <w:szCs w:val="20"/>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0" w:type="dxa"/>
            <w:vAlign w:val="bottom"/>
          </w:tcPr>
          <w:p>
            <w:pPr>
              <w:spacing w:after="0"/>
              <w:rPr>
                <w:sz w:val="1"/>
                <w:szCs w:val="1"/>
                <w:color w:val="auto"/>
              </w:rPr>
            </w:pPr>
          </w:p>
        </w:tc>
      </w:tr>
      <w:tr>
        <w:trPr>
          <w:trHeight w:val="23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Immediate recognition of prior service cost and</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gains and losses due to curtailments,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 and divestitures</w:t>
            </w:r>
          </w:p>
        </w:tc>
        <w:tc>
          <w:tcPr>
            <w:tcW w:w="64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Unrecognized net actuarial losses and</w:t>
            </w: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prior service costs, before tax</w:t>
            </w:r>
          </w:p>
        </w:tc>
        <w:tc>
          <w:tcPr>
            <w:tcW w:w="640" w:type="dxa"/>
            <w:vAlign w:val="bottom"/>
            <w:tcBorders>
              <w:bottom w:val="single" w:sz="8" w:color="CFF0FC"/>
            </w:tcBorders>
            <w:shd w:val="clear" w:color="auto" w:fill="CFF0FC"/>
          </w:tcPr>
          <w:p>
            <w:pPr>
              <w:jc w:val="right"/>
              <w:ind w:right="457"/>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146</w:t>
            </w:r>
          </w:p>
        </w:tc>
        <w:tc>
          <w:tcPr>
            <w:tcW w:w="100" w:type="dxa"/>
            <w:vAlign w:val="bottom"/>
            <w:tcBorders>
              <w:bottom w:val="single" w:sz="8" w:color="CFF0FC"/>
            </w:tcBorders>
            <w:shd w:val="clear" w:color="auto" w:fill="CFF0FC"/>
          </w:tcPr>
          <w:p>
            <w:pPr>
              <w:spacing w:after="0"/>
              <w:rPr>
                <w:sz w:val="20"/>
                <w:szCs w:val="20"/>
                <w:color w:val="auto"/>
              </w:rPr>
            </w:pPr>
          </w:p>
        </w:tc>
        <w:tc>
          <w:tcPr>
            <w:tcW w:w="2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640" w:type="dxa"/>
            <w:vAlign w:val="bottom"/>
          </w:tcPr>
          <w:p>
            <w:pPr>
              <w:spacing w:after="0"/>
              <w:rPr>
                <w:sz w:val="22"/>
                <w:szCs w:val="22"/>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Taxes</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of tax</w:t>
            </w:r>
          </w:p>
        </w:tc>
        <w:tc>
          <w:tcPr>
            <w:tcW w:w="640" w:type="dxa"/>
            <w:vAlign w:val="bottom"/>
            <w:tcBorders>
              <w:bottom w:val="single" w:sz="8" w:color="CFF0FC"/>
            </w:tcBorders>
            <w:shd w:val="clear" w:color="auto" w:fill="CFF0FC"/>
          </w:tcPr>
          <w:p>
            <w:pPr>
              <w:jc w:val="right"/>
              <w:ind w:right="457"/>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103</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143</w:t>
            </w:r>
          </w:p>
        </w:tc>
        <w:tc>
          <w:tcPr>
            <w:tcW w:w="100" w:type="dxa"/>
            <w:vAlign w:val="bottom"/>
            <w:tcBorders>
              <w:bottom w:val="single" w:sz="8" w:color="CFF0FC"/>
            </w:tcBorders>
            <w:shd w:val="clear" w:color="auto" w:fill="CFF0FC"/>
          </w:tcPr>
          <w:p>
            <w:pPr>
              <w:spacing w:after="0"/>
              <w:rPr>
                <w:sz w:val="22"/>
                <w:szCs w:val="22"/>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70"/>
        </w:trPr>
        <w:tc>
          <w:tcPr>
            <w:tcW w:w="4180" w:type="dxa"/>
            <w:vAlign w:val="bottom"/>
            <w:tcBorders>
              <w:bottom w:val="single" w:sz="8" w:color="CFF0FC"/>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7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w:t>
            </w:r>
          </w:p>
        </w:tc>
        <w:tc>
          <w:tcPr>
            <w:tcW w:w="640" w:type="dxa"/>
            <w:vAlign w:val="bottom"/>
            <w:tcBorders>
              <w:bottom w:val="single" w:sz="8" w:color="auto"/>
            </w:tcBorders>
            <w:shd w:val="clear" w:color="auto" w:fill="CFF0FC"/>
          </w:tcPr>
          <w:p>
            <w:pPr>
              <w:jc w:val="right"/>
              <w:ind w:right="45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103</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FF0FC"/>
          </w:tcPr>
          <w:p>
            <w:pPr>
              <w:ind w:left="520"/>
              <w:spacing w:after="0"/>
              <w:rPr>
                <w:sz w:val="20"/>
                <w:szCs w:val="20"/>
                <w:color w:val="auto"/>
              </w:rPr>
            </w:pPr>
            <w:r>
              <w:rPr>
                <w:rFonts w:ascii="Times New Roman" w:cs="Times New Roman" w:eastAsia="Times New Roman" w:hAnsi="Times New Roman"/>
                <w:sz w:val="18"/>
                <w:szCs w:val="18"/>
                <w:b w:val="1"/>
                <w:bCs w:val="1"/>
                <w:color w:val="auto"/>
              </w:rPr>
              <w:t>69</w:t>
            </w:r>
          </w:p>
        </w:tc>
        <w:tc>
          <w:tcPr>
            <w:tcW w:w="10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151</w:t>
            </w:r>
          </w:p>
        </w:tc>
        <w:tc>
          <w:tcPr>
            <w:tcW w:w="100" w:type="dxa"/>
            <w:vAlign w:val="bottom"/>
            <w:tcBorders>
              <w:bottom w:val="single" w:sz="8" w:color="CFF0FC"/>
            </w:tcBorders>
            <w:shd w:val="clear" w:color="auto" w:fill="CFF0FC"/>
          </w:tcPr>
          <w:p>
            <w:pPr>
              <w:spacing w:after="0"/>
              <w:rPr>
                <w:sz w:val="24"/>
                <w:szCs w:val="24"/>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7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-33655</wp:posOffset>
            </wp:positionV>
            <wp:extent cx="603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-222250</wp:posOffset>
            </wp:positionV>
            <wp:extent cx="596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-33655</wp:posOffset>
            </wp:positionV>
            <wp:extent cx="596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-33655</wp:posOffset>
            </wp:positionV>
            <wp:extent cx="603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-222250</wp:posOffset>
            </wp:positionV>
            <wp:extent cx="603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-33655</wp:posOffset>
            </wp:positionV>
            <wp:extent cx="603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-582295</wp:posOffset>
            </wp:positionV>
            <wp:extent cx="596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-582295</wp:posOffset>
            </wp:positionV>
            <wp:extent cx="603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-1079500</wp:posOffset>
            </wp:positionV>
            <wp:extent cx="603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-1079500</wp:posOffset>
            </wp:positionV>
            <wp:extent cx="596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-1079500</wp:posOffset>
            </wp:positionV>
            <wp:extent cx="603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-1079500</wp:posOffset>
            </wp:positionV>
            <wp:extent cx="603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-2348230</wp:posOffset>
            </wp:positionV>
            <wp:extent cx="596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-2348230</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-2348230</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-2870835</wp:posOffset>
            </wp:positionV>
            <wp:extent cx="60325" cy="1631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-2870835</wp:posOffset>
            </wp:positionV>
            <wp:extent cx="60325" cy="1631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-3085465</wp:posOffset>
            </wp:positionV>
            <wp:extent cx="596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-3085465</wp:posOffset>
            </wp:positionV>
            <wp:extent cx="603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details of comprehensive income (loss) attributable to minority shareholders: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24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21"/>
                <w:szCs w:val="21"/>
                <w:color w:val="auto"/>
              </w:rPr>
            </w:pPr>
          </w:p>
        </w:tc>
      </w:tr>
      <w:tr>
        <w:trPr>
          <w:trHeight w:val="37"/>
        </w:trPr>
        <w:tc>
          <w:tcPr>
            <w:tcW w:w="5440" w:type="dxa"/>
            <w:vAlign w:val="bottom"/>
            <w:tcBorders>
              <w:bottom w:val="single" w:sz="8" w:color="CFF0FC"/>
            </w:tcBorders>
          </w:tcPr>
          <w:p>
            <w:pPr>
              <w:spacing w:after="0"/>
              <w:rPr>
                <w:sz w:val="3"/>
                <w:szCs w:val="3"/>
                <w:color w:val="auto"/>
              </w:rPr>
            </w:pPr>
          </w:p>
        </w:tc>
        <w:tc>
          <w:tcPr>
            <w:tcW w:w="26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57"/>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Minority Shareholders</w:t>
            </w:r>
          </w:p>
        </w:tc>
        <w:tc>
          <w:tcPr>
            <w:tcW w:w="56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2"/>
                <w:szCs w:val="22"/>
                <w:color w:val="auto"/>
              </w:rPr>
            </w:pPr>
          </w:p>
        </w:tc>
      </w:tr>
      <w:tr>
        <w:trPr>
          <w:trHeight w:val="25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3"/>
        </w:trPr>
        <w:tc>
          <w:tcPr>
            <w:tcW w:w="54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4"/>
                <w:szCs w:val="24"/>
                <w:color w:val="auto"/>
              </w:rPr>
            </w:pPr>
          </w:p>
        </w:tc>
      </w:tr>
      <w:tr>
        <w:trPr>
          <w:trHeight w:val="25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60" w:type="dxa"/>
            <w:vAlign w:val="bottom"/>
          </w:tcPr>
          <w:p>
            <w:pPr>
              <w:spacing w:after="0"/>
              <w:rPr>
                <w:sz w:val="21"/>
                <w:szCs w:val="21"/>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21"/>
                <w:szCs w:val="21"/>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tcPr>
          <w:p>
            <w:pPr>
              <w:spacing w:after="0"/>
              <w:rPr>
                <w:sz w:val="21"/>
                <w:szCs w:val="21"/>
                <w:color w:val="auto"/>
              </w:rPr>
            </w:pPr>
          </w:p>
        </w:tc>
      </w:tr>
      <w:tr>
        <w:trPr>
          <w:trHeight w:val="27"/>
        </w:trPr>
        <w:tc>
          <w:tcPr>
            <w:tcW w:w="5440" w:type="dxa"/>
            <w:vAlign w:val="bottom"/>
            <w:tcBorders>
              <w:bottom w:val="single" w:sz="8" w:color="CFF0FC"/>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02"/>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Minority Shareholders</w:t>
            </w:r>
          </w:p>
        </w:tc>
        <w:tc>
          <w:tcPr>
            <w:tcW w:w="56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FF0FC"/>
            </w:tcBorders>
            <w:shd w:val="clear" w:color="auto" w:fill="CFF0FC"/>
          </w:tcPr>
          <w:p>
            <w:pPr>
              <w:ind w:left="76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20" w:type="dxa"/>
            <w:vAlign w:val="bottom"/>
          </w:tcPr>
          <w:p>
            <w:pPr>
              <w:spacing w:after="0"/>
              <w:rPr>
                <w:sz w:val="24"/>
                <w:szCs w:val="24"/>
                <w:color w:val="auto"/>
              </w:rPr>
            </w:pPr>
          </w:p>
        </w:tc>
      </w:tr>
      <w:tr>
        <w:trPr>
          <w:trHeight w:val="20"/>
        </w:trPr>
        <w:tc>
          <w:tcPr>
            <w:tcW w:w="54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17"/>
        </w:trPr>
        <w:tc>
          <w:tcPr>
            <w:tcW w:w="5440" w:type="dxa"/>
            <w:vAlign w:val="bottom"/>
          </w:tcPr>
          <w:p>
            <w:pPr>
              <w:spacing w:after="0"/>
              <w:rPr>
                <w:sz w:val="24"/>
                <w:szCs w:val="24"/>
                <w:color w:val="auto"/>
              </w:rPr>
            </w:pPr>
          </w:p>
        </w:tc>
        <w:tc>
          <w:tcPr>
            <w:tcW w:w="5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30</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-591185</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-591185</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-779145</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-1516380</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-1516380</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1180"/>
        <w:spacing w:after="0" w:line="445"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color w:val="auto"/>
        </w:rPr>
        <w:t xml:space="preserve">All per share amounts are diluted and refer to Goodyear net income (loss). </w:t>
      </w:r>
      <w:r>
        <w:rPr>
          <w:rFonts w:ascii="Times New Roman" w:cs="Times New Roman" w:eastAsia="Times New Roman" w:hAnsi="Times New Roman"/>
          <w:sz w:val="18"/>
          <w:szCs w:val="18"/>
          <w:b w:val="1"/>
          <w:bCs w:val="1"/>
          <w:u w:val="single" w:color="auto"/>
          <w:color w:val="auto"/>
        </w:rPr>
        <w:t>OVERVIEW</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Goodyear Tire &amp; Rubber Company (the "Company," "Goodyear," "we," "us" or "our") is one of the world’s leading manufacturers of tires, with one of the most recognizable brand names in the world and operations in most regions of the world. We have a broad global footprint with 46 manufacturing facilities in 19 countries, including the United States. We operate our business through three operating segments representing our regional tire businesses: Americas; Europe, Middle East and Africa (“EMEA”); and Asia Pacific.</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Results of Operations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results for the third quarter of 2026 include a 3.3% decrease in tire unit shipments compared to 2025 driven by planned rationalization of lower-tier product offerings and market softness. In the third quarter of 2026, we also experienced approximately $69 million of inflationary cost pressures.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in the third quarter of 2026 were $4,540 million, compared to $4,645 million in the third quarter of 2025. Net sales decreased in 2026 primarily due to the impacts of our divestitures and lower tire volume. These decreases were partially offset by favorable price and product mix.</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third quarter of 2026, Goodyear net loss was $238 million, or $0.82 per share, compared to $2,195 million, or $7.62 per share, in the third quarter of 2025. The change in Goodyear net loss was primarily due to a decrease in U.S. and Foreign Tax Expense, primarily related to the establishment of a full valuation allowance on our net deferred tax assets in the U.S. in 2025, and a non-cash goodwill impairment charge in 2025.</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segment operating income for the third quarter of 2026 was $174 million, compared to $287 million in the third quarter of 2025. The $113 million decrease was primarily due to increased conversion costs of $138 million, driven by the effect of lower tire production on fixed cost absorption and inflation, the impact of our divestitures, including $33 million related to the sale of the chemical business and $33 million related to the sale of the Dunlop brand, excluding the favorable impact of the Dunlop offtake supply agreement of $10 million, higher raw material costs of $29 million, an increase in other costs of $28 million, primarily driven by higher transportation costs, lower tire volume of $16 million, higher Selling, Administrative and General Expense ("SAG") of $15 million, lower earnings in other tire-related businesses of $11 million, primarily related to Fleet Solutions in EMEA, higher net tariff costs of $8 million and the negative impacts of a strike and earthquake in Colombia of $6 million ($6 million after-tax and minority). These decreases were partially offset by benefits from favorable price and product mix of $105 million and our Goodyear Forward transformation plan ("Goodyear Forward") of $90 million. Refer to "Results of Operations — Segment Information" for additional information.</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first nine months of 2026 were $12,671 million, compared to $13,363 million in the first nine months of 2025. Net sales decreased in 2026 primarily due to lower tire volume and the impacts of our divestitures. These decreases were partially offset by favorable price and product mix and the positive impact of changes in foreign exchange rates.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nine months of 2026, Goodyear net loss was $691 million, or $2.39 per share, compared to $1,826 million, or $6.35 per share, in the first nine months of 2025. The change in Goodyear net loss was primarily due to a decrease in U.S. and Foreign Tax Expense, primarily related to the establishment of a full valuation allowance on our net deferred tax assets in the U.S. in 2025, and a non-cash goodwill impairment charge in 2025, partially offset by a gain on the sale of the Dunlop brand and off-the-road ("OTR") tire business in 2025 and higher rationalization charges.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segment operating income for the first nine months of 2026 was $305 million, compared to $641 million in the first nine months of 2025. The $336 million decrease was primarily due to increased conversion costs of $458 million, driven by the effect of lower tire production on fixed cost absorption and inflation, lower tire volume of $137 million, the impact of our divestitures, including $95 million related to the sale of the chemical business and $63 million related to the sale of the Dunlop brand, excluding the favorable impact of the Dunlop offtake supply agreement of $21 million, higher SAG of $60 million, higher net tariff costs of $52 million, lower earnings related to other tire-related businesses of $29 million, primarily related to Fleet Solutions in EMEA, and higher transportation costs of $22 million. These decreases were partially offset by benefits from the Goodyear Forward plan of $292 million, favorable price and product mix of $152 million and lower raw material costs of $150 million. Refer to "Results of Operations —Segment Information" for additional information.</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30, 2026, we reached a tentative agreement with the United Steelworkers ("USW") on a new master labor contract covering nearly 2,400 workers at three plants in the United States. The agreement was ratified by USW members on August 23, 2026, and will remain in effect through April 28, 2029.</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Liquidity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4, 2026, we issued $1,050 million in aggregate principal amount of 8.875% senior notes due 2032. We intend to use the net proceeds from this offering to repay, redeem or repurchase our 4.875% senior notes due 2027 and our 7.625% senior notes due 2027 at or prior to their respective maturity. Pending such repayment, redemption or repurchase, we temporarily applied the proceeds to repay outstanding balances under certain revolving credit facilities.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2026, we had $812 million in cash and cash equivalents as well as $3,639 million of unused availability under our various credit agreements, compared to $801 million and $4,421 million, respectively, at December 31, 2025. For the nine months ended September 30, 2026, net cash used for operating activities was $764 million, reflecting our cash used for working capital of $871 million. Net cash used for investing activities was $441 million, primarily representing capital expenditures of $481 million. Net cash provided by financing activities was $1,171 million, primarily due to net borrowings of $1,209 million, including the issuance of $1,050 million of new senior notes. Refer to "Liquidity and Capital Resources" for additional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Outlook</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macroeconomic, regulatory and geopolitical uncertainties pressuring consumer and commercial replacement markets, we expect global unit volumes in the fourth quarter of 2026 to be down slightly compared with the fourth quarter of 2025. Given our production levels in the third quarter of 2026, we expect higher unabsorbed overhead costs of approximately $45 million in the fourth quarter of 2026 compared to the fourth quarter of 2025.</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our Goodyear Forward plan to deliver approximately $110 million of incremental savings in the fourth quarter of 2026 compared to the fourth quarter of 2025.</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current spot prices, we expect raw material costs to be unfavorable by approximately $170 million in the fourth quarter of 2026 compared to the fourth quarter of 2025. Natural and synthetic rubber prices and other commodity prices historically have been volatile, and our raw material costs could change based on future price fluctuations and changes in foreign exchange rates. We continue to focus on price and product mix, to substitute lower cost materials where possible, to work to identify additional substitution opportunities, and to reduce the amount of material required in each tire to minimize the impact of higher raw material costs.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inflation and other costs will increase approximately $110 million in the fourth quarter of 2026 compared to the fourth quarter of 2025.</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also to “Liquidity and Capital Resources” for commentary regarding our outlook on 2026 cash flow; “Forward-Looking Information – Safe Harbor Statement” for a discussion of our use of forward-looking statements; and “Item 1A. Risk Factors” in our 2025 Form 10-K for a discussion of the risk factors that may impact our business, results of operations, financial condition or liquidity.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2026 and 2025</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third quarter of 2026 were $4,540 million, decreasing $105 million, or 2.3%, from $4,645 million in the third quarter of 2025. Goodyear net loss was $238 million, or $0.82 per share, in the third quarter of 2026, compared to Goodyear net loss of $2,195 million, or $7.62 per share, in the third quarter of 2025.</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decreased in the third quarter of 2026 primarily due to the impacts of our divestitures, including $117 million related to the sale of the chemical business and $116 million related to the sale of the Dunlop brand, excluding the favorable impact of the Dunlop offtake supply agreement of $56 million, and lower tire volume of $75 million. These decreases were partially offset by favorable price and product mix of $153 million.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Worldwide tire unit sales in the third quarter of 2026 were 38.6 million units, decreasing 1.4 million units, or 3.3%, from 40.0 million units in the third quarter of 2025 due to planned rationalization of lower-tier product offerings and market softness. Replacement tire volume decreased globally by 1.7 million units, or 5.8%. OE tire volume increased by 0.3 million units, or 3.1%, driven by Americas and EMEA.</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 of Goods Sold ("CGS") in the third quarter of 2026 was $3,817 million, increasing $16 million, or 0.4%, from $3,801 million in the third quarter of 2025. CGS increased primarily due to higher conversion costs of $138 million, unfavorable product mix of $48 million, an increase in other costs of $30 million, primarily driven by higher transportation costs, higher raw material costs of $29 million, an increase in asset write-offs, accelerated depreciation and accelerated lease charges of $18 million, higher costs related to other tire-related businesses of $12 million, primarily related to Fleet Solutions, higher net tariff costs of $8 million and the negative impacts of a strike and earthquake in Colombia of $6 million ($6 million after-tax and minority). These increases were partially offset by impacts related to divestitures, including $79 million related to the sale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chemical business and $83 million related to the sale of the Dunlop brand, excluding increased offtake supply agreement costs of $46 million, savings related to the Goodyear Forward plan of $86 million, lower tire volume of $59 million, and foreign currency translation of $10 million.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CGS in the third quarter of 2026 and 2025 included pension expense of $3 million for each period. CGS was 84.1% of sales in the third quarter of 2026, compared to 81.8% in the third quarter of 2025.</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SAG in the third quarter of 2026 was $665 million, decreasing $11 million, or 1.6%, from $676 million in the third quarter of 2025. SAG decreased primarily due to impacts related to divestitures, including $5 million related to the sale of the chemical business, savings related to the Goodyear Forward plan of $4 million and a decrease in asset write-offs, accelerated depreciation and accelerated lease charges of $2 million. These decreases were partially offset by increased advertising expenses of $5 million. SAG in the third quarter of 2025 also included costs related to the Goodyear Forward plan of $4 million ($4 million after-tax and minority).</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SAG in both the third quarter of 2026 and 2025 included pension expense of $2 million. SAG in both the third quarter of 2026 and 2025 was 14.6% of sales.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recorded a goodwill impairment charge of $674 million ($674 million after-tax and minority) in the third quarter of 2025 related to our North America reporting unit.</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recorded net rationalization charges of $148 million ($143 million after-tax and minority) in the third quarter of 2026 and $21 million ($21 million after-tax and minority) in the third quarter of 2025. Net rationalization charges in the third quarter of 2026 primarily related to plans to close our Fayetteville, North Carolina tire manufacturing facility ("Fayetteville"), reduce manufacturing expenses globally and close our chemical manufacturing facilities in Niagara Falls, New York (“Niagara Falls”) and Bayport, Texas (“Bayport”). Net rationalization charges in the third quarter of 2025 primarily related to the plan to close our manufacturing facility in Kariega, South Africa ("Kariega") in EMEA, the elimination of commercial tire production at our Danville, Virginia tire manufacturing facility ("Danville"), the closures of our Fulda and Fürstenwalde, Germany tire manufacturing facilities ("Fulda and Fürstenwalde") and the plan to reduce SAG headcount in Americas and Corporate. For further information, refer to Note to the Consolidated Financial Statements No. 3, Costs Associated with Rationalization Programs.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CGS and SAG in the third quarter of 2026 and 2025 included $71 million ($71 million after-tax and minority) and $55 million ($55 million after-tax and minority), respectively, of asset write-offs, accelerated depreciation and accelerated lease charges, primarily related to rationalization activities.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 the third quarter of 2026 was $111 million, decreasing $3 million, or 2.6%, from $114 million in the third quarter of 2025. The average interest rate was 6.1% in the third quarter of 2026 compared to 5.7% in the third quarter of 2025. The average debt balance was $7,280 million in the third quarter of 2026 compared to $7,946 million in the third quarter of 2025.</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third quarter of 2026 included net gains on asset sales of $9 million ($6 million after-tax and minority), compared to net losses on asset sales of $1 million ($1 million after-tax and minority) in the third quarter of 2025.</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Expense in the third quarter of 2026 was $19 million of expense, compared to $91 million in the third quarter of 2025. The decrease in Other (Income) Expense was primarily due to a decrease in non-service related pension and other postretirement benefits cost of $75 million, primarily due to a pension settlement charge of $68 million ($68 million after-tax and minority) in the third quarter of 2025. The third quarter of 2025 also included transaction costs of $4 million ($4 million after-tax and minority), primarily related to the sale of the chemical business.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third quarter of 2026, we recorded income tax expense of $28 million on a loss before income taxes of $211 million. Income tax expense for the three months ended September 30, 2026 included net discrete tax benefits of $7 million ($7 million after minority interest). In the third quarter of 2025, we recorded income tax expense of $1,464 million on a loss before income taxes of $733 million. Income tax expense for the three months ended September 30, 2025 included net discrete tax expense of $1,450 million ($1,450 million after minority interest), primarily related to the establishment of a full valuation allowance on our net deferred tax assets in the U.S.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the three months ended September 30, 2026 primarily relates to losses in the U.S. and foreign jurisdictions in which no tax benefits are recorded and the discrete items noted above. The difference between our effective tax rate and the U.S. statutory rate of 21% for the three months ended September 30, 2025 was mainly impacted by the establishment of a full valuation allowance on our net deferred tax assets of $1.4 billion in the U.S.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income taxes and the realizability of our deferred tax assets, refer to Note to the Consolidated Financial Statements No. 5, Income Taxes.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440"/>
        <w:spacing w:after="0" w:line="375" w:lineRule="auto"/>
        <w:rPr>
          <w:sz w:val="20"/>
          <w:szCs w:val="20"/>
          <w:color w:val="auto"/>
        </w:rPr>
      </w:pPr>
      <w:r>
        <w:rPr>
          <w:rFonts w:ascii="Times New Roman" w:cs="Times New Roman" w:eastAsia="Times New Roman" w:hAnsi="Times New Roman"/>
          <w:sz w:val="18"/>
          <w:szCs w:val="18"/>
          <w:color w:val="auto"/>
        </w:rPr>
        <w:t xml:space="preserve">There was $1 million of minority shareholders’ net loss in the third quarter of 2026, compared to $2 million in the third quarter of 2025. </w:t>
      </w:r>
      <w:r>
        <w:rPr>
          <w:rFonts w:ascii="Times New Roman" w:cs="Times New Roman" w:eastAsia="Times New Roman" w:hAnsi="Times New Roman"/>
          <w:sz w:val="18"/>
          <w:szCs w:val="18"/>
          <w:b w:val="1"/>
          <w:bCs w:val="1"/>
          <w:i w:val="1"/>
          <w:iCs w:val="1"/>
          <w:color w:val="auto"/>
        </w:rPr>
        <w:t>Nine Months Ended September 30, 2026 and 2025</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first nine months of 2026 were $12,671 million, a decrease of $692 million, or 5.2%, from $13,363 million in the first nine months of 2025. Goodyear net loss was $691 million, or $2.39 per share, in the first nine months of 2026, compared to Goodyear net loss of $1,826 million, or $6.35 per share, in the first nine months of 2025.</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decreased in the first nine months of 2026 primarily due to lower tire volume of $660 million and the impacts of our divestitures, including $361 million related to the sale of the chemical business and $297 million related to the sale of the Dunlop brand, excluding the favorable impact of the Dunlop offtake supply agreement of $151 million. These decreases were partially offset by favorable price and product mix of $267 million and the positive impact of changes in foreign exchange rates of $211 million.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Worldwide tire unit sales in the first nine months of 2026 were 109.1 million units, decreasing 7.3 million units, or 6.3%, from 116.4 million units in the first nine months of 2025 due to weakness in the replacement industry, increased competitiveness and planned rationalization of lower-tier product offerings. Replacement tire volume decreased globally by 8.8 million units, or 10.7%. OE tire volume increased by 1.5 million units, or 4.5%, driven by Americas and EMEA.</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CGS in the first nine months of 2026 was $10,574 million, decreasing $445 million, or 4.0%, from $11,019 million in the first nine months of 2025. CGS decreased primarily due to lower tire volume of $523 million, impacts related to divestitures, including $250 million related to the sale of the chemical business and $234 million related to the sale of the Dunlop brand, excluding increased offtake supply agreement costs of $130 million, savings related to the Goodyear Forward plan of $262 million, lower raw material costs of $150 million, and a decrease in asset write-offs, accelerated depreciation and accelerated lease charges of $49 million. These decreases were partially offset by higher conversion costs of $458 million, foreign currency translation of $167 million, unfavorable product mix of $115 million, other costs of $64 million, primarily driven by higher transportation costs, higher net tariff costs of $52 million, higher costs related to other tire-related businesses of $20 million, primarily related to Fleet Solutions, the negative impacts of a strike and earthquake in Colombia of $13 million ($13 million after-tax and minority), and a charge related to an expected settlement of a prior year tax matter in one of our foreign locations of $8 million ($8 million after-tax and minority).</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CGS in the first nine months of 2026 and 2025 included pension expense of $8 million and $9 million, respectively. CGS was 83.5% of sales in the first nine months of 2026, compared to 82.5% in the first nine months of 2025.</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SAG in the first nine months of 2026 was $2,036 million, increasing $18 million, or 0.9%, from $2,018 million in the first nine months of 2025. SAG increased primarily due to foreign currency translation of $38 million, other costs of $29 million, primarily related to inflation, and higher advertising costs of $8 million. These increases were partially offset by savings related to the Goodyear Forward plan of $27 million, impacts related to divestitures, including $16 million related to the sale of the chemical business, and a decrease in asset write-offs, accelerated depreciation and accelerated lease charges of $6 million. SAG in the first nine months of 2025 also included costs related to the Goodyear Forward plan of $9 million ($9 million after-tax and minority).</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SAG in the first nine months of 2026 and 2025 included pension expense of $7 million for each period. SAG was 16.1% of sales in the first nine months of 2026, compared to 15.1% in the first nine months of 2025.</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a goodwill impairment charge of $674 million ($674 million after-tax and minority) in the first nine months of 2025 related to our North America reporting unit.</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recorded net rationalization charges of $281 million ($267 million after-tax and minority) in the first nine months of 2026 and $161 million ($140 million after-tax and minority) in the first nine months of 2025. Net rationalization charges in the first nine months of 2026 primarily related to plans to close Fayetteville, reduce manufacturing expenses globally, close Niagara Falls and Bayport, improve EMEA's cost structure, reduce headcount globally, close the Tall Timbers mold plant in Findlay, Ohio ("Tall Timbers"), reduce global SAG, and close Fulda and Fürstenwalde. Net rationalization charges in the first nine months of 2025 primarily related to the closure of Kariega, the elimination of commercial tire production at Danville, the closures of Fulda and Fürstenwalde, and a plan to reduce SAG headcount in Americas and Corporate. For further information, refer to Note to the Consolidated Financial Statements No. 3, Costs Associated with Rationalization Programs.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CGS and SAG in the first nine months of 2026 included $87 million ($87 million after-tax and minority) of asset write-offs, accelerated depreciation and accelerated lease charges, primarily related to Fulda, Fürstenwalde and Tall Timbers. CGS and SAG in the first nine months of 2025 included $142 million ($131 million after-tax and minority) of asset write offs, accelerated depreciation and accelerated lease charges, primarily related to Fulda, Fürstenwalde and Danville.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 the first nine months of 2026 was $311 million, decreasing $30 million, or 8.8%, from $341 million in the first nine months of 2025. The average interest rate was 5.9% in the first nine months of 2026 compared to 5.7% in the first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nine months of 2025. The average debt balance was $6,986 million in the first nine months of 2026 compared to $7,930 million in the first nine months of 2025.</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first nine months of 2026 include net gains on asset sales of $29 million ($23 million after-tax and minority), compared to net gains on asset and other sales of $700 million ($628 million after-tax and minority) in the first nine months of 2025, primarily due to the gain of $385 million ($367 million after-tax and minority) on the sale of Dunlop brand, the gain of $255 million ($231 million after-tax and minority) on the sale of the OTR tire business and gains on other asset sales of $60 million ($30 million after-tax and minority).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Expense in the first nine months of 2026 was $50 million of expense, compared to $147 million in the first nine months of 2025. The decrease in Other (Income) Expense was primarily due to a decrease in non-service related pension and other postretirement benefits cost of $86 million, including pension settlement charges of $72 million ($71 million after-tax and minority) in the first nine months of 2025, and an increase in royalty and other income of $13 million. The first nine months of 2025 also included transaction costs of $10 million ($7 million after-tax and minority), primarily related to the sale of the chemical business.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first nine months of 2026, we recorded income tax expense of $140 million on a loss before income taxes of $552 million. Income tax expense for the nine months ended September 30, 2026 included net discrete tax expense of $19 million ($19 million after minority interest), primarily related to an expected settlement of a prior year tax matter in one of our foreign locations. In the first nine months of 2025, we recorded income tax expense of $1,501 million on a loss before income taxes of $297 million. Income tax expense for the nine months ended September 30, 2025 included net discrete tax expense of $1,446 million ($1,446 million after minority interest), primarily related to the establishment of a full valuation allowance on our net deferred tax assets in the U.S.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the nine months ended September 30, 2026 primarily relates to losses in the U.S. and foreign jurisdictions in which no tax benefits are recorded and the discrete items noted above. The difference between our effective tax rate and the U.S. statutory rate of 21% for the nine months ended September 30, 2025 was mainly impacted by the establishment of a full valuation allowance on our net deferred tax assets of $1.4 billion in the U.S.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September 30, 2026 and December 31, 2025, we had approximately $1.6 billion and $1.4 billion, respectively, of U.S. federal, state and local net deferred tax assets and related valuation allowances totaling $1.6 billion and $1.4 billion, respectively. At September 30, 2026 and December 31, 2025, we also had foreign net deferred tax assets of approximately $1.6 billion and $1.5 billion, respectively, and related valuation allowances of approximately $1.3 billion. Our foreign valuation allowances include a $1.1 billion full valuation allowance on our net deferred tax assets in Luxembourg. Our losses in the U.S. and various foreign taxing jurisdictions in recent periods represented sufficient negative evidence to require us to maintain a full valuation allowance against certain of these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on our U.S. and foreign deferred tax assets will exist within the next twelve months.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have published the Pillar Two model rules which adopt a global corporate minimum tax of 15% for multinational enterprises with average revenue in excess of €750 million. Certain jurisdictions in which we operate enacted legislation consistent with one or more of the OECD Pillar Two model rules effective in 2024. The model rules include minimum domestic top-up taxes, income inclusion rules, and undertaxed profit rules all aimed to ensure that multinational corporations pay a minimum effective corporate tax rate of 15% in each jurisdiction in which they operate. We do not expect the Pillar Two model rules to materially impact our annual effective tax rate in 2026. However, we are continuing to evaluate the Pillar Two model rules and related developments, including the side-by-side safe harbor package for U.S.-based multinationals, and their potential impact on future periods.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income taxes and the realizability of our deferred tax assets, refer to Note to the Consolidated Financial Statements No. 5, Income Taxes.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$1 million of minority shareholders' net loss in the first nine months of 2026, compared to $28 million of net income in the first nine months of 2025, primarily related to the sale of property in Asia Pacific.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information reflects our strategic business units (“SBUs”), which are organized to meet customer requirements and global competition and are segmented on a regional basis.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 and accelerated depreciation charges) and SAG (including certain allocated corporate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administrative expenses). Segment operating income also includes certain royalties and equity in earnings of most affiliates. Segment operating income does not include net rationalization charges, asset sales, goodwill and other impairment charges, and certain other items.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segment operating income for the third quarter of 2026 was $174 million, a decrease of $113 million, or 39.4%, from $287 million in the third quarter of 2025. Total segment operating margin in the third quarter of 2026 was 3.8%, compared to 6.2% in the third quarter of 2025. Total segment operating income for the first nine months of 2026 was $305 million, a decrease of $336 million, or 52.4%, from $641 million in the first nine months of 2025. Total segment operating margin in the first nine months of 2026 was 2.4%, compared to 4.8% in the first nine months of 2025.</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that total segment operating income is useful because it represents the aggregate value of income created by our SBUs and excludes items not directly related to the SBUs for performance evaluation purposes. Total segment operating income is the sum of the individual SBUs’ segment operating income. Refer to Note to the Consolidated Financial Statements No. 7, Business Segments, for further information and for a reconciliation of total segment operating income to Income (Loss) before Income Taxes.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Americas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6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20" w:type="dxa"/>
            <w:vAlign w:val="bottom"/>
          </w:tcPr>
          <w:p>
            <w:pPr>
              <w:spacing w:after="0"/>
              <w:rPr>
                <w:sz w:val="16"/>
                <w:szCs w:val="16"/>
                <w:color w:val="auto"/>
              </w:rPr>
            </w:pPr>
          </w:p>
        </w:tc>
      </w:tr>
      <w:tr>
        <w:trPr>
          <w:trHeight w:val="37"/>
        </w:trPr>
        <w:tc>
          <w:tcPr>
            <w:tcW w:w="20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5"/>
        </w:trPr>
        <w:tc>
          <w:tcPr>
            <w:tcW w:w="2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0"/>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6"/>
                <w:szCs w:val="16"/>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206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57"/>
        </w:trPr>
        <w:tc>
          <w:tcPr>
            <w:tcW w:w="2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2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57"/>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2,675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2,737</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7,120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7,901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7"/>
        </w:trPr>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2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57"/>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-710565</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-710565</wp:posOffset>
            </wp:positionV>
            <wp:extent cx="596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-710565</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-710565</wp:posOffset>
            </wp:positionV>
            <wp:extent cx="603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-710565</wp:posOffset>
            </wp:positionV>
            <wp:extent cx="60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-710565</wp:posOffset>
            </wp:positionV>
            <wp:extent cx="596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-710565</wp:posOffset>
            </wp:positionV>
            <wp:extent cx="60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2026 and 2025</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Americas unit sales in the third quarter of 2026 remained flat at 19.6 million units. Replacement tire volume decreased 0.3 million units, or 2.2%. OE tire volume increased 0.3 million units, or 8.7%, reflecting market share gains.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 the third quarter of 2026 were $2,675 million, decreasing $62 million, or 2.3%, from $2,737 million in the third quarter of 2025. The decrease in net sales was primarily due to the impact of the sale of the chemical business of $117 million. This decrease was partially offset by favorable price and product mix of $42 million and the positive impact of changes in foreign exchange rates of $19 million, primarily related to the strengthening of the Brazilian real and Mexican peso.</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income in the third quarter of 2026 was $96 million, decreasing $110 million, or 53.4%, from $206 million in the third quarter of 2025. The decrease in operating income was due to higher conversion costs of $96 million, driven by the effect of lower tire production on fixed cost absorption and inflation, the impact of the sale of the chemical business of $34 million, higher other costs of $31 million, primarily driven by higher transportation and net tariff costs, and the negative impacts of a strike and earthquake in Colombia of $6 million ($6 million after-tax and minority). These decreases were partially offset by benefits from the Goodyear Forward plan of $52 million.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in the third quarter of 2026 excluded net rationalization charges of $124 million, asset write-offs, accelerated depreciation and accelerated lease costs of $69 million and net gains on asset sales of $1 million. Operating income in the third quarter of 2025 excluded a non-cash goodwill impairment charge of $674 million, asset write-offs, accelerated depreciation and accelerated lease costs of $20 million, net rationalization charges of $4 million and net gains on asset sales of $3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2026 and 2025</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Americas unit sales in the first nine months of 2026 decreased 4.8 million units, or 8.4%, to 52.3 million units. Replacement tire volume decreased 5.8 million units, or 12.6%, primarily due to weakness in the replacement industry, increased competitiveness and planned rationalization of lower-tier product offerings. OE tire volume increased 1.0 million units, or 8.5%, primarily in the U.S., Brazil and Canada.</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 the first nine months of 2026 were $7,120 million, decreasing $781 million, or 9.9%, from $7,901 million in the first nine months of 2025. The decrease in net sales was primarily due to lower tire volume of $528 million and the impact of the sale of the chemical business of $361 million. These decreases were partially offset by the positive impact of changes in foreign exchange rates of $91 million, primarily related to the strengthening of the Brazilian real and Mexican peso.</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in the first nine months of 2026 was $123 million, decreasing $379 million, or 75.5%, from $502 million in the first nine months of 2025. The decrease in operating income was due to higher conversion costs of $307 million, driven by the effect of lower tire production on fixed cost absorption and inflation, lower tire volume of $112 million, the impact of the sale of the chemical business of $98 million, higher net tariff costs of $52 million, higher SAG of $38 million and unfavorable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price and product mix of $37 million. These decreases were partially offset by benefits from the Goodyear Forward plan of $181 million and lower raw material costs of $125 million.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in the first nine months of 2026 excluded net rationalization charges of $138 million, asset write-offs, accelerated depreciation and accelerated lease costs of $76 million and net gains on asset sales of $15 million. Operating income in the first nine months of 2025 excluded a non-cash goodwill impairment charge of $674 million, net rationalization charges of $76 million, asset write-offs, accelerated depreciation and accelerated lease costs of $62 million, and net gains on asset sales of $4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Europe, Middle East and Africa</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80" w:type="dxa"/>
            <w:vAlign w:val="bottom"/>
          </w:tcPr>
          <w:p>
            <w:pPr>
              <w:spacing w:after="0"/>
              <w:rPr>
                <w:sz w:val="16"/>
                <w:szCs w:val="16"/>
                <w:color w:val="auto"/>
              </w:rPr>
            </w:pPr>
          </w:p>
        </w:tc>
      </w:tr>
      <w:tr>
        <w:trPr>
          <w:trHeight w:val="37"/>
        </w:trPr>
        <w:tc>
          <w:tcPr>
            <w:tcW w:w="20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5"/>
        </w:trPr>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6"/>
                <w:szCs w:val="16"/>
                <w:color w:val="auto"/>
              </w:rPr>
            </w:pPr>
          </w:p>
        </w:tc>
        <w:tc>
          <w:tcPr>
            <w:tcW w:w="8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20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7"/>
        </w:trPr>
        <w:tc>
          <w:tcPr>
            <w:tcW w:w="2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2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57"/>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1,355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4,090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4,028</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7"/>
        </w:trPr>
        <w:tc>
          <w:tcPr>
            <w:tcW w:w="2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3"/>
        </w:trPr>
        <w:tc>
          <w:tcPr>
            <w:tcW w:w="2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57"/>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-711200</wp:posOffset>
            </wp:positionV>
            <wp:extent cx="603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-711200</wp:posOffset>
            </wp:positionV>
            <wp:extent cx="603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-711200</wp:posOffset>
            </wp:positionV>
            <wp:extent cx="603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-711200</wp:posOffset>
            </wp:positionV>
            <wp:extent cx="603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-711200</wp:posOffset>
            </wp:positionV>
            <wp:extent cx="603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-711200</wp:posOffset>
            </wp:positionV>
            <wp:extent cx="596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-711200</wp:posOffset>
            </wp:positionV>
            <wp:extent cx="603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2026 and 2025</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EMEA unit sales in the third quarter of 2026 decreased 0.9 million units, or 6.7%, to 11.1 million units. Replacement tire volume decreased 1.1 million units, or 11.3%, primarily in our consumer business, reflecting planned rationalization of lower-tier product offerings and market softness. OE tire volume increased 0.2 million units, or 5.5%, primarily in our consumer business, reflecting share gains driven by new fitments.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the third quarter of 2026 were $1,355 million, decreasing $52 million, or 3.7%, from $1,407 million in the third quarter of 2025. The decrease in net sales was primarily driven by the impact of the sale of the Dunlop brand of $116 million, excluding the favorable impact of the offtake supply agreement of $56 million, lower tire volume of $46 million, and the negative impact of changes in foreign exchange rates of $25 million, driven by a weaker Turkish lira and euro. These decreases were partially offset by favorable price and product mix of $67 million and higher sales in the other tire-related businesses of $10 million, primarily due to Fleet Solutions.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income in the third quarter of 2026 was $12 million, decreasing $18 million, or 60.0%, from $30 million in the third quarter of 2025. The decrease in operating income was primarily due to higher conversion costs of $43 million, the impact of the sale of the Dunlop brand of $33 million, excluding the favorable impact of the offtake supply agreement of $10 million, lower tire volume of $9 million, lower earnings in other tire-related businesses of $9 million, related to Fleet Solutions, higher raw material costs of $9 million, higher SAG of $8 million, and an increase in other costs of $6 million, primarily related to transportation. These decreases were partially offset by favorable price and product mix of $59 million and benefits from the Goodyear Forward plan of $31 million.</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 the third quarter of 2026 excluded net rationalization charges of $18 million, net gains on asset sales of $12 million and asset write-offs, accelerated depreciation and accelerated lease costs of $2 million. Operating income in the third quarter of 2025 excluded asset write-offs, accelerated depreciation and accelerated lease costs of $33 million and net rationalization charges of $16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2026 and 2025</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EMEA unit sales in the first nine months of 2026 decreased 2.1 million units, or 5.8%, to 33.5 million units. Replacement tire volume decreased 2.9 million units, or 11.4%, primarily in our consumer business, reflecting market softness, increased competition and planned rationalization of lower-tier product offerings. OE tire volume increased 0.8 million units, or 7.4%, primarily in our consumer business, reflecting share gains driven by new fitments.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the first nine months of 2026 were $4,090 million, increasing $62 million, or 1.5%, from $4,028 million in the first nine months of 2025. The increase in net sales was driven by favorable price and product mix of $179 million, the positive impact of changes in foreign exchange rates of $127 million, driven by a stronger euro, partially offset by a weaker Turkish lira, and higher sales in the other tire-related businesses of $11 million, primarily related to Fleet Solutions. These increases were partially offset by the impact of the sale of the Dunlop brand of $296 million, excluding the favorable impact of the offtake supply agreement of $151 million, and lower tire volume of $111 million.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loss in the first nine months of 2026 was $4 million, decreasing $4 million from the first nine months of 2025. The change in operating income (loss) was primarily due to higher conversion costs of $148 million, the impact of the sale of the Dunlop brand of $63 million, excluding the favorable impact of the offtake supply agreement of $21 million, higher SAG of $27 million, an increase in other costs of $25 million, primarily related to transportation, lower tire volume of $19 million, lower earnings in other tire-related business of $11 million, related to Fleet Solutions, and unfavorable foreign currency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translation of $7 million. These decreases were partially offset by favorable price and product mix of $141 million, benefits from the Goodyear Forward plan of $92 million, lower raw material costs of $39 million and the impact of the sale of the chemical business of $3 million.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loss in the first nine months of 2026 excluded net rationalizations charges of $126 million, net gains on asset sales of $15 million and asset write-offs, accelerated depreciation and accelerated lease costs of $10 million. Operating income in the first nine months of 2025 excluded asset write-offs, accelerated depreciation and accelerated lease costs of $75 million and net rationalization charges of $71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Asia Pacific</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60" w:type="dxa"/>
            <w:vAlign w:val="bottom"/>
          </w:tcPr>
          <w:p>
            <w:pPr>
              <w:spacing w:after="0"/>
              <w:rPr>
                <w:sz w:val="16"/>
                <w:szCs w:val="16"/>
                <w:color w:val="auto"/>
              </w:rPr>
            </w:pPr>
          </w:p>
        </w:tc>
      </w:tr>
      <w:tr>
        <w:trPr>
          <w:trHeight w:val="37"/>
        </w:trPr>
        <w:tc>
          <w:tcPr>
            <w:tcW w:w="2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5"/>
        </w:trPr>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90"/>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6"/>
                <w:szCs w:val="16"/>
                <w:color w:val="auto"/>
              </w:rPr>
            </w:pPr>
          </w:p>
        </w:tc>
        <w:tc>
          <w:tcPr>
            <w:tcW w:w="7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216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57"/>
        </w:trPr>
        <w:tc>
          <w:tcPr>
            <w:tcW w:w="2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Units</w:t>
            </w:r>
          </w:p>
        </w:tc>
        <w:tc>
          <w:tcPr>
            <w:tcW w:w="22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7"/>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1.8 %  $</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7"/>
        </w:trPr>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2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33.8 %</w:t>
            </w:r>
          </w:p>
        </w:tc>
      </w:tr>
      <w:tr>
        <w:trPr>
          <w:trHeight w:val="257"/>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20" w:type="dxa"/>
            <w:vAlign w:val="bottom"/>
          </w:tcPr>
          <w:p>
            <w:pPr>
              <w:spacing w:after="0"/>
              <w:rPr>
                <w:sz w:val="22"/>
                <w:szCs w:val="22"/>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-711200</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-711200</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-711200</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-711200</wp:posOffset>
            </wp:positionV>
            <wp:extent cx="60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-711200</wp:posOffset>
            </wp:positionV>
            <wp:extent cx="596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-711200</wp:posOffset>
            </wp:positionV>
            <wp:extent cx="60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2026 and 2025</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Asia Pacific unit sales in the third quarter of 2026 decreased 0.5 million units, or 6.0%, to 7.9 million units. Replacement tire volume decreased 0.3 million units, or 8.2%, due to the planned rationalization of smaller rim size tire offerings. OE tire volume decreased 0.2 million units, or 3.9 %, primarily in China.</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third quarter of 2026 were $510 million, increasing $9 million, or 1.8%, from $501 million in the third quarter of 2025. The increase in net sales was primarily due to favorable price and product mix of $44 million. This increase was partially offset by lower tire volume of $28 million, the negative impact of changes in foreign exchange rates of $5 million and lower sales in other tire-related businesses of $1 million.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in the third quarter of 2026 was $66 million, increasing $15 million, or 29.4%, from $51 million in the third quarter of 2025. The increase in operating income was primarily due to favorable price and product mix of $32 million, benefits from the Goodyear Forward plan of $7 million, favorable SAG of $1 million, higher earnings in other tire-related businesses of $1 million and the positive impact of changes in foreign exchange rates of $1 million. These increases were partially offset by higher raw material costs of $22 million and lower tire volume of $7 million.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income in the third quarter of 2026 excluded net rationalization charges of $2 million. Operating income in the third quarter of 2025 excluded asset write-offs, accelerated depreciation and accelerated lease costs of $2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2026 and 2025</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Asia Pacific unit sales in the first nine months of 2026 decreased 0.4 million units, or 1.7%, to 23.3 million units. Replacement tire volume decreased 0.1 million units, or 1.7%, due to the planned rationalization of smaller rim size tire offerings. OE tire volume decreased 0.3 million units, or 1.7%, primarily in China.</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first nine months of 2026 were $1,461 million, increasing $27 million, or 1.9%, from $1,434 million in the first nine months of 2025. The increase in net sales was primarily due to favorable price and product mix of $58 million. This increase was partially offset by lower tire volume of $21 million and the negative impact of changes in foreign exchange rates of $7 million.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 the first nine months of 2026 was $186 million, increasing $47 million, or 33.8%, from $139 million in the first nine months of 2025. The increase in operating income was primarily due to favorable price and product mix of $48 million and benefits from the Goodyear Forward plan of $19 million. These increases were partially offset by higher raw material costs of $14 million and lower tire volume of $6 million.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 the first nine months of 2026 excluded net rationalization charges of $5 million and asset write-offs, accelerated depreciation and accelerated lease costs of $1 million. Operating income in the first nine months of 2025 excluded net gains on asset sales of $55 million, asset write-offs, accelerated depreciation and accelerated lease costs of $5 million and net rationalization charges of $1 million.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4, 2026, we issued $1,050 million in aggregate principal amount of 8.875% senior notes due 2032. We intend to use the net proceeds from this offering to repay, redeem or repurchase our 4.875% senior notes due 2027 and our 7.625% senior notes due 2027 at or prior to their respective maturity. Pending such repayment, redemption or repurchase, we temporarily applied the proceeds to repay outstanding balances under certain revolving credit facilities.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2026, we had $812 million in cash and cash equivalents, compared to $801 million at December 31, 2025. For the nine months ended September 30, 2026, net cash used for operating activities was $764 million, reflecting our cash used for working capital of $871 million. Net cash used for investing activities was $441 million, primarily representing capital expenditures of $481 million. Net cash provided by financing activities was $1,171 million, primarily due to net borrowings of $1,209 million, including the issuance of $1,050 million of new senior notes.</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September 30, 2026, we had $3,639 million of unused availability under our various credit agreements, compared to $4,421 million at December 31, 2025. The table below presents unused availability under our credit facilities at those dates: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6"/>
                <w:szCs w:val="16"/>
                <w:color w:val="auto"/>
              </w:rPr>
            </w:pPr>
          </w:p>
        </w:tc>
        <w:tc>
          <w:tcPr>
            <w:tcW w:w="11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7"/>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 lien revolving credit facility</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2,749</w:t>
            </w:r>
          </w:p>
        </w:tc>
      </w:tr>
      <w:tr>
        <w:trPr>
          <w:trHeight w:val="25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revolving credit facility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18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5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Mexican credit facility</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3"/>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18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50"/>
        </w:trPr>
        <w:tc>
          <w:tcPr>
            <w:tcW w:w="848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3,639</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4,421</w:t>
            </w:r>
          </w:p>
        </w:tc>
      </w:tr>
      <w:tr>
        <w:trPr>
          <w:trHeight w:val="27"/>
        </w:trPr>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deposited our cash and cash equivalents and entered into various credit agreements and derivative contracts with financial institutions that we considered to be substantial and creditworthy at the time of such transactions. We seek to control our exposure to these financial institutions by diversifying our deposits, credit agreements and derivative contracts across multiple financial institutions, by setting deposit and counterparty credit limits based on long term credit ratings and other indicators of credit risk such as credit default swap spreads and default probabilities, and by monitoring the financial strength of these financial institutions on a regular basis. We also enter into master netting agreements with counterparties when possible. By controlling and monitoring exposure to financial institutions in this manner, we believe that we effectively manage the risk of loss due to nonperformance by a financial institution. However, we cannot provide assurance that we will not experience losses or delays in accessing our deposits or lines of credit due to the nonperformance of a financial institution. Our inability to access our cash deposits or make draws on our lines of credit, or the inability of a counterparty to fulfill its contractual obligations to us, could have a material adverse effect on our liquidity, financial condition or results of operations in the period in which it occurs.</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our 2026 full-year cash flow to include capital expenditures of approximately $675 million. We also expect interest expense to be approximately $425 million; rationalization payments to be approximately $210 million; income tax payments to be approximately $175 million, excluding one-time items; and cash contributions to our global pension plans to be approximately $25 million. We expect working capital to be neither a significant source nor significant use of cash for the full year 2026.</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continuing to actively monitor our liquidity and intend to operate our business in a way that allows us to address our cash flow needs with our existing cash and available credit if they cannot be funded by cash generated from operating or other financing activities. We believe that our liquidity position is adequate to fund our operating and investing needs and debt maturities for the next twelve months and to provide us with the ability to respond to further changes in the business environment.</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service debt and operational requirements is also dependent, in part, on the ability of our subsidiaries to make distributions of cash to various other entities in our consolidated group, whether in the form of dividends, loans or otherwise. In certain countries where we operate, such as China, South Africa, Serbia and Argentina, transfers of funds into or out of such countries by way of dividends, loans, advances or payments to third-party or affiliated suppliers are generally or periodically subject to certain requirements, such as obtaining approval from the foreign government and/or currency exchange board before net assets can be transferred out of the country. In addition, certain of our credit agreements and other debt instruments limit the ability of foreign subsidiaries to make distributions of cash. Thus, we would have to repay and/or amend these credit agreements and other debt instruments in order to use this cash to service our consolidated debt. Because of the inherent uncertainty of satisfactorily meeting these requirements or limitations, we do not consider the net assets of our subsidiaries, including our Chinese, South African, Serbian and Argentinian subsidiaries, which are subject to such requirements or limitations to be integral to our liquidity or our ability to service our debt and operational requirements. At September 30, 2026, approximately $741 million of net assets, including approximately $195 million of cash and cash equivalents, were subject 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such requirements. The requirements we must comply with to transfer funds out of China, South Africa, Serbia and Argentina have not adversely impacted our ability to make transfers out of those countries.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for operating activities was $764 million in the first nine months of 2026, compared to $716 million in the first nine months of 2025. The $48 million increase in net cash used for operating activities was primarily due to $376 million in cash received in 2025 for deferred amounts related to our divestitures, partially offset by a lower use of working capital of $339 million.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cash used for working capital reflects a decrease in cash used for Inventory of $274 million and Accounts Payable — Trade of $171 million, partially offset by an increase in cash used for Accounts Receivable of $106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for investing activities was $441 million in the first nine months of 2026, compared to net cash provided by investing activities of $663 million in the first nine months of 2025. The $1,104 million increase in net cash used for investing activities was primarily due to cash provided by asset dispositions of $1,332 million in the first nine months of 2025 due to the sale of the OTR tire business and Dunlop brand, as well as other asset dispositions, partially offset by decreased capital expenditures of $168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$1,171 million in the first nine months of 2026, compared to $92 million in the first nine months of 2025. The $1,079 million increase in cash provided by financing activities was primarily related to net borrowings of $1,209 million in the first nine months of 2026, including the issuance of $1,050 million of new senior notes, compared to net borrowings of $97 million in the first nine months of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 Sources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aggregate, we had total credit arrangements of $10,939 million available at September 30, 2026, of which $3,639 million were unused, compared to $10,525 million available at December 31, 2025, of which $4,421 million were unused. At September 30, 2026, we had long term credit arrangements totaling $10,252 million, of which $3,326 million were unused, compared to $9,707 million and $4,145 million, respectively, at December 31, 2025. At September 30, 2026, we had short term committed and uncommitted credit arrangements totaling $687 million, of which $313 million were unused, compared to $818 million and $276 million, respectively, at December 31, 2025. The continued availability of the short term uncommitted arrangements is at the discretion of the relevant lenders and may be terminated at any time.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Outstanding Notes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2026, we had $5,423 million of outstanding notes, compared to $4,391 million at December 31,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$1,050 million 8.875% Senior Notes due 2032</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4, 2026, we issued $1,050 million in aggregate principal amount of 8.875% senior notes due 2032. These notes were sold at 100% of the principal amount and will mature on July 15, 2032. These notes are unsecured senior obligations and are guaranteed by our U.S. and Canadian subsidiaries that also guarantee our obligations under our U.S. first lien revolving credit facility described below.</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the option to redeem these notes, in whole or in part, at any time on or after July 15, 2029 at a redemption price of 104.438%, 102.219% and 100% during the 12-month periods commencing on July 15, 2029, 2030 and 2031 and thereafter, respectively, plus accrued and unpaid interest to the redemption date. Prior to July 15, 2029, we may redeem these notes, in whole or in part, at a redemption price equal to 100% of the principal amount plus a make-whole premium and accrued and unpaid interest to the redemption date. In addition, prior to July 15, 2029, we may redeem up to 35% of the original aggregate principal amount of these notes from the net cash proceeds of certain equity offerings at a redemption price equal to 108.875% of the principal amount plus accrued and unpaid interest to the redemption date.</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indenture for these notes, among other things, limit our ability and the ability of certain of our subsidiaries to (i) incur certain liens, (ii) engage in sale and leaseback transactions, and (iii) consolidate, merge, sell or otherwise dispose of all or substantially all of our assets. These covenants are subject to significant exceptions and qualifications.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2030</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first lien revolving credit facility matures on May 19, 2030 and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a variety of collateral. Based on our current liquidity, amounts drawn under this facility bear interest at SOFR plus 125 basis points. Undrawn amounts under the facility are subject to an annual commitment fee of 25 basis points.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Availability under the facility is subject to a borrowing base, which is based on (i) eligible accounts receivable and inventory of The Goodyear Tire &amp; Rubber Company and certain of its U.S. and Canadian subsidiaries, (ii) the greater of 50% of the appraised value, if any, of our principal trademarks or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In addition, if the amount of outstanding borrowings and letters of credit under the facility exceeds the borrowing base, we would be required to prepay borrowings and/or cash collateralize letters of credit sufficient to eliminate the excess. As of September 30, 2026, our borrowing base, and therefore our availability under the facility, was $270 million below the facility's stated amount of $2.75 billion.</w:t>
      </w:r>
    </w:p>
    <w:p>
      <w:pPr>
        <w:spacing w:after="0" w:line="2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2026, we had $57 million of borrowings and $1 million of letters of credit issued under the revolving credit facility. At December 31, 2025, we had no borrowings and $1 million of letters of credit issued under the revolving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2028</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European revolving credit facility matures on January 14, 2028 and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September 30, 2026, there were $204 million (€180 million) of borrowings outstanding under the German tranche, $415 million (€365 million) of borrowings outstanding under the all-borrower tranche, and no letters of credit outstanding under the European revolving credit facility. At December 31, 2025, we had no borrowings and no letters of credit outstanding under the European revolving credit facility.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Both our first lien revolving credit facility and our European revolving credit facility have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2024 under the first lien facility and December 31, 2021 under the European facility.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Facility (On-Balance Sheet)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2032. The terms of the facility provide the flexibility to designate annually the maximum amount of funding available under the facility in an amount of not less than €30 million and not more than €450 million. For the period from October 2025 through October 2027, the designated maximum amount of the facility is €300 million.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18, 2032,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in October 2027.</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warranties, covenants and Early Amortisation Events. In addition, it is an Early Amortisation Event under the facility if GEBV’s ratio of Consolidated Net GEBV Indebtedness to Consolidated GEBV EBITDA for a period of four consecutive fiscal quarters is greater than 3.0 to 1.0 at the end of any fiscal quarter. This financial covenant is substantially similar to the covenant included in our European revolving credit facility.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2026, the amounts available and utilized under this program totaled $228 million (€200 million). At December 31, 2025, the amounts available and utilized under this program totaled $292 million (€249 million). The program does not qualify for sale accounting, and accordingly, these amounts are included in Long Term Debt and Finance Leases.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sold certain of our accounts receivables under off-balance sheet programs. For these programs, we have concluded that there is generally no risk of loss to us from non-payment of the sold receivables. At September 30, 2026, the gross amount of receivables sold was $844 million, compared to $892 million at December 31,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Letters of Credit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2026, we had $218 million in letters of credit issued under bilateral letter of credit agreements and other foreign credit facilities. The majority of these letter of credit agreements are in lieu of security deposits.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Supplier Financing</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supplier finance programs with several financial institutions. Under these programs, the financial institutions act as our paying agents with respect to accounts payable due to our suppliers. We agree to pay the financial institutions the stated amount of the confirmed invoices from the designated suppliers on the original due dates of the invoices. Invoice payment terms can be up to 120 days based on industry norms for the specific item purchased. We do not pay any fees to the financial institutions and we do not pledge any assets as security or provide other forms of guarantees for these programs. These programs allow our suppliers to sell their receivables to the financial institutions at the sole discretion of the suppliers and the financial institutions on terms that are negotiated among them. We are not always notified when our suppliers sell receivables under these programs. Our obligations to our suppliers, including the amounts due and scheduled payment dates, are not impacted by our suppliers’ decisions to sell their receivables under these programs. The amounts available under these programs were $899 million and $876 million at September 30, 2026 and December 31, 2025, respectively. The amounts confirmed to the financial institutions were $589 million and $551 million at September 30, 2026 and December 31, 2025, respectively, and are included in Accounts Payable — Trade in our Consolidated Balance Sheets. All activity related to these obligations is presented within operating activities on the Consolidated Statements of Cash Flows.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Further Information</w:t>
      </w:r>
    </w:p>
    <w:p>
      <w:pPr>
        <w:spacing w:after="0" w:line="11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For a further description of the terms of our outstanding notes, first lien revolving credit facility, European revolving credit facility and pan-European accounts receivable securitization facility, refer to Note to the Consolidated Financial Statements No. 16, Financing Arrangements and Derivative Financial Instruments, in our 2025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Note to the Consolidated Financial Statements No. 8, Financing Arrangements and Derivative Financial Instruments, in this Form 10-Q.</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Covenant Compliance</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first lien revolving credit facility contains certain covenants that, among other things, limit our ability to incur additional debt or issue redeemable preferred stock, pay dividends, repurchase shares or make certain other restricted payments or investments, incur liens, sell assets, incur restrictions on the ability of our subsidiaries to pay dividends or to make other payments to us, enter into affiliate transactions, engage in sale and leaseback transactions, and consolidate, merge, sell or otherwise dispose of all or substantially all of our assets. The indentures governing our notes also contain certain covenants that, among other things, limit our ability to incur liens, engage in sale and leaseback transactions, and consolidate, merge, sell or otherwise dispose of all or substantially all of our assets. These covenants are subject to significant exceptions and qualifications. Our first lien revolving credit facility and the indentures governing our notes also have customary defaults, including cross-defaults to material indebtedness of Goodyear and its subsidiaries.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an additional financial covenant in our first lien revolving credit facility that is currently not applicable. We become subject to that financial covenant when the aggregate amount of our Parent Company (The Goodyear Tire &amp; Rubber Company) and guarantor subsidiaries cash and cash equivalents (“Available Cash”) plus our availability under our first lien revolving credit facility is less than $275 million. If this were to occur, our ratio of EBITDA to Consolidated Interest Expense may not be less than 2.0 to 1.0 for the most recent period of four consecutive fiscal quarters. As of September 30, 2026, our unused availability under this facility of $2,422 million, plus our Available Cash of $54 million, totaled $2,476 million, which is in excess of $275 million.</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our European revolving credit facility contains non-financial covenants similar to the non-financial covenants in our first lien revolving credit facility that are described above, similar non-financial covenants specifically applicable to GEBV and its subsidiaries, and a financial covenant applicable only to GEBV and its subsidiaries. This financial covenant provides that we are not permitted to allow GEBV’s ratio of Consolidated Net GEBV Indebtedness to Consolidated GEBV EBITDA for a period of four consecutive fiscal quarters to be greater than 3.0 to 1.0 at the end of any fiscal quarter. Consolidated Net GEBV Indebtedness is determined net of the sum of cash and cash equivalents in excess of $100 million held by GEBV and its subsidiaries, cash and cash equivalents in excess of $150 million held by the Parent Company and its U.S. subsidiaries, and availability under our first lien revolving credit facility if the ratio of EBITDA to Consolidated Interest Expense described above is not applicable and the conditions to borrowing under the first lien revolving credit facility are met. Consolidated Net GEBV Indebtedness also excludes loans from other consolidated Goodyear entities. This financial covenant is also included in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pan-European accounts receivable securitization facility. At September 30, 2026, we were in compliance with this financial covenant.</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credit facilities also state that we may only incur additional debt or make restricted payments that are not otherwise expressly permitted if, after giving effect to the debt incurrence or the restricted payment, our ratio of EBITDA to Consolidated Interest Expense for the prior four fiscal quarters would exceed 2.0 to 1.0. Our credit facilities also permit the incurrence of additional debt through other provisions in those agreements without regard to our ability to satisfy the ratio-based incurrence test described above. We believe that these other provisions provide us with sufficient flexibility to incur additional debt necessary to meet our operating, investing and financing needs without regard to our ability to satisfy the ratio-based incurrence test.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Covenants could change based upon a refinancing or amendment of an existing facility, or additional covenants may be added in connection with the incurrence of new debt.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2026, we were in compliance with the currently applicable material covenants imposed by our principal credit facilities and indentures.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“Available Cash,” “EBITDA,” “Consolidated Interest Expense,” “Consolidated Net GEBV Indebtedness” and “Consolidated GEBV EBITDA” have the meanings given them in the respective credit facilities.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Potential Future Financings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financing activities described above, we may seek to undertake additional financing actions which could include restructuring bank debt or capital markets transactions, possibly including the issuance of additional debt or equity. Given the inherent uncertainty of market conditions, access to the capital markets cannot be assured.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liquidity requirements may make it necessary for us to incur additional debt. However, a substantial portion of our assets are already subject to liens securing our indebtedness. As a result, we are limited in our ability to pledge our remaining assets as security for additional secured indebtedness. In addition, no assurance can be given as to our ability to raise additional unsecured debt.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Dividends and Common Stock Repurchases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primary credit facilities, we are permitted to pay dividends on and repurchase our capital stock (which constitute restricted payments) as long as no default will have occurred and be continuing, additional indebtedness can be incurred under the credit facilities following the payment, and certain financial tests are satisfied.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the first nine months of 2026, we did not repurchase any shares from employees.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current plans to pay dividends on our common stock or establish a common stock repurchase program.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 Dispositions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the restrictions on asset sales and sale and leaseback transactions imposed by our material indebtedness have not affected our ability to divest non-core businesses or assets. We may undertake additional asset sales and sale and leaseback transactions in the future. The restrictions imposed by our material indebtedness may require us to seek waivers or amendments of covenants or alternative sources of financing to proceed with future transactions. We cannot assure you that such waivers, amendments or alternative financing could be obtained, or if obtained, would be on terms acceptable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subsidiaries, which are listed on Exhibit 22.1 to this Quarterly Report on Form 10-Q and are generally holding or operating companies, have guaranteed our obligations under the $700 million outstanding principal amount of 4.875% senior notes due 2027, the $850 million outstanding principal amount of 5% senior notes due 2029, the $500 million outstanding principal amount of 6.625% senior notes due 2030, the $550 million outstanding principal amount of 5.25% senior notes due April 2031, the $600 million outstanding principal amount of 5.25% senior notes due July 2031, the $1,050 million outstanding principal amount of 8.875% senior notes due 2032 and the $450 million outstanding principal amount of 5.625% senior notes due 2033 (collectively, the “Notes”).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have been issued by The Goodyear Tire &amp; Rubber Company (the “Parent Company”) and are its senior unsecured obligations. The Notes rank equally in right of payment with all of our existing and future senior unsecured obligations and senior to any of our future subordinated indebtedness. The Notes are effectively subordinated to our existing and future secured indebtedness to the extent of the assets securing that indebtedness. The Notes are fully and unconditionally guaranteed on a joint and several basis by each of our wholly-owned U.S. and Canadian subsidiaries that also guarantee our obligations under our first lien revolving credit facility (such guarantees, the “Guarantees”; and, such guaranteeing subsidiaries, the “Subsidiary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Guarantors”). The Guarantees are senior unsecured obligations of the Subsidiary Guarantors and rank equally in right of payment with all existing and future senior unsecured obligations of our Subsidiary Guarantors. The Guarantees are effectively subordinated to existing and future secured indebtedness of the Subsidiary Guarantors to the extent of the assets securing that indebtedness.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are structurally subordinated to all of the existing and future debt and other liabilities, including trade payables, of our subsidiaries that do not guarantee the Notes (the “Non-Guarantor Subsidiaries”). The Non-Guarantor Subsidiaries will have no obligation, contingent or otherwise, to pay amounts due under the Notes or to make funds available to pay those amounts. Certain Non-Guarantor Subsidiaries are limited in their ability to remit funds to us by means of dividends, advances or loans due to required foreign government and/or currency exchange board approvals or limitations in credit agreements or other debt instruments of those subsidiaries.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Subsidiary Guarantors, as primary obligors and not merely as sureties, jointly and severally irrevocably and unconditionally guarantee on a senior unsecured basis the performance and full and punctual payment when due of all obligations of the Parent Company under the Notes and the related indentures, whether for payment of principal of or interest on the Notes, expenses, indemnification or otherwise. The Guarantees of the Subsidiary Guarantors are subject to release in limited circumstances only upon the occurrence of certain customary conditions.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Guarantees provide the holders of Notes with a direct unsecured claim against the assets of the Subsidiary Guarantors, under U.S. federal bankruptcy law and comparable provisions of U.S. state fraudulent transfer laws, in certain circumstances a court could cancel a Guarantee and order the return of any payments made thereunder to the Subsidiary Guarantor or to a fund for the benefit of its creditors.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court might take these actions if it found, among other things, that when the Subsidiary Guarantors incurred the debt evidenced by their Guarantee (i) they received less than reasonably equivalent value or fair consideration for the incurrence of the debt and (ii) any one of the following conditions was satisfied:</w:t>
      </w:r>
    </w:p>
    <w:p>
      <w:pPr>
        <w:spacing w:after="0" w:line="68" w:lineRule="exact"/>
        <w:rPr>
          <w:sz w:val="20"/>
          <w:szCs w:val="20"/>
          <w:color w:val="auto"/>
        </w:rPr>
      </w:pPr>
    </w:p>
    <w:p>
      <w:pPr>
        <w:ind w:left="1700" w:hanging="801"/>
        <w:spacing w:after="0"/>
        <w:tabs>
          <w:tab w:leader="none" w:pos="1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insolvent or rendered insolvent by reason of the incurrence;</w:t>
      </w:r>
    </w:p>
    <w:p>
      <w:pPr>
        <w:spacing w:after="0" w:line="117" w:lineRule="exact"/>
        <w:rPr>
          <w:rFonts w:ascii="Times New Roman" w:cs="Times New Roman" w:eastAsia="Times New Roman" w:hAnsi="Times New Roman"/>
          <w:sz w:val="18"/>
          <w:szCs w:val="18"/>
          <w:color w:val="auto"/>
        </w:rPr>
      </w:pPr>
    </w:p>
    <w:p>
      <w:pPr>
        <w:ind w:left="1700" w:right="20" w:hanging="801"/>
        <w:spacing w:after="0" w:line="282" w:lineRule="auto"/>
        <w:tabs>
          <w:tab w:leader="none" w:pos="1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engaged in a business or transaction for which its remaining assets constituted unreasonably small capital; or</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intended to incur, or believed (or reasonably should have believed) that it would incur, debts beyond its ability to pay as those debts matured.</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applying the above factors, a court would likely find that a Subsidiary Guarantor did not receive fair consideration or reasonably equivalent value for its Guarantee, except to the extent that it benefited directly or indirectly from the issuance of the Notes. The determination of whether a guarantor was or was not rendered “insolvent” when it entered into its guarantee will vary depending on the law of the jurisdiction being applied. Generally, an entity would be considered insolvent if the sum of its debts (including contingent or unliquidated debts) is greater than all of its assets at a fair valuation or if the present fair salable value of its assets is less than the amount that will be required to pay its probable liability on its existing debts, including contingent or unliquidated debts, as they mature.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Canadian federal bankruptcy and insolvency laws and comparable provincial laws on preferences, fraudulent conveyances or other challengeable or voidable transactions, the Guarantees could be challenged as a preference, fraudulent conveyance, transfer at undervalue or other challengeable or voidable transaction. The test to be applied varies among the different pieces of legislation, but as a general matter these types of challenges may arise in circumstances where:</w:t>
      </w:r>
    </w:p>
    <w:p>
      <w:pPr>
        <w:spacing w:after="0" w:line="72" w:lineRule="exact"/>
        <w:rPr>
          <w:sz w:val="20"/>
          <w:szCs w:val="20"/>
          <w:color w:val="auto"/>
        </w:rPr>
      </w:pPr>
    </w:p>
    <w:p>
      <w:pPr>
        <w:ind w:left="1700" w:hanging="801"/>
        <w:spacing w:after="0"/>
        <w:tabs>
          <w:tab w:leader="none" w:pos="1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intended to defeat, hinder, delay, defraud or prejudice creditors or others;</w:t>
      </w:r>
    </w:p>
    <w:p>
      <w:pPr>
        <w:spacing w:after="0" w:line="117" w:lineRule="exact"/>
        <w:rPr>
          <w:rFonts w:ascii="Times New Roman" w:cs="Times New Roman" w:eastAsia="Times New Roman" w:hAnsi="Times New Roman"/>
          <w:sz w:val="18"/>
          <w:szCs w:val="18"/>
          <w:color w:val="auto"/>
        </w:rPr>
      </w:pPr>
    </w:p>
    <w:p>
      <w:pPr>
        <w:jc w:val="both"/>
        <w:ind w:left="1700" w:hanging="801"/>
        <w:spacing w:after="0" w:line="261" w:lineRule="auto"/>
        <w:tabs>
          <w:tab w:leader="none" w:pos="1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the consideration received by the Subsidiary Guarantor was conspicuously less than the fair market value of the consideration given, and the Subsidiary Guarantor was insolvent or rendered insolvent by such action and (in some circumstances, or) such action was intended to defraud, defeat or delay a creditor;</w:t>
      </w:r>
    </w:p>
    <w:p>
      <w:pPr>
        <w:spacing w:after="0" w:line="71" w:lineRule="exact"/>
        <w:rPr>
          <w:rFonts w:ascii="Times New Roman" w:cs="Times New Roman" w:eastAsia="Times New Roman" w:hAnsi="Times New Roman"/>
          <w:sz w:val="18"/>
          <w:szCs w:val="18"/>
          <w:color w:val="auto"/>
        </w:rPr>
      </w:pPr>
    </w:p>
    <w:p>
      <w:pPr>
        <w:jc w:val="both"/>
        <w:ind w:left="1700" w:hanging="801"/>
        <w:spacing w:after="0" w:line="261" w:lineRule="auto"/>
        <w:tabs>
          <w:tab w:leader="none" w:pos="1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and such action was taken, or is deemed to have been taken, with a view to giving a creditor a preference over other creditors or, in some circumstances, had the effect of giving a creditor a preference over other creditors; or</w:t>
      </w:r>
    </w:p>
    <w:p>
      <w:pPr>
        <w:spacing w:after="0" w:line="71"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Guarantor is found to have acted in a manner that was oppressive, unfairly prejudicial to or unfairly disregarded the interests of any shareholder, creditor, director, officer or other interested party.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certain insolvency proceedings a Canadian court may subordinate claims in respect of the Guarantees to other claims against a Subsidiary Guarantor under the principle of equitable subordination if the court determines that (1) the holder of Notes engaged in some type of inequitable or improper conduct, (2) the inequitable or improper conduct resulted in injury to other creditors or conferred an unfair advantage upon the holder of Notes and (3) equitable subordination is not inconsistent with the provisions of the relevant solvency statute.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court canceled a Guarantee, the holders of Notes would no longer have a claim against that Subsidiary Guarantor or its assets.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Guarantee is limited, by its terms,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Subsidiary Guarantor is a consolidated subsidiary of the Parent Company at the date of each balance sheet presented. The following tables present summarized financial information for the Parent Company and the Subsidiary Guarantors on a combined basis after elimination of (i) intercompany transactions and balances among the Parent Company and the Subsidiary Guarantors and (ii) equity in earnings from and investments in any Non-Guarantor Subsidiary.</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Summarized Balance Sheets</w:t>
            </w:r>
          </w:p>
        </w:tc>
        <w:tc>
          <w:tcPr>
            <w:tcW w:w="480" w:type="dxa"/>
            <w:vAlign w:val="bottom"/>
          </w:tcPr>
          <w:p>
            <w:pPr>
              <w:spacing w:after="0"/>
              <w:rPr>
                <w:sz w:val="16"/>
                <w:szCs w:val="16"/>
                <w:color w:val="auto"/>
              </w:rPr>
            </w:pPr>
          </w:p>
        </w:tc>
      </w:tr>
      <w:tr>
        <w:trPr>
          <w:trHeight w:val="37"/>
        </w:trPr>
        <w:tc>
          <w:tcPr>
            <w:tcW w:w="84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85"/>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90"/>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16"/>
                <w:szCs w:val="16"/>
                <w:color w:val="auto"/>
              </w:rPr>
            </w:pPr>
          </w:p>
        </w:tc>
        <w:tc>
          <w:tcPr>
            <w:tcW w:w="114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848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77"/>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10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5,058</w:t>
            </w:r>
          </w:p>
        </w:tc>
      </w:tr>
      <w:tr>
        <w:trPr>
          <w:trHeight w:val="25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5,948</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4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84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r>
      <w:tr>
        <w:trPr>
          <w:trHeight w:val="25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tcPr>
          <w:p>
            <w:pPr>
              <w:spacing w:after="0"/>
              <w:rPr>
                <w:sz w:val="22"/>
                <w:szCs w:val="22"/>
                <w:color w:val="auto"/>
              </w:rPr>
            </w:pPr>
          </w:p>
        </w:tc>
        <w:tc>
          <w:tcPr>
            <w:tcW w:w="84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3,121</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7"/>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8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10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6,929</w:t>
            </w:r>
          </w:p>
        </w:tc>
      </w:tr>
      <w:tr>
        <w:trPr>
          <w:trHeight w:val="27"/>
        </w:trPr>
        <w:tc>
          <w:tcPr>
            <w:tcW w:w="84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-899795</wp:posOffset>
            </wp:positionV>
            <wp:extent cx="60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 w:lineRule="exact"/>
        <w:rPr>
          <w:sz w:val="20"/>
          <w:szCs w:val="20"/>
          <w:color w:val="auto"/>
        </w:rPr>
      </w:pPr>
    </w:p>
    <w:p>
      <w:pPr>
        <w:ind w:left="360" w:right="40" w:hanging="334"/>
        <w:spacing w:after="0" w:line="229" w:lineRule="auto"/>
        <w:tabs>
          <w:tab w:leader="none" w:pos="347"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receivables due from Non-Guarantor Subsidiaries of $1,537 million and $1,574 million as of September 30, 2026 and December 31, 2025, respectively.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Summarized Statements of Operations</w:t>
            </w:r>
          </w:p>
        </w:tc>
      </w:tr>
      <w:tr>
        <w:trPr>
          <w:trHeight w:val="37"/>
        </w:trPr>
        <w:tc>
          <w:tcPr>
            <w:tcW w:w="8480" w:type="dxa"/>
            <w:vAlign w:val="bottom"/>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71"/>
        </w:trPr>
        <w:tc>
          <w:tcPr>
            <w:tcW w:w="848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4"/>
                <w:szCs w:val="14"/>
                <w:color w:val="auto"/>
              </w:rPr>
            </w:pP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04"/>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848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57"/>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6,433</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10,348</w:t>
            </w:r>
          </w:p>
        </w:tc>
      </w:tr>
      <w:tr>
        <w:trPr>
          <w:trHeight w:val="25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w:t>
            </w:r>
          </w:p>
        </w:tc>
      </w:tr>
      <w:tr>
        <w:trPr>
          <w:trHeight w:val="27"/>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16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5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7"/>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Rationalizations</w:t>
            </w:r>
          </w:p>
        </w:tc>
        <w:tc>
          <w:tcPr>
            <w:tcW w:w="16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56"/>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7"/>
        </w:trPr>
        <w:tc>
          <w:tcPr>
            <w:tcW w:w="8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5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Loss on Asset Sales</w:t>
            </w: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7"/>
        </w:trPr>
        <w:tc>
          <w:tcPr>
            <w:tcW w:w="84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02"/>
        </w:trPr>
        <w:tc>
          <w:tcPr>
            <w:tcW w:w="8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0"/>
        </w:trPr>
        <w:tc>
          <w:tcPr>
            <w:tcW w:w="84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8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83"/>
        </w:trPr>
        <w:tc>
          <w:tcPr>
            <w:tcW w:w="8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FF0FC"/>
          </w:tcPr>
          <w:p>
            <w:pPr>
              <w:spacing w:after="0"/>
              <w:rPr>
                <w:sz w:val="24"/>
                <w:szCs w:val="24"/>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w:t>
            </w:r>
          </w:p>
        </w:tc>
      </w:tr>
      <w:tr>
        <w:trPr>
          <w:trHeight w:val="31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r>
              <w:rPr>
                <w:rFonts w:ascii="Times New Roman" w:cs="Times New Roman" w:eastAsia="Times New Roman" w:hAnsi="Times New Roman"/>
                <w:sz w:val="23"/>
                <w:szCs w:val="23"/>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r>
    </w:tbl>
    <w:p>
      <w:pPr>
        <w:jc w:val="both"/>
        <w:ind w:left="360" w:right="40" w:hanging="334"/>
        <w:spacing w:after="0" w:line="232" w:lineRule="auto"/>
        <w:tabs>
          <w:tab w:leader="none" w:pos="347"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income from intercompany transactions with Non-Guarantor Subsidiaries of $397 million for the nine months ended September 30, 2026, primarily from royalties, intercompany product sales, dividends and interest, and $557 million for the year ended December 31, 2025, primarily from royalties, dividends, interest and intercompany product sales.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Goodwill and Intangible Assets. </w:t>
      </w:r>
      <w:r>
        <w:rPr>
          <w:rFonts w:ascii="Times New Roman" w:cs="Times New Roman" w:eastAsia="Times New Roman" w:hAnsi="Times New Roman"/>
          <w:sz w:val="18"/>
          <w:szCs w:val="18"/>
          <w:color w:val="auto"/>
        </w:rPr>
        <w:t>Goodwill and indefinite-lived intangible assets are tested for impairment annually or more frequently if an indicator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is present. Intangible assets with finite lives are amortized over their useful lives and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are reviewed for impairment whenever events or circumstances warrant such review. Goodwill and intangible assets are written down to fair value if considered impaired.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and Intangible Assets totaled $44 million and $640 million, respectively, at September 30, 2026, compared to $42 million and $663 million, respectively, at December 31, 2025. All goodwill was associated with the reporting unit in our Asia Pacific segment at September 30, 2026 and December 31, 2025.</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and intangible assets with indefinite useful lives are not amortized but are assessed for impairment annually on October 31 with the option to perform a qualitative assessment to determine whether further impairment testing is necessary or to perform a quantitative assessment by comparing the fair value of the reporting unit or indefinite-lived intangible asset to its carrying value. In addition to the annual assessment, impairment evaluation is considered during interim periods when events occur or circumstances change that would more likely than not reduce the fair value of the asset below its carrying value. During our annual impairment assessment and in subsequent interim periods, we review events that occur or circumstances that change, including the macroeconomic environment, our business performance and our market capitalization, to determine if a quantitative impairment assessment is necessary. We review our business performance and the macroeconomic environment against our recent expectations and evaluate book value compared to market capitalization, including fluctuations in our stock price, to determine if this could be an indicator of potential impairment. Consideration is given as to whether a fluctuation in our stock price is a result of current market conditions, due to a transitory event or an event that is expected to continue to affect us, or is consistent with our historical stock price volatility. We also consider these factors compared to the results of our most recent quantitative impairment assessment.</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qualitative assessment, we assess whether it is more likely than not (defined as a likelihood of more than 50%) that the fair value of our goodwill or indefinite-lived intangible assets is less than the respective carrying values. If it is more likely than not that an impairment exists, then a quantitative impairment assessment is performed. If under the quantitative assessment the fair value is less than the carrying value, an impairment loss will be recorded for the difference between the carrying value and the fair value. Under the quantitative assessment, we estimate the fair value of goodwill using the discounted cash flows of a reporting unit. For indefinite-lived intangible assets we estimate the fair value using discounted cash flows following a relief-from-royalty method utilizing a market-based royalty rate. Forecasts of future cash flows are based on our best estimate of projected revenue and projected operating margin, based primarily on sales and production volume, pricing, raw material costs, market share, industry outlook, general economic conditions, and certain strategic actions we plan to implement. Cash flows are discounted using our weighted average cost of capital.</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annual impairment analysis as of October 31, 2025, we completed a qualitative impairment analysis of our Asia Pacific reporting unit. After considering the results of our most recent quantitative annual testing, the capital markets environment, macroeconomic conditions, tire industry competition and trends, our results of operations, and other factors, we concluded that it was not more likely than not that the fair value of our Asia Pacific reporting unit was less than the carrying value and, therefore, did not perform a quantitative analysis.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quarterly impairment analysis as of June 30, 2026, we completed a quantitative impairment analysis of our indefinite-lived intangible assets to determine if their fair values were less than their carrying amounts. Based on the results of the quantitative impairment assessments, the Company determined that no impairment was required as the estimated fair values of our indefinite-lived intangible assets exceeded or approximated their respective carrying values. We identified $435 million of indefinite-lived intangible assets related to the Cooper Tire acquisition for which the estimated fair values approximated their respective carrying values. We determined the fair value of the indefinite-lived intangible assets using the relief-from-royalty method, which calculates the cost savings associated with owning rather than licensing the assets. The most critical assumptions used in the calculation of the fair value are projected revenue, discount rate and royalty rate.</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third quarter of 2026, macroeconomic factors and geopolitical events continued to have an adverse impact on our results and contributed to the decline in our replacement volume. We considered the impact on the fair value of our goodwill reporting unit and indefinite-lived intangible assets. During this review, we considered the nature and extent of current market conditions, forecasts for reporting units and individual brands, as well as the quantitative analysis performed during our annual 2025 impairment test and the interim quantitative assessment performed in the second quarter of 2026. Based on our review of external and internal factors compared to our latest quantitative assessment, we determined it was not more likely than not that the fair value of our goodwill or indefinite-lived intangible assets is less than the respective carrying value, and thus, a triggering event had not occurred which would require an interim impairment test to be performed. We will continue to monitor our results and market conditions to determine if a future analysis would be required. The fair value of the indefinite-lived intangible assets is sensitive to differences between estimated and actual revenue, including changes in the discount rate and royalty rate used to evaluate the fair value of these assets. Although we believe our estimate of fair value is reasonable, the indefinite-lived intangible asset performance is dependent on our ability to execute our business plan. If our future financial performance falls below our expectations, which may include a continued and sustained decline in volumes, or there are adverse revisions to significant assumptions, including projected revenues, discount rates or royalty rates, this could be indicative that the fair values of these indefinite-lived intangible assets have declined below their carrying values, and therefore we may need to record a material, non-cash impairment charge in a future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 — SAFE HARBOR STATEMENT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in this Form 10-Q (other than historical data and information) may constitute forward-looking statements regarding events and trends that may affect our future operating results and financial position. The words “estimate,” “expect,” “intend” and “project,” as well as other words or expressions of similar meaning, are intended to identify forward-looking statements. You are cautioned not to place undue reliance on forward-looking statements, which speak only as of the date of this Quarterly Report on Form 10-Q. Such statements are based on current expectations and assumptions, are inherently uncertain, are subject to risks and should be viewed with caution. Actual results and experience may differ materially from the forward-looking statements as a result of many factors, including:</w:t>
      </w:r>
    </w:p>
    <w:p>
      <w:pPr>
        <w:spacing w:after="0" w:line="187" w:lineRule="exact"/>
        <w:rPr>
          <w:sz w:val="20"/>
          <w:szCs w:val="20"/>
          <w:color w:val="auto"/>
        </w:rPr>
      </w:pPr>
    </w:p>
    <w:p>
      <w:pPr>
        <w:ind w:left="1700" w:hanging="801"/>
        <w:spacing w:after="0" w:line="282" w:lineRule="auto"/>
        <w:tabs>
          <w:tab w:leader="none" w:pos="1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implement our strategic initiatives, our operating results, financial condition and liquidity may be materially adversely affected;</w:t>
      </w:r>
    </w:p>
    <w:p>
      <w:pPr>
        <w:spacing w:after="0" w:line="53" w:lineRule="exact"/>
        <w:rPr>
          <w:rFonts w:ascii="Times New Roman" w:cs="Times New Roman" w:eastAsia="Times New Roman" w:hAnsi="Times New Roman"/>
          <w:sz w:val="18"/>
          <w:szCs w:val="18"/>
          <w:color w:val="auto"/>
        </w:rPr>
      </w:pPr>
    </w:p>
    <w:p>
      <w:pPr>
        <w:ind w:left="1700" w:right="20" w:hanging="801"/>
        <w:spacing w:after="0" w:line="282" w:lineRule="auto"/>
        <w:tabs>
          <w:tab w:leader="none" w:pos="1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obligations to the purchasers of our OTR tire business, the Dunlop brand and our chemical business may disrupt our current and future plans or operations;</w:t>
      </w:r>
    </w:p>
    <w:p>
      <w:pPr>
        <w:spacing w:after="0" w:line="5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global competition and our market share could decline;</w:t>
      </w:r>
    </w:p>
    <w:p>
      <w:pPr>
        <w:spacing w:after="0" w:line="117"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expenditures may not be adequate to maintain our competitive position and may not be implemented in a timely or cost-effective manner;</w:t>
      </w:r>
    </w:p>
    <w:p>
      <w:pPr>
        <w:spacing w:after="0" w:line="5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energy and transportation cost increases may materially adversely affect our operating results and financial condition;</w:t>
      </w:r>
    </w:p>
    <w:p>
      <w:pPr>
        <w:spacing w:after="0" w:line="117" w:lineRule="exact"/>
        <w:rPr>
          <w:rFonts w:ascii="Times New Roman" w:cs="Times New Roman" w:eastAsia="Times New Roman" w:hAnsi="Times New Roman"/>
          <w:sz w:val="18"/>
          <w:szCs w:val="18"/>
          <w:color w:val="auto"/>
        </w:rPr>
      </w:pPr>
    </w:p>
    <w:p>
      <w:pPr>
        <w:ind w:left="1700" w:right="20" w:hanging="801"/>
        <w:spacing w:after="0" w:line="282" w:lineRule="auto"/>
        <w:tabs>
          <w:tab w:leader="none" w:pos="1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inflationary cost pressures, including with respect to wages, benefits and energy costs, that may materially adversely affect our operating results and financial condition;</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 labor strike, work stoppage, labor shortage or other similar event at the Company or its joint ventures, our business, results of operations, financial condition and liquidity could be materially adversely affected;</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and may continue to be, negatively impacted by changes in tariffs, trade agreements or trade restrictions on imported tires, raw materials and other goods or equipment;</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 or in the provision of services, including utilities, to us could result in increased costs or disruptions in our operations;</w:t>
      </w:r>
    </w:p>
    <w:p>
      <w:pPr>
        <w:spacing w:after="0" w:line="5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economic downturn or economic uncertainty could adversely affect our business and results of operations;</w:t>
      </w:r>
    </w:p>
    <w:p>
      <w:pPr>
        <w:spacing w:after="0" w:line="117"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economic conditions in any of our major markets, or an inability to access capital markets or third-party financing when necessary,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have certain risks that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foreign currency translation and transaction risks that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1700" w:right="20" w:hanging="801"/>
        <w:spacing w:after="0" w:line="282" w:lineRule="auto"/>
        <w:tabs>
          <w:tab w:leader="none" w:pos="1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work stoppages, labor shortages, supply disruptions or economic conditions affecting our major OE customers, dealers or suppliers could harm our business;</w:t>
      </w:r>
    </w:p>
    <w:p>
      <w:pPr>
        <w:spacing w:after="0" w:line="53" w:lineRule="exact"/>
        <w:rPr>
          <w:rFonts w:ascii="Times New Roman" w:cs="Times New Roman" w:eastAsia="Times New Roman" w:hAnsi="Times New Roman"/>
          <w:sz w:val="18"/>
          <w:szCs w:val="18"/>
          <w:color w:val="auto"/>
        </w:rPr>
      </w:pPr>
    </w:p>
    <w:p>
      <w:pPr>
        <w:ind w:left="1700" w:right="20" w:hanging="801"/>
        <w:spacing w:after="0" w:line="282" w:lineRule="auto"/>
        <w:tabs>
          <w:tab w:leader="none" w:pos="1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ability to meet our obligations, to repay maturing indebtedness or to implement strategic initiatives may be dependent on our ability to access capital markets in the future and to improve our operating results;</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substantial amount of debt, which could restrict our growth, place us at a competitive disadvantage or otherwise materially adversely affect our financial health;</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be in compliance with any material provision or covenant of our debt instruments, or a material reduction in the borrowing base under our first lien revolving credit facility, could have a material adverse effect on our liquidity and operations;</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 which could cause our debt service obligations to increase significantly;</w:t>
      </w:r>
    </w:p>
    <w:p>
      <w:pPr>
        <w:spacing w:after="0" w:line="5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fixed costs and, as a result, our operating income fluctuates disproportionately with changes in our net sales;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1700" w:hanging="801"/>
        <w:spacing w:after="0"/>
        <w:tabs>
          <w:tab w:leader="none" w:pos="1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costs in connection with our contingent liabilities and tax matters;</w:t>
      </w:r>
    </w:p>
    <w:p>
      <w:pPr>
        <w:spacing w:after="0" w:line="117" w:lineRule="exact"/>
        <w:rPr>
          <w:rFonts w:ascii="Times New Roman" w:cs="Times New Roman" w:eastAsia="Times New Roman" w:hAnsi="Times New Roman"/>
          <w:sz w:val="18"/>
          <w:szCs w:val="18"/>
          <w:color w:val="auto"/>
        </w:rPr>
      </w:pPr>
    </w:p>
    <w:p>
      <w:pPr>
        <w:ind w:left="1700" w:right="2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reserves for contingent liabilities and our recorded insurance assets are subject to various uncertainties, the outcome of which may result in our actual costs being significantly higher than the net amount recorded;</w:t>
      </w:r>
    </w:p>
    <w:p>
      <w:pPr>
        <w:spacing w:after="0" w:line="53"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including climate change, or legal, regulatory or market measures to address environmental issues, may negatively affect our business and operations and cause us to incur significant costs;</w:t>
      </w:r>
    </w:p>
    <w:p>
      <w:pPr>
        <w:spacing w:after="0" w:line="5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regulations that may materially adversely affect our operating results;</w:t>
      </w:r>
    </w:p>
    <w:p>
      <w:pPr>
        <w:spacing w:after="0" w:line="117" w:lineRule="exact"/>
        <w:rPr>
          <w:rFonts w:ascii="Times New Roman" w:cs="Times New Roman" w:eastAsia="Times New Roman" w:hAnsi="Times New Roman"/>
          <w:sz w:val="18"/>
          <w:szCs w:val="18"/>
          <w:color w:val="auto"/>
        </w:rPr>
      </w:pPr>
    </w:p>
    <w:p>
      <w:pPr>
        <w:ind w:left="1700" w:hanging="801"/>
        <w:spacing w:after="0" w:line="282"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any disruption in, or failure of, our information technology systems due to computer viruses, unauthorized access, cyber-attack, natural disasters or other similar disruptions;</w:t>
      </w:r>
    </w:p>
    <w:p>
      <w:pPr>
        <w:spacing w:after="0" w:line="5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adequately;</w:t>
      </w:r>
    </w:p>
    <w:p>
      <w:pPr>
        <w:spacing w:after="0" w:line="117"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key personnel, our business could be materially adversely affected; and</w:t>
      </w:r>
    </w:p>
    <w:p>
      <w:pPr>
        <w:spacing w:after="0" w:line="117" w:lineRule="exact"/>
        <w:rPr>
          <w:rFonts w:ascii="Times New Roman" w:cs="Times New Roman" w:eastAsia="Times New Roman" w:hAnsi="Times New Roman"/>
          <w:sz w:val="18"/>
          <w:szCs w:val="18"/>
          <w:color w:val="auto"/>
        </w:rPr>
      </w:pPr>
    </w:p>
    <w:p>
      <w:pPr>
        <w:jc w:val="both"/>
        <w:ind w:left="1700" w:hanging="801"/>
        <w:spacing w:after="0" w:line="266" w:lineRule="auto"/>
        <w:tabs>
          <w:tab w:leader="none" w:pos="1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impacted by economic and supply disruptions associated with events beyond our control, such as war, including the current conflicts between Russia and Ukraine and in the Middle East, acts of terror, political unrest, public health concerns, labor disputes or natural disasters.</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It is not possible to foresee or identify all such factors. We will not revise or update any forward-looking statement or disclose any facts, events or circumstances that occur after the date hereof that may affect the accuracy of any forward-looking statement.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Commodity Price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raw material costs to which our operations are principally exposed include the cost of natural rubber, synthetic rubber, carbon black, fabrics, steel cord and other petrochemical-based commodities. Approximately 70% of our raw materials are petroleum-based, the cost of which may be affected by fluctuations in the price of oil. We currently do not hedge commodity prices. We do, however, use various strategies to partially offset cost increases for raw materials, including centralizing purchases of raw materials through our global procurement organization in an effort to leverage our purchasing power, expanding our capabilities to substitute lower cost raw materials, and reducing the amount of material required in each tire.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continuously monitor our fixed and floating rate debt mix. Within defined limitations, we manage the mix using refinancing. At September 30, 2026, approximately 19% of our debt was at variable interest rates averaging 6.10%.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long term fixed rate debt, excluding finance leases, at September 30, 2026:</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7"/>
        </w:trPr>
        <w:tc>
          <w:tcPr>
            <w:tcW w:w="6120" w:type="dxa"/>
            <w:vAlign w:val="bottom"/>
          </w:tcPr>
          <w:p>
            <w:pPr>
              <w:spacing w:after="0"/>
              <w:rPr>
                <w:sz w:val="3"/>
                <w:szCs w:val="3"/>
                <w:color w:val="auto"/>
              </w:rPr>
            </w:pPr>
          </w:p>
        </w:tc>
        <w:tc>
          <w:tcPr>
            <w:tcW w:w="4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3"/>
        </w:trPr>
        <w:tc>
          <w:tcPr>
            <w:tcW w:w="6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4260" w:type="dxa"/>
            <w:vAlign w:val="bottom"/>
            <w:tcBorders>
              <w:bottom w:val="single" w:sz="8" w:color="CFF0FC"/>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w:t>
            </w:r>
          </w:p>
        </w:tc>
      </w:tr>
      <w:tr>
        <w:trPr>
          <w:trHeight w:val="257"/>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4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w:t>
            </w:r>
          </w:p>
        </w:tc>
      </w:tr>
      <w:tr>
        <w:trPr>
          <w:trHeight w:val="27"/>
        </w:trPr>
        <w:tc>
          <w:tcPr>
            <w:tcW w:w="61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7"/>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 forma fair value — liability</w:t>
            </w:r>
          </w:p>
        </w:tc>
        <w:tc>
          <w:tcPr>
            <w:tcW w:w="42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5,231</w:t>
            </w:r>
          </w:p>
        </w:tc>
      </w:tr>
      <w:tr>
        <w:trPr>
          <w:trHeight w:val="27"/>
        </w:trPr>
        <w:tc>
          <w:tcPr>
            <w:tcW w:w="6120" w:type="dxa"/>
            <w:vAlign w:val="bottom"/>
            <w:shd w:val="clear" w:color="auto" w:fill="CFF0FC"/>
          </w:tcPr>
          <w:p>
            <w:pPr>
              <w:spacing w:after="0"/>
              <w:rPr>
                <w:sz w:val="2"/>
                <w:szCs w:val="2"/>
                <w:color w:val="auto"/>
              </w:rPr>
            </w:pPr>
          </w:p>
        </w:tc>
        <w:tc>
          <w:tcPr>
            <w:tcW w:w="426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information assumes a 100 basis point decrease in market interest rates at September 30, 2026, and reflects the estimated fair value of fixed rate debt outstanding at that date under that assumption. The sensitivity of our fixed rate debt to changes in interest rates was determined using current market pricing models.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 Exchange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foreign currency contracts in order to reduce the impact of changes in foreign exchange rates on our consolidated results of operations and future foreign currency-denominated cash flows. These contracts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foreign currency contract information at September 30, 2026:</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612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64"/>
        </w:trPr>
        <w:tc>
          <w:tcPr>
            <w:tcW w:w="6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asset (liability)</w:t>
            </w:r>
          </w:p>
        </w:tc>
        <w:tc>
          <w:tcPr>
            <w:tcW w:w="41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7"/>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decrease in fair value</w:t>
            </w:r>
          </w:p>
        </w:tc>
        <w:tc>
          <w:tcPr>
            <w:tcW w:w="4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7"/>
        </w:trPr>
        <w:tc>
          <w:tcPr>
            <w:tcW w:w="6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maturities</w:t>
            </w:r>
          </w:p>
        </w:tc>
        <w:tc>
          <w:tcPr>
            <w:tcW w:w="41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10/26-9/27</w:t>
            </w:r>
          </w:p>
        </w:tc>
      </w:tr>
      <w:tr>
        <w:trPr>
          <w:trHeight w:val="27"/>
        </w:trPr>
        <w:tc>
          <w:tcPr>
            <w:tcW w:w="6120" w:type="dxa"/>
            <w:vAlign w:val="bottom"/>
            <w:shd w:val="clear" w:color="auto" w:fill="CFF0FC"/>
          </w:tcPr>
          <w:p>
            <w:pPr>
              <w:spacing w:after="0"/>
              <w:rPr>
                <w:sz w:val="2"/>
                <w:szCs w:val="2"/>
                <w:color w:val="auto"/>
              </w:rPr>
            </w:pPr>
          </w:p>
        </w:tc>
        <w:tc>
          <w:tcPr>
            <w:tcW w:w="410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decrease in fair value assumes a 10% adverse change in underlying foreign exchange rates at September 30, 2026, and reflects the estimated change in the fair value of contracts outstanding at that date under that assumption. The sensitivity of our foreign currency positions to changes in exchange rates was determined using current market pricing models.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are recognized on the Consolidated Balance Sheet at September 30, 2026 as follows:</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23430" cy="1797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23430" cy="179705"/>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 (liability):</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4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59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6"/>
        </w:trPr>
        <w:tc>
          <w:tcPr>
            <w:tcW w:w="5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56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5900" w:type="dxa"/>
            <w:vAlign w:val="bottom"/>
            <w:shd w:val="clear" w:color="auto" w:fill="CFF0FC"/>
          </w:tcPr>
          <w:p>
            <w:pPr>
              <w:spacing w:after="0"/>
              <w:rPr>
                <w:sz w:val="2"/>
                <w:szCs w:val="2"/>
                <w:color w:val="auto"/>
              </w:rPr>
            </w:pPr>
          </w:p>
        </w:tc>
        <w:tc>
          <w:tcPr>
            <w:tcW w:w="456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r>
    </w:tbl>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further information on foreign currency contracts, refer to Note to the Consolidated Financial Statements No. 8, Financing Arrangements and Derivative Financial Instruments. Refer to “Management’s Discussion and Analysis of Financial Condition and Results of Operations — Liquidity and Capital Resources” for a discussion of our management of counterparty risk.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which, consistent with Rule 13a-15(e) under the Securities Exchange Act of 1934, as amended, we define to mean controls and other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to ensure that such information is accumulated and communicated to our management, including our principal executive and financial officers, as appropriate, to allow timely decisions regarding required disclosure.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Based on such evaluation, our principal executive and financial officers have concluded that such disclosure controls and procedures were effective as of September 30, 2026 (the end of the period covered by this Quarterly Report on Form 10-Q).</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period covered by this report that have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Asbestos Litigation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reported in our Form 10-K for the year ended December 31, 2025 ("2025 Form 10-K"), we were one of numerous defendants in legal proceedings in certain state and federal courts involving approximately 30,400 claimants relating to their alleged exposure to materials containing asbestos in products allegedly manufactured by us or asbestos materials present in our facilities. During the first nine months of 2026, approximately 800 claims were filed against us and approximately 2,700 were settled or dismissed. The amounts expended on asbestos defense and claim resolution by us and our insurers during the first nine months of 2026 was $11 million. At September 30, 2026, there were approximately 28,500 asbestos claims pending against us. The plaintiffs are seeking unspecified actual and punitive damages and other relief. Refer to Note to the Consolidated Financial Statements No. 12, Commitments and Contingent Liabilities, for additional information on asbestos litigation.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legal proceedings described above and in our 2025 Form 10-K and quarterly reports on Form 10-Q, various other legal actions, indirect tax assessments, claims and governmental investigations and proceedings covering a wide range of matters are pending against us, including claims and proceedings relating to several waste disposal sites that have been identified by the United States Environmental Protection Agency and similar agencies of various states or foreign jurisdictions for remedial investigation and cleanup, which sites were allegedly used by us in the past for the disposal of industrial waste materials. Based on available information and other than as described in our 2025 Form 10-K and quarterly reports on Form 10-Q, we do not consider any such action, assessment, claim, investigation or proceeding to be material, within the meaning of that term as used in Item 103 of Regulation S-K and the instructions thereto. As permitted by SEC regulations, we use a threshold of $1 million for purposes of determining whether disclosure is required with respect to any environmental proceedings in which a governmental authority is a party and we reasonably believe that such proceeding will result in monetary sanctions (exclusive of interest and costs).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additional information regarding our legal proceedings, refer to Note to the Consolidated Financial Statements No. 20, Commitments and Contingent Liabilities, and Part I, Item 3, Legal Proceedings, in our 2025 Form 10-K, Part II, Item 1, Legal Proceedings, in our Quarterly Report on Form 10-Q for the quarterly period ended March 31, 2026, Part II, Item 1, Legal Proceedings, in our Quarterly Report on Form 10-Q for the quarterly period ended June 30, 2026, and Note to the Consolidated Financial Statements No. 12, Commitments and Contingent Liabilities, in this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1A. Risk Factors” in our 2025 Form 10-K for a discussion of our risk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quarterly period ended September 30, 2026, none of our directors or officers informed us of the adoption, modification or termination of a "Rule 10b5-1 trading arrangement" or a "non-Rule 10b5-1 trading arrangement," as those terms are defined in Regulation S-K, Item 408.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Index of Exhibits, which is by specific reference incorporated into and made a part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68580</wp:posOffset>
            </wp:positionV>
            <wp:extent cx="183451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2026</w:t>
      </w:r>
    </w:p>
    <w:p>
      <w:pPr>
        <w:spacing w:after="0" w:line="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INDEX OF EXHIBITS</w:t>
      </w:r>
    </w:p>
    <w:p>
      <w:pPr>
        <w:spacing w:after="0" w:line="52"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2360" w:type="dxa"/>
            <w:vAlign w:val="bottom"/>
            <w:gridSpan w:val="3"/>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6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w w:val="99"/>
              </w:rPr>
              <w:t>Table</w:t>
            </w:r>
          </w:p>
        </w:tc>
        <w:tc>
          <w:tcPr>
            <w:tcW w:w="1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62"/>
        </w:trPr>
        <w:tc>
          <w:tcPr>
            <w:tcW w:w="2360" w:type="dxa"/>
            <w:vAlign w:val="bottom"/>
            <w:gridSpan w:val="3"/>
          </w:tcPr>
          <w:p>
            <w:pPr>
              <w:jc w:val="center"/>
              <w:ind w:right="1920"/>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1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2240" w:type="dxa"/>
            <w:vAlign w:val="bottom"/>
            <w:gridSpan w:val="2"/>
          </w:tcPr>
          <w:p>
            <w:pPr>
              <w:jc w:val="center"/>
              <w:ind w:right="2040"/>
              <w:spacing w:after="0" w:line="160" w:lineRule="exact"/>
              <w:rPr>
                <w:sz w:val="20"/>
                <w:szCs w:val="20"/>
                <w:color w:val="auto"/>
              </w:rPr>
            </w:pPr>
            <w:r>
              <w:rPr>
                <w:rFonts w:ascii="Times New Roman" w:cs="Times New Roman" w:eastAsia="Times New Roman" w:hAnsi="Times New Roman"/>
                <w:sz w:val="14"/>
                <w:szCs w:val="14"/>
                <w:b w:val="1"/>
                <w:bCs w:val="1"/>
                <w:color w:val="auto"/>
                <w:w w:val="96"/>
              </w:rPr>
              <w:t>No.</w:t>
            </w:r>
          </w:p>
        </w:tc>
        <w:tc>
          <w:tcPr>
            <w:tcW w:w="7240" w:type="dxa"/>
            <w:vAlign w:val="bottom"/>
            <w:gridSpan w:val="3"/>
          </w:tcPr>
          <w:p>
            <w:pPr>
              <w:ind w:left="1900"/>
              <w:spacing w:after="0" w:line="160" w:lineRule="exact"/>
              <w:rPr>
                <w:sz w:val="20"/>
                <w:szCs w:val="20"/>
                <w:color w:val="auto"/>
              </w:rPr>
            </w:pPr>
            <w:r>
              <w:rPr>
                <w:rFonts w:ascii="Times New Roman" w:cs="Times New Roman" w:eastAsia="Times New Roman" w:hAnsi="Times New Roman"/>
                <w:sz w:val="14"/>
                <w:szCs w:val="14"/>
                <w:b w:val="1"/>
                <w:bCs w:val="1"/>
                <w:color w:val="auto"/>
              </w:rPr>
              <w:t>Description of Exhibit</w:t>
            </w:r>
          </w:p>
        </w:tc>
        <w:tc>
          <w:tcPr>
            <w:tcW w:w="5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1140" w:hanging="709"/>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Contracts</w:t>
      </w:r>
    </w:p>
    <w:p>
      <w:pPr>
        <w:spacing w:after="0" w:line="175" w:lineRule="exact"/>
        <w:rPr>
          <w:sz w:val="20"/>
          <w:szCs w:val="20"/>
          <w:color w:val="auto"/>
        </w:rPr>
      </w:pPr>
    </w:p>
    <w:p>
      <w:pPr>
        <w:ind w:left="420"/>
        <w:spacing w:after="0"/>
        <w:tabs>
          <w:tab w:leader="none" w:pos="1120" w:val="left"/>
          <w:tab w:leader="none" w:pos="99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Letter Agreement, dated August 3, 2026, between the Company and Gregory Boucharlat.</w:t>
      </w:r>
      <w:r>
        <w:rPr>
          <w:sz w:val="20"/>
          <w:szCs w:val="20"/>
          <w:color w:val="auto"/>
        </w:rPr>
        <w:tab/>
      </w:r>
      <w:r>
        <w:rPr>
          <w:rFonts w:ascii="Times New Roman" w:cs="Times New Roman" w:eastAsia="Times New Roman" w:hAnsi="Times New Roman"/>
          <w:sz w:val="18"/>
          <w:szCs w:val="18"/>
          <w:color w:val="auto"/>
        </w:rPr>
        <w:t>10.1</w:t>
      </w:r>
    </w:p>
    <w:p>
      <w:pPr>
        <w:spacing w:after="0" w:line="167" w:lineRule="exact"/>
        <w:rPr>
          <w:sz w:val="20"/>
          <w:szCs w:val="20"/>
          <w:color w:val="auto"/>
        </w:rPr>
      </w:pPr>
    </w:p>
    <w:p>
      <w:pPr>
        <w:ind w:left="1140" w:hanging="709"/>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Subsidiary Guarantors of Guaranteed Securities</w:t>
      </w:r>
    </w:p>
    <w:p>
      <w:pPr>
        <w:spacing w:after="0" w:line="175" w:lineRule="exact"/>
        <w:rPr>
          <w:sz w:val="20"/>
          <w:szCs w:val="20"/>
          <w:color w:val="auto"/>
        </w:rPr>
      </w:pPr>
    </w:p>
    <w:p>
      <w:pPr>
        <w:ind w:left="420"/>
        <w:spacing w:after="0"/>
        <w:tabs>
          <w:tab w:leader="none" w:pos="1120" w:val="left"/>
          <w:tab w:leader="none" w:pos="99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List of Subsidiary Guarantors.</w:t>
      </w:r>
      <w:r>
        <w:rPr>
          <w:sz w:val="20"/>
          <w:szCs w:val="20"/>
          <w:color w:val="auto"/>
        </w:rPr>
        <w:tab/>
      </w:r>
      <w:r>
        <w:rPr>
          <w:rFonts w:ascii="Times New Roman" w:cs="Times New Roman" w:eastAsia="Times New Roman" w:hAnsi="Times New Roman"/>
          <w:sz w:val="18"/>
          <w:szCs w:val="18"/>
          <w:color w:val="auto"/>
        </w:rPr>
        <w:t>22.1</w:t>
      </w:r>
    </w:p>
    <w:p>
      <w:pPr>
        <w:spacing w:after="0" w:line="167" w:lineRule="exact"/>
        <w:rPr>
          <w:sz w:val="20"/>
          <w:szCs w:val="20"/>
          <w:color w:val="auto"/>
        </w:rPr>
      </w:pPr>
    </w:p>
    <w:p>
      <w:pPr>
        <w:ind w:left="1140" w:hanging="709"/>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13a-14(a) Certifications</w:t>
      </w:r>
    </w:p>
    <w:p>
      <w:pPr>
        <w:spacing w:after="0" w:line="16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Certificate of Chief Executive Officer pursuant to Rule 13a-14(a) under the Securities Exchange Act of 1934.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35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78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Certificate of Chief Financial Officer pursuant to Rule 13a-14(a) under the Securities Exchange Act of 1934.</w:t>
            </w:r>
          </w:p>
        </w:tc>
        <w:tc>
          <w:tcPr>
            <w:tcW w:w="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bl>
    <w:p>
      <w:pPr>
        <w:spacing w:after="0" w:line="167" w:lineRule="exact"/>
        <w:rPr>
          <w:sz w:val="20"/>
          <w:szCs w:val="20"/>
          <w:color w:val="auto"/>
        </w:rPr>
      </w:pPr>
    </w:p>
    <w:p>
      <w:pPr>
        <w:ind w:left="1140" w:hanging="709"/>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1350 Certifications</w:t>
      </w:r>
    </w:p>
    <w:p>
      <w:pPr>
        <w:spacing w:after="0" w:line="162"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(a)</w:t>
            </w: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Certificate of Chief Executive Officer and Chief Financial Officer pursuant to Rule 13a-14(b) under the</w:t>
            </w:r>
          </w:p>
        </w:tc>
        <w:tc>
          <w:tcPr>
            <w:tcW w:w="9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32.1</w:t>
            </w:r>
          </w:p>
        </w:tc>
      </w:tr>
      <w:tr>
        <w:trPr>
          <w:trHeight w:val="196"/>
        </w:trPr>
        <w:tc>
          <w:tcPr>
            <w:tcW w:w="760" w:type="dxa"/>
            <w:vAlign w:val="bottom"/>
          </w:tcPr>
          <w:p>
            <w:pPr>
              <w:spacing w:after="0"/>
              <w:rPr>
                <w:sz w:val="17"/>
                <w:szCs w:val="17"/>
                <w:color w:val="auto"/>
              </w:rPr>
            </w:pPr>
          </w:p>
        </w:tc>
        <w:tc>
          <w:tcPr>
            <w:tcW w:w="242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Securities Exchange Act of 1934.</w:t>
            </w:r>
          </w:p>
        </w:tc>
        <w:tc>
          <w:tcPr>
            <w:tcW w:w="574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99"/>
        </w:trPr>
        <w:tc>
          <w:tcPr>
            <w:tcW w:w="7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6"/>
              </w:rPr>
              <w:t>101</w:t>
            </w: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Interactive Data Files</w:t>
            </w:r>
          </w:p>
        </w:tc>
        <w:tc>
          <w:tcPr>
            <w:tcW w:w="920" w:type="dxa"/>
            <w:vAlign w:val="bottom"/>
          </w:tcPr>
          <w:p>
            <w:pPr>
              <w:spacing w:after="0"/>
              <w:rPr>
                <w:sz w:val="24"/>
                <w:szCs w:val="24"/>
                <w:color w:val="auto"/>
              </w:rPr>
            </w:pPr>
          </w:p>
        </w:tc>
      </w:tr>
      <w:tr>
        <w:trPr>
          <w:trHeight w:val="360"/>
        </w:trPr>
        <w:tc>
          <w:tcPr>
            <w:tcW w:w="760" w:type="dxa"/>
            <w:vAlign w:val="bottom"/>
          </w:tcPr>
          <w:p>
            <w:pPr>
              <w:spacing w:after="0"/>
              <w:rPr>
                <w:sz w:val="24"/>
                <w:szCs w:val="24"/>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w:t>
            </w:r>
          </w:p>
        </w:tc>
        <w:tc>
          <w:tcPr>
            <w:tcW w:w="9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101.INS</w:t>
            </w:r>
          </w:p>
        </w:tc>
      </w:tr>
      <w:tr>
        <w:trPr>
          <w:trHeight w:val="234"/>
        </w:trPr>
        <w:tc>
          <w:tcPr>
            <w:tcW w:w="760" w:type="dxa"/>
            <w:vAlign w:val="bottom"/>
          </w:tcPr>
          <w:p>
            <w:pPr>
              <w:spacing w:after="0"/>
              <w:rPr>
                <w:sz w:val="20"/>
                <w:szCs w:val="20"/>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c>
          <w:tcPr>
            <w:tcW w:w="920" w:type="dxa"/>
            <w:vAlign w:val="bottom"/>
          </w:tcPr>
          <w:p>
            <w:pPr>
              <w:spacing w:after="0"/>
              <w:rPr>
                <w:sz w:val="20"/>
                <w:szCs w:val="20"/>
                <w:color w:val="auto"/>
              </w:rPr>
            </w:pPr>
          </w:p>
        </w:tc>
      </w:tr>
      <w:tr>
        <w:trPr>
          <w:trHeight w:val="378"/>
        </w:trPr>
        <w:tc>
          <w:tcPr>
            <w:tcW w:w="760" w:type="dxa"/>
            <w:vAlign w:val="bottom"/>
          </w:tcPr>
          <w:p>
            <w:pPr>
              <w:spacing w:after="0"/>
              <w:rPr>
                <w:sz w:val="24"/>
                <w:szCs w:val="24"/>
                <w:color w:val="auto"/>
              </w:rPr>
            </w:pP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101.SCH</w:t>
            </w:r>
          </w:p>
        </w:tc>
      </w:tr>
    </w:tbl>
    <w:p>
      <w:pPr>
        <w:spacing w:after="0" w:line="140" w:lineRule="exact"/>
        <w:rPr>
          <w:sz w:val="20"/>
          <w:szCs w:val="20"/>
          <w:color w:val="auto"/>
        </w:rPr>
      </w:pPr>
    </w:p>
    <w:p>
      <w:pPr>
        <w:ind w:left="1140" w:hanging="754"/>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Cover Page Interactive Data File</w:t>
      </w:r>
    </w:p>
    <w:p>
      <w:pPr>
        <w:spacing w:after="0" w:line="175" w:lineRule="exact"/>
        <w:rPr>
          <w:rFonts w:ascii="Times New Roman" w:cs="Times New Roman" w:eastAsia="Times New Roman" w:hAnsi="Times New Roman"/>
          <w:sz w:val="18"/>
          <w:szCs w:val="18"/>
          <w:color w:val="auto"/>
        </w:rPr>
      </w:pPr>
    </w:p>
    <w:p>
      <w:pPr>
        <w:ind w:left="1140" w:right="1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September 30, 2026, formatted in Inline XBRL (included as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337" w:right="10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7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(Registrant)</w:t>
      </w:r>
    </w:p>
    <w:p>
      <w:pPr>
        <w:spacing w:after="0" w:line="333" w:lineRule="exact"/>
        <w:rPr>
          <w:sz w:val="20"/>
          <w:szCs w:val="20"/>
          <w:color w:val="auto"/>
        </w:rPr>
      </w:pPr>
    </w:p>
    <w:p>
      <w:pPr>
        <w:ind w:left="20"/>
        <w:spacing w:after="0"/>
        <w:tabs>
          <w:tab w:leader="none" w:pos="660" w:val="left"/>
          <w:tab w:leader="none" w:pos="4940" w:val="left"/>
          <w:tab w:leader="none" w:pos="7180" w:val="left"/>
        </w:tabs>
        <w:rPr>
          <w:sz w:val="20"/>
          <w:szCs w:val="20"/>
          <w:color w:val="auto"/>
        </w:rPr>
      </w:pPr>
      <w:r>
        <w:rPr>
          <w:rFonts w:ascii="Times New Roman" w:cs="Times New Roman" w:eastAsia="Times New Roman" w:hAnsi="Times New Roman"/>
          <w:sz w:val="18"/>
          <w:szCs w:val="18"/>
          <w:color w:val="auto"/>
        </w:rPr>
        <w:t>Date:</w:t>
        <w:tab/>
        <w:t>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w:t>
      </w:r>
      <w:r>
        <w:rPr>
          <w:rFonts w:ascii="Times New Roman" w:cs="Times New Roman" w:eastAsia="Times New Roman" w:hAnsi="Times New Roman"/>
          <w:sz w:val="14"/>
          <w:szCs w:val="14"/>
          <w:color w:val="auto"/>
        </w:rPr>
        <w:t>TEPHEN</w:t>
      </w:r>
      <w:r>
        <w:rPr>
          <w:rFonts w:ascii="Times New Roman" w:cs="Times New Roman" w:eastAsia="Times New Roman" w:hAnsi="Times New Roman"/>
          <w:sz w:val="18"/>
          <w:szCs w:val="18"/>
          <w:color w:val="auto"/>
        </w:rPr>
        <w:t xml:space="preserve"> F. S</w:t>
      </w:r>
      <w:r>
        <w:rPr>
          <w:rFonts w:ascii="Times New Roman" w:cs="Times New Roman" w:eastAsia="Times New Roman" w:hAnsi="Times New Roman"/>
          <w:sz w:val="14"/>
          <w:szCs w:val="14"/>
          <w:color w:val="auto"/>
        </w:rPr>
        <w:t>HAMROCK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34290</wp:posOffset>
            </wp:positionV>
            <wp:extent cx="34804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Stephen F. Shamrock, Vice President and Controller (Signing on behalf of the</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Registrant as a duly authorized officer of the Registrant and signing as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Accounting Officer of the Registrant.)</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33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00225" cy="2997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1800225" cy="299720"/>
                    </a:xfrm>
                    <a:prstGeom prst="rect">
                      <a:avLst/>
                    </a:prstGeom>
                    <a:noFill/>
                  </pic:spPr>
                </pic:pic>
              </a:graphicData>
            </a:graphic>
          </wp:anchor>
        </w:drawing>
        <w:t>EXHIBIT 10.1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 2026</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Boucharlat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Global Commercial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Retention Bonus Agreement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Gregory,</w:t>
      </w:r>
    </w:p>
    <w:p>
      <w:pPr>
        <w:spacing w:after="0" w:line="25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As a key member of the Senior Leadership Team, we would like to acknowledge your contributions and ensure your further commitment toward the success of our Company. Therefore, you have been selected to participate in an individually designed incentive program.</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such, we are providing you with a special retention incentive arrangement as outlined in this letter agreement. Under this agreement, you will be eligible to receive a grant for a value in total of $500,000 USD gross, the “Retention Bonus”, payable $250,000 USD in December 2026 and $250,000 USD in December 2027.</w:t>
      </w:r>
    </w:p>
    <w:p>
      <w:pPr>
        <w:spacing w:after="0" w:line="20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order to receive the Retention Bonus, you must remain an associate of the Company and actively provide services required of you through at least December 31, 2027, the “Retention Date,” subject to the terms and conditions contained herein.</w:t>
      </w:r>
    </w:p>
    <w:p>
      <w:pPr>
        <w:spacing w:after="0" w:line="189" w:lineRule="exact"/>
        <w:rPr>
          <w:sz w:val="20"/>
          <w:szCs w:val="20"/>
          <w:color w:val="auto"/>
        </w:rPr>
      </w:pPr>
    </w:p>
    <w:p>
      <w:pPr>
        <w:jc w:val="both"/>
        <w:ind w:right="120"/>
        <w:spacing w:after="0" w:line="263" w:lineRule="auto"/>
        <w:rPr>
          <w:sz w:val="20"/>
          <w:szCs w:val="20"/>
          <w:color w:val="auto"/>
        </w:rPr>
      </w:pPr>
      <w:r>
        <w:rPr>
          <w:rFonts w:ascii="Times New Roman" w:cs="Times New Roman" w:eastAsia="Times New Roman" w:hAnsi="Times New Roman"/>
          <w:sz w:val="18"/>
          <w:szCs w:val="18"/>
          <w:color w:val="auto"/>
        </w:rPr>
        <w:t>Assuming all conditions are met, the Retention Bonus will be paid $250,000 USD in December 2026 and $250,000 USD in December 2027. The Retention Bonus payments will be administered and taxed in accordance with the applicable tax, social security, and payroll arrangements in effect at the time of payment. The Retention Bonus is exceptional, discretionary, and non-recurring, and does not constitute a regular salary component nor create any entitlement to future similar payments. The Retention Bonus will not be considered part of your regular compensation for purposes of calculating retirement, pension, social security, assignment-related allowances, severance, bonuses, or any other compensation-based benefits, except to the extent required by applicable law.</w:t>
      </w:r>
    </w:p>
    <w:p>
      <w:pPr>
        <w:spacing w:after="0" w:line="205" w:lineRule="exact"/>
        <w:rPr>
          <w:sz w:val="20"/>
          <w:szCs w:val="20"/>
          <w:color w:val="auto"/>
        </w:rPr>
      </w:pPr>
    </w:p>
    <w:p>
      <w:pPr>
        <w:jc w:val="both"/>
        <w:ind w:right="120"/>
        <w:spacing w:after="0" w:line="274" w:lineRule="auto"/>
        <w:rPr>
          <w:sz w:val="20"/>
          <w:szCs w:val="20"/>
          <w:color w:val="auto"/>
        </w:rPr>
      </w:pPr>
      <w:r>
        <w:rPr>
          <w:rFonts w:ascii="Times New Roman" w:cs="Times New Roman" w:eastAsia="Times New Roman" w:hAnsi="Times New Roman"/>
          <w:sz w:val="18"/>
          <w:szCs w:val="18"/>
          <w:color w:val="auto"/>
        </w:rPr>
        <w:t>The Company will in principle grant warrants, wholly or partly for the underlying value of the variable Retention Bonus, in accordance with the terms and conditions applicable to the Company's variable compensation programmes and subject to applicable law. For the avoidance of doubt, the remaining cash part of the Retention Bonus is exclusive of, and in addition to, any statutory or contractual holiday pay that may become due under applicable law.</w:t>
      </w:r>
    </w:p>
    <w:p>
      <w:pPr>
        <w:spacing w:after="0" w:line="19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part of this agreement, you agree to continue to follow the policies and procedures established by the Company, which may change from time to time, the work directions from your supervisor/manager and others in Goodyear’s management, and the provisions set forth herein. Payment of the Retention Bonus will be subject to the Company being satisfied (in its sole and exclusive judgment) with (1) your cooperation, diligence and loyalty through the Retention Dates, (2) your performance through the Retention Date, (3) your compliance with company policies, including maintenance of confidentiality of information through the Retention Date, and (4) the continuation of your active employment with the Company through the Retention Date.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is not an employment contract and nothing in this letter alters your employment relationship with the Company.</w:t>
      </w:r>
    </w:p>
    <w:p>
      <w:pPr>
        <w:spacing w:after="0" w:line="25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nature of your separation from the Company may, however, impact your eligibility to receive payment of the Retention Bonus. If you decide to voluntarily leave or resign from Goodyear prior to the Retention Date, you will no longer be eligible to receive any unpaid Retention Bonus and you will have to reimburse in full the amount of any paid Retention Bonus.</w:t>
      </w:r>
    </w:p>
    <w:p>
      <w:pPr>
        <w:spacing w:after="0" w:line="20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If the Company terminates your employment prior to the Retention Date for other than cause, you will be entitled to receive the pro rata amount of the Retention Bonus that is unpaid as of the date of your separation, in accordance with the terms of this agreement. In no event shall such termination entitle you to payment of the full $500,000 USD Retention Bonus.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927" w:right="339" w:bottom="1440" w:gutter="0" w:footer="0" w:header="0"/>
        </w:sectPr>
      </w:pPr>
    </w:p>
    <w:bookmarkStart w:id="56" w:name="page57"/>
    <w:bookmarkEnd w:id="5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00225" cy="2997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1800225" cy="299720"/>
                    </a:xfrm>
                    <a:prstGeom prst="rect">
                      <a:avLst/>
                    </a:prstGeom>
                    <a:noFill/>
                  </pic:spPr>
                </pic:pic>
              </a:graphicData>
            </a:graphic>
          </wp:anchor>
        </w:drawing>
        <w:t>For purposes of this paragraph, and as explicitly agreed upon between the parties, “cause” means (i) the continued failure by you to substantially perform your duties with the Company or its affiliates (other than any such failure resulting from your incapacity due to physical or mental illness), (ii) the engaging by you in conduct which is demonstrably injurious to the Company or its affiliates, monetarily or otherwise, (iii) your committing any felony or any crime involving fraud, breach of trust or misappropriation, (iv) any breach or violation of any policy or agreement relating to your employment with the Company or its affiliates where the Human Capital &amp; Compensation Committee, in its sole but reasonable discretion, determines that such breach or violation materially and adversely affects the Company or any affiliate, or (v) any termination for cause as defined in the applicable laws.</w:t>
      </w:r>
    </w:p>
    <w:p>
      <w:pPr>
        <w:spacing w:after="0" w:line="21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the Company terminates your employment prior to the Retention Date for cause, you will not receive any unpaid Retention Bonus and you will have to reimburse in full the amount of any paid Retention Bonus. You expressly accept that the reimbursed amount of the Retention Bonus might be compensated with any amount due by Goodyear following the end of the employment agreement.</w:t>
      </w:r>
    </w:p>
    <w:p>
      <w:pPr>
        <w:spacing w:after="0" w:line="20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the event of your death or permanent disability prior to the Retention Date, you (or your estate as may be applicable) will receive a pro-rata portion of any unpaid Retention Bonus, pro-rated to your last day worked. For purposes of this agreement, disability is defined in accordance with the Company’s long-term disability plan.</w:t>
      </w:r>
    </w:p>
    <w:p>
      <w:pPr>
        <w:spacing w:after="0" w:line="20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Goodyear shall not be responsible for any fluctuations in exchange rates between the date of grant and the date of payment of the Retention Bonus. Any amount paid in local currency, if applicable, may therefore vary depending on the applicable exchange rate at the time of payment.</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Please take the time to review this agreement carefully and address any questions you may have to me. If you wish to accept the foregoing offer, please sign and date below and return to me within five (5) days from the date of this letter. Please keep a copy of this agreement for your files.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thank you in advance for your efforts!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Nicole Gray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Nicole Gray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Chief Human Resources Officer</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Goodyear Operations SA (Belgian Branch)</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François Colin de Verdière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François Colin de Verdière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ACKNOWLEDGED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read and agree to the terms of the above letter.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Boucharlat</w:t>
      </w:r>
    </w:p>
    <w:p>
      <w:pPr>
        <w:spacing w:after="0" w:line="252" w:lineRule="exact"/>
        <w:rPr>
          <w:sz w:val="20"/>
          <w:szCs w:val="20"/>
          <w:color w:val="auto"/>
        </w:rPr>
      </w:pPr>
    </w:p>
    <w:p>
      <w:pPr>
        <w:spacing w:after="0"/>
        <w:tabs>
          <w:tab w:leader="none" w:pos="1980" w:val="left"/>
        </w:tabs>
        <w:rPr>
          <w:sz w:val="20"/>
          <w:szCs w:val="20"/>
          <w:color w:val="auto"/>
        </w:rPr>
      </w:pPr>
      <w:r>
        <w:rPr>
          <w:rFonts w:ascii="Times New Roman" w:cs="Times New Roman" w:eastAsia="Times New Roman" w:hAnsi="Times New Roman"/>
          <w:sz w:val="18"/>
          <w:szCs w:val="18"/>
          <w:color w:val="auto"/>
        </w:rPr>
        <w:t>/s/ Gregory Boucharlat</w:t>
      </w:r>
      <w:r>
        <w:rPr>
          <w:sz w:val="20"/>
          <w:szCs w:val="20"/>
          <w:color w:val="auto"/>
        </w:rPr>
        <w:tab/>
      </w:r>
      <w:r>
        <w:rPr>
          <w:rFonts w:ascii="Times New Roman" w:cs="Times New Roman" w:eastAsia="Times New Roman" w:hAnsi="Times New Roman"/>
          <w:sz w:val="18"/>
          <w:szCs w:val="18"/>
          <w:color w:val="auto"/>
        </w:rPr>
        <w:t>August 11,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p>
      <w:pPr>
        <w:spacing w:after="0" w:line="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74"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subsidiaries of The Goodyear Tire &amp; Rubber Company (the "Parent Company") were, as of September 30, 2026, guarantors of the Company's 4.875% senior notes due 2027, 5% senior notes due 2029, 6.625% senior notes due 2030, 5.25% senior notes due April 2031, 5.25% senior notes due July 2031, 8.875% senior notes due 2032 and 5.625% senior notes due 2033:</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860" w:type="dxa"/>
            <w:vAlign w:val="bottom"/>
            <w:gridSpan w:val="3"/>
          </w:tcPr>
          <w:p>
            <w:pPr>
              <w:ind w:left="2040"/>
              <w:spacing w:after="0"/>
              <w:rPr>
                <w:sz w:val="20"/>
                <w:szCs w:val="20"/>
                <w:color w:val="auto"/>
              </w:rPr>
            </w:pPr>
            <w:r>
              <w:rPr>
                <w:rFonts w:ascii="Times New Roman" w:cs="Times New Roman" w:eastAsia="Times New Roman" w:hAnsi="Times New Roman"/>
                <w:sz w:val="18"/>
                <w:szCs w:val="18"/>
                <w:b w:val="1"/>
                <w:bCs w:val="1"/>
                <w:color w:val="auto"/>
                <w:w w:val="98"/>
              </w:rPr>
              <w:t>PLACE OF INCORPORATION OR</w:t>
            </w:r>
          </w:p>
        </w:tc>
      </w:tr>
      <w:tr>
        <w:trPr>
          <w:trHeight w:val="198"/>
        </w:trPr>
        <w:tc>
          <w:tcPr>
            <w:tcW w:w="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4860" w:type="dxa"/>
            <w:vAlign w:val="bottom"/>
            <w:gridSpan w:val="3"/>
          </w:tcPr>
          <w:p>
            <w:pPr>
              <w:ind w:left="2040"/>
              <w:spacing w:after="0" w:line="198" w:lineRule="exact"/>
              <w:rPr>
                <w:sz w:val="20"/>
                <w:szCs w:val="20"/>
                <w:color w:val="auto"/>
              </w:rPr>
            </w:pPr>
            <w:r>
              <w:rPr>
                <w:rFonts w:ascii="Times New Roman" w:cs="Times New Roman" w:eastAsia="Times New Roman" w:hAnsi="Times New Roman"/>
                <w:sz w:val="18"/>
                <w:szCs w:val="18"/>
                <w:b w:val="1"/>
                <w:bCs w:val="1"/>
                <w:color w:val="auto"/>
              </w:rPr>
              <w:t>ORGANIZATION</w:t>
            </w:r>
          </w:p>
        </w:tc>
      </w:tr>
      <w:tr>
        <w:trPr>
          <w:trHeight w:val="250"/>
        </w:trPr>
        <w:tc>
          <w:tcPr>
            <w:tcW w:w="60" w:type="dxa"/>
            <w:vAlign w:val="bottom"/>
          </w:tcPr>
          <w:p>
            <w:pPr>
              <w:spacing w:after="0"/>
              <w:rPr>
                <w:sz w:val="21"/>
                <w:szCs w:val="21"/>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04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38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72"/>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Celeron Corporation</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Cooper International Holding Corporation</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Cooper Tire &amp; Rubber Company LLC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Cooper Tire &amp; Rubber Company Vietnam Holding, LLC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Cooper Tire Holding Company</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Ohio</w:t>
            </w:r>
          </w:p>
        </w:tc>
      </w:tr>
      <w:tr>
        <w:trPr>
          <w:trHeight w:val="23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Divested Companies Holding Company</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Divested Litchfield Park Properties,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Arizona</w:t>
            </w:r>
          </w:p>
        </w:tc>
      </w:tr>
      <w:tr>
        <w:trPr>
          <w:trHeight w:val="23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Goodyear Canada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Goodyear Export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Goodyear Farms,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Arizona</w:t>
            </w:r>
          </w:p>
        </w:tc>
      </w:tr>
      <w:tr>
        <w:trPr>
          <w:trHeight w:val="23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Goodyear International Corporation</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Goodyear Western Hemisphere Corporation</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Max-Trac Tire Co.,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Raben Tire Co., LLC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Indiana</w:t>
            </w:r>
          </w:p>
        </w:tc>
      </w:tr>
      <w:tr>
        <w:trPr>
          <w:trHeight w:val="230"/>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T&amp;WA, Inc.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Kentucky</w:t>
            </w:r>
          </w:p>
        </w:tc>
      </w:tr>
      <w:tr>
        <w:trPr>
          <w:trHeight w:val="234"/>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Wingfoot Brands LLC</w:t>
            </w:r>
          </w:p>
        </w:tc>
        <w:tc>
          <w:tcPr>
            <w:tcW w:w="486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92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 Stewart, certify that:</w:t>
      </w:r>
    </w:p>
    <w:p>
      <w:pPr>
        <w:spacing w:after="0" w:line="180" w:lineRule="exact"/>
        <w:rPr>
          <w:sz w:val="20"/>
          <w:szCs w:val="20"/>
          <w:color w:val="auto"/>
        </w:rPr>
      </w:pPr>
    </w:p>
    <w:p>
      <w:pPr>
        <w:ind w:left="1220" w:hanging="1212"/>
        <w:spacing w:after="0"/>
        <w:tabs>
          <w:tab w:leader="none" w:pos="1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Goodyear Tire &amp; Rubber Company;</w:t>
      </w:r>
    </w:p>
    <w:p>
      <w:pPr>
        <w:spacing w:after="0" w:line="184" w:lineRule="exact"/>
        <w:rPr>
          <w:rFonts w:ascii="Times New Roman" w:cs="Times New Roman" w:eastAsia="Times New Roman" w:hAnsi="Times New Roman"/>
          <w:sz w:val="18"/>
          <w:szCs w:val="18"/>
          <w:color w:val="auto"/>
        </w:rPr>
      </w:pPr>
    </w:p>
    <w:p>
      <w:pPr>
        <w:jc w:val="both"/>
        <w:ind w:left="1220" w:hanging="1212"/>
        <w:spacing w:after="0" w:line="266" w:lineRule="auto"/>
        <w:tabs>
          <w:tab w:leader="none" w:pos="1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1220" w:right="20" w:hanging="1212"/>
        <w:spacing w:after="0" w:line="282" w:lineRule="auto"/>
        <w:tabs>
          <w:tab w:leader="none" w:pos="1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1220" w:hanging="1212"/>
        <w:spacing w:after="0" w:line="261" w:lineRule="auto"/>
        <w:tabs>
          <w:tab w:leader="none" w:pos="1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66" w:lineRule="exact"/>
        <w:rPr>
          <w:rFonts w:ascii="Times New Roman" w:cs="Times New Roman" w:eastAsia="Times New Roman" w:hAnsi="Times New Roman"/>
          <w:sz w:val="18"/>
          <w:szCs w:val="18"/>
          <w:color w:val="auto"/>
        </w:rPr>
      </w:pPr>
    </w:p>
    <w:p>
      <w:pPr>
        <w:jc w:val="both"/>
        <w:ind w:left="2440" w:hanging="1217"/>
        <w:spacing w:after="0" w:line="261" w:lineRule="auto"/>
        <w:tabs>
          <w:tab w:leader="none" w:pos="243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jc w:val="both"/>
        <w:ind w:left="2440" w:hanging="1217"/>
        <w:spacing w:after="0" w:line="266" w:lineRule="auto"/>
        <w:tabs>
          <w:tab w:leader="none" w:pos="242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2440" w:hanging="1217"/>
        <w:spacing w:after="0" w:line="266" w:lineRule="auto"/>
        <w:tabs>
          <w:tab w:leader="none" w:pos="243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2440" w:hanging="1217"/>
        <w:spacing w:after="0" w:line="261" w:lineRule="auto"/>
        <w:tabs>
          <w:tab w:leader="none" w:pos="242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auto"/>
        </w:rPr>
      </w:pPr>
    </w:p>
    <w:p>
      <w:pPr>
        <w:jc w:val="both"/>
        <w:ind w:left="1220" w:hanging="1212"/>
        <w:spacing w:after="0" w:line="266" w:lineRule="auto"/>
        <w:tabs>
          <w:tab w:leader="none" w:pos="1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jc w:val="both"/>
        <w:ind w:left="2440" w:hanging="1217"/>
        <w:spacing w:after="0" w:line="266" w:lineRule="auto"/>
        <w:tabs>
          <w:tab w:leader="none" w:pos="243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2440" w:hanging="1217"/>
        <w:spacing w:after="0" w:line="282" w:lineRule="auto"/>
        <w:tabs>
          <w:tab w:leader="none" w:pos="242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66"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W. S</w:t>
      </w:r>
      <w:r>
        <w:rPr>
          <w:rFonts w:ascii="Times New Roman" w:cs="Times New Roman" w:eastAsia="Times New Roman" w:hAnsi="Times New Roman"/>
          <w:sz w:val="14"/>
          <w:szCs w:val="14"/>
          <w:color w:val="auto"/>
        </w:rPr>
        <w:t>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34290</wp:posOffset>
            </wp:positionV>
            <wp:extent cx="428625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7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Mark W. Stewart</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43"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Deakin, certify that:</w:t>
      </w:r>
    </w:p>
    <w:p>
      <w:pPr>
        <w:spacing w:after="0" w:line="180" w:lineRule="exact"/>
        <w:rPr>
          <w:sz w:val="20"/>
          <w:szCs w:val="20"/>
          <w:color w:val="auto"/>
        </w:rPr>
      </w:pPr>
    </w:p>
    <w:p>
      <w:pPr>
        <w:ind w:left="1220" w:hanging="1212"/>
        <w:spacing w:after="0"/>
        <w:tabs>
          <w:tab w:leader="none" w:pos="1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Goodyear Tire &amp; Rubber Company;</w:t>
      </w:r>
    </w:p>
    <w:p>
      <w:pPr>
        <w:spacing w:after="0" w:line="184" w:lineRule="exact"/>
        <w:rPr>
          <w:rFonts w:ascii="Times New Roman" w:cs="Times New Roman" w:eastAsia="Times New Roman" w:hAnsi="Times New Roman"/>
          <w:sz w:val="18"/>
          <w:szCs w:val="18"/>
          <w:color w:val="auto"/>
        </w:rPr>
      </w:pPr>
    </w:p>
    <w:p>
      <w:pPr>
        <w:jc w:val="both"/>
        <w:ind w:left="1220" w:hanging="1212"/>
        <w:spacing w:after="0" w:line="266" w:lineRule="auto"/>
        <w:tabs>
          <w:tab w:leader="none" w:pos="1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1220" w:right="20" w:hanging="1212"/>
        <w:spacing w:after="0" w:line="282" w:lineRule="auto"/>
        <w:tabs>
          <w:tab w:leader="none" w:pos="1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1220" w:hanging="1212"/>
        <w:spacing w:after="0" w:line="261" w:lineRule="auto"/>
        <w:tabs>
          <w:tab w:leader="none" w:pos="1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66" w:lineRule="exact"/>
        <w:rPr>
          <w:rFonts w:ascii="Times New Roman" w:cs="Times New Roman" w:eastAsia="Times New Roman" w:hAnsi="Times New Roman"/>
          <w:sz w:val="18"/>
          <w:szCs w:val="18"/>
          <w:color w:val="auto"/>
        </w:rPr>
      </w:pPr>
    </w:p>
    <w:p>
      <w:pPr>
        <w:jc w:val="both"/>
        <w:ind w:left="2440" w:hanging="1217"/>
        <w:spacing w:after="0" w:line="261" w:lineRule="auto"/>
        <w:tabs>
          <w:tab w:leader="none" w:pos="243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9" w:lineRule="exact"/>
        <w:rPr>
          <w:rFonts w:ascii="Times New Roman" w:cs="Times New Roman" w:eastAsia="Times New Roman" w:hAnsi="Times New Roman"/>
          <w:sz w:val="18"/>
          <w:szCs w:val="18"/>
          <w:color w:val="auto"/>
        </w:rPr>
      </w:pPr>
    </w:p>
    <w:p>
      <w:pPr>
        <w:jc w:val="both"/>
        <w:ind w:left="2440" w:hanging="1217"/>
        <w:spacing w:after="0" w:line="266" w:lineRule="auto"/>
        <w:tabs>
          <w:tab w:leader="none" w:pos="242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2440" w:hanging="1217"/>
        <w:spacing w:after="0" w:line="266" w:lineRule="auto"/>
        <w:tabs>
          <w:tab w:leader="none" w:pos="243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2440" w:hanging="1217"/>
        <w:spacing w:after="0" w:line="261" w:lineRule="auto"/>
        <w:tabs>
          <w:tab w:leader="none" w:pos="242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8"/>
          <w:szCs w:val="18"/>
          <w:color w:val="auto"/>
        </w:rPr>
      </w:pPr>
    </w:p>
    <w:p>
      <w:pPr>
        <w:jc w:val="both"/>
        <w:ind w:left="1220" w:hanging="1212"/>
        <w:spacing w:after="0" w:line="266" w:lineRule="auto"/>
        <w:tabs>
          <w:tab w:leader="none" w:pos="1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jc w:val="both"/>
        <w:ind w:left="2440" w:hanging="1217"/>
        <w:spacing w:after="0" w:line="266" w:lineRule="auto"/>
        <w:tabs>
          <w:tab w:leader="none" w:pos="243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2440" w:hanging="1217"/>
        <w:spacing w:after="0" w:line="282" w:lineRule="auto"/>
        <w:tabs>
          <w:tab w:leader="none" w:pos="242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6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4"/>
          <w:szCs w:val="14"/>
          <w:color w:val="auto"/>
        </w:rPr>
        <w:t>COTT</w:t>
      </w:r>
      <w:r>
        <w:rPr>
          <w:rFonts w:ascii="Times New Roman" w:cs="Times New Roman" w:eastAsia="Times New Roman" w:hAnsi="Times New Roman"/>
          <w:sz w:val="18"/>
          <w:szCs w:val="18"/>
          <w:color w:val="auto"/>
        </w:rPr>
        <w:t xml:space="preserve"> M. D</w:t>
      </w:r>
      <w:r>
        <w:rPr>
          <w:rFonts w:ascii="Times New Roman" w:cs="Times New Roman" w:eastAsia="Times New Roman" w:hAnsi="Times New Roman"/>
          <w:sz w:val="14"/>
          <w:szCs w:val="14"/>
          <w:color w:val="auto"/>
        </w:rPr>
        <w:t>EAKIN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34290</wp:posOffset>
            </wp:positionV>
            <wp:extent cx="428625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7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Scott M. Deakin</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Interim Executive Vice President and Chief Financial Officer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43"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Section 1350, Chapter 63 of Title 18, United States Code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each of the undersigned officers of The Goodyear Tire &amp; Rubber Company, an Ohio corporation (the “Company”), hereby certifies with respect to the Quarterly Report on Form 10-Q of the Company for the quarter ended September 30, 2026, as filed with the Securities and Exchange Commission (the “10-Q Report”) that to their knowledge:</w:t>
      </w:r>
    </w:p>
    <w:p>
      <w:pPr>
        <w:spacing w:after="0" w:line="135" w:lineRule="exact"/>
        <w:rPr>
          <w:sz w:val="20"/>
          <w:szCs w:val="20"/>
          <w:color w:val="auto"/>
        </w:rPr>
      </w:pPr>
    </w:p>
    <w:p>
      <w:pPr>
        <w:ind w:left="1300" w:hanging="1292"/>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10-Q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300" w:hanging="1292"/>
        <w:spacing w:after="0" w:line="282" w:lineRule="auto"/>
        <w:tabs>
          <w:tab w:leader="none" w:pos="12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10-Q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ind w:left="100"/>
        <w:spacing w:after="0"/>
        <w:tabs>
          <w:tab w:leader="none" w:pos="5740" w:val="left"/>
        </w:tabs>
        <w:rPr>
          <w:sz w:val="20"/>
          <w:szCs w:val="20"/>
          <w:color w:val="auto"/>
        </w:rPr>
      </w:pPr>
      <w:r>
        <w:rPr>
          <w:rFonts w:ascii="Times New Roman" w:cs="Times New Roman" w:eastAsia="Times New Roman" w:hAnsi="Times New Roman"/>
          <w:sz w:val="18"/>
          <w:szCs w:val="18"/>
          <w:color w:val="auto"/>
        </w:rPr>
        <w:t>Dated: November 5, 2026</w:t>
      </w:r>
      <w:r>
        <w:rPr>
          <w:sz w:val="20"/>
          <w:szCs w:val="20"/>
          <w:color w:val="auto"/>
        </w:rPr>
        <w:tab/>
      </w:r>
      <w:r>
        <w:rPr>
          <w:rFonts w:ascii="Times New Roman" w:cs="Times New Roman" w:eastAsia="Times New Roman" w:hAnsi="Times New Roman"/>
          <w:sz w:val="17"/>
          <w:szCs w:val="17"/>
          <w:color w:val="auto"/>
        </w:rPr>
        <w:t>/s/ M</w:t>
      </w:r>
      <w:r>
        <w:rPr>
          <w:rFonts w:ascii="Times New Roman" w:cs="Times New Roman" w:eastAsia="Times New Roman" w:hAnsi="Times New Roman"/>
          <w:sz w:val="13"/>
          <w:szCs w:val="13"/>
          <w:color w:val="auto"/>
        </w:rPr>
        <w:t>ARK</w:t>
      </w:r>
      <w:r>
        <w:rPr>
          <w:rFonts w:ascii="Times New Roman" w:cs="Times New Roman" w:eastAsia="Times New Roman" w:hAnsi="Times New Roman"/>
          <w:sz w:val="17"/>
          <w:szCs w:val="17"/>
          <w:color w:val="auto"/>
        </w:rPr>
        <w:t xml:space="preserve"> W. S</w:t>
      </w:r>
      <w:r>
        <w:rPr>
          <w:rFonts w:ascii="Times New Roman" w:cs="Times New Roman" w:eastAsia="Times New Roman" w:hAnsi="Times New Roman"/>
          <w:sz w:val="13"/>
          <w:szCs w:val="13"/>
          <w:color w:val="auto"/>
        </w:rPr>
        <w:t>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34290</wp:posOffset>
            </wp:positionV>
            <wp:extent cx="431165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311650" cy="8255"/>
                    </a:xfrm>
                    <a:prstGeom prst="rect">
                      <a:avLst/>
                    </a:prstGeom>
                    <a:noFill/>
                  </pic:spPr>
                </pic:pic>
              </a:graphicData>
            </a:graphic>
          </wp:anchor>
        </w:drawing>
      </w:r>
    </w:p>
    <w:p>
      <w:pPr>
        <w:spacing w:after="0" w:line="7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Mark W. Stewart</w:t>
      </w:r>
    </w:p>
    <w:p>
      <w:pPr>
        <w:spacing w:after="0" w:line="7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7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0"/>
        <w:spacing w:after="0"/>
        <w:tabs>
          <w:tab w:leader="none" w:pos="5780" w:val="left"/>
        </w:tabs>
        <w:rPr>
          <w:sz w:val="20"/>
          <w:szCs w:val="20"/>
          <w:color w:val="auto"/>
        </w:rPr>
      </w:pPr>
      <w:r>
        <w:rPr>
          <w:rFonts w:ascii="Times New Roman" w:cs="Times New Roman" w:eastAsia="Times New Roman" w:hAnsi="Times New Roman"/>
          <w:sz w:val="18"/>
          <w:szCs w:val="18"/>
          <w:color w:val="auto"/>
        </w:rPr>
        <w:t>Dated: November 5, 2026</w:t>
      </w:r>
      <w:r>
        <w:rPr>
          <w:sz w:val="20"/>
          <w:szCs w:val="20"/>
          <w:color w:val="auto"/>
        </w:rPr>
        <w:tab/>
      </w:r>
      <w:r>
        <w:rPr>
          <w:rFonts w:ascii="Times New Roman" w:cs="Times New Roman" w:eastAsia="Times New Roman" w:hAnsi="Times New Roman"/>
          <w:sz w:val="18"/>
          <w:szCs w:val="18"/>
          <w:color w:val="auto"/>
        </w:rPr>
        <w:t>/s/ S</w:t>
      </w:r>
      <w:r>
        <w:rPr>
          <w:rFonts w:ascii="Times New Roman" w:cs="Times New Roman" w:eastAsia="Times New Roman" w:hAnsi="Times New Roman"/>
          <w:sz w:val="14"/>
          <w:szCs w:val="14"/>
          <w:color w:val="auto"/>
        </w:rPr>
        <w:t>COTT</w:t>
      </w:r>
      <w:r>
        <w:rPr>
          <w:rFonts w:ascii="Times New Roman" w:cs="Times New Roman" w:eastAsia="Times New Roman" w:hAnsi="Times New Roman"/>
          <w:sz w:val="18"/>
          <w:szCs w:val="18"/>
          <w:color w:val="auto"/>
        </w:rPr>
        <w:t xml:space="preserve"> M. D</w:t>
      </w:r>
      <w:r>
        <w:rPr>
          <w:rFonts w:ascii="Times New Roman" w:cs="Times New Roman" w:eastAsia="Times New Roman" w:hAnsi="Times New Roman"/>
          <w:sz w:val="14"/>
          <w:szCs w:val="14"/>
          <w:color w:val="auto"/>
        </w:rPr>
        <w:t>EAKIN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34290</wp:posOffset>
            </wp:positionV>
            <wp:extent cx="431165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311650" cy="8255"/>
                    </a:xfrm>
                    <a:prstGeom prst="rect">
                      <a:avLst/>
                    </a:prstGeom>
                    <a:noFill/>
                  </pic:spPr>
                </pic:pic>
              </a:graphicData>
            </a:graphic>
          </wp:anchor>
        </w:drawing>
      </w:r>
    </w:p>
    <w:p>
      <w:pPr>
        <w:spacing w:after="0" w:line="7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Scott M. Deakin</w:t>
      </w:r>
    </w:p>
    <w:p>
      <w:pPr>
        <w:spacing w:after="0" w:line="7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Interim Executive Vice President and Chief Financial Officer</w:t>
      </w:r>
    </w:p>
    <w:p>
      <w:pPr>
        <w:spacing w:after="0" w:line="7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The Goodyear Tire &amp; Rubber Company</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emdash "/>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2"/>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0"/>
    </w:lvl>
  </w:abstractNum>
  <w:abstractNum w:abstractNumId="17">
    <w:nsid w:val="628C895D"/>
    <w:multiLevelType w:val="hybridMultilevel"/>
    <w:lvl w:ilvl="0">
      <w:lvlJc w:val="left"/>
      <w:lvlText w:val="%1"/>
      <w:numFmt w:val="decimal"/>
      <w:start w:val="22"/>
    </w:lvl>
  </w:abstractNum>
  <w:abstractNum w:abstractNumId="18">
    <w:nsid w:val="333AB105"/>
    <w:multiLevelType w:val="hybridMultilevel"/>
    <w:lvl w:ilvl="0">
      <w:lvlJc w:val="left"/>
      <w:lvlText w:val="%1"/>
      <w:numFmt w:val="decimal"/>
      <w:start w:val="31"/>
    </w:lvl>
  </w:abstractNum>
  <w:abstractNum w:abstractNumId="19">
    <w:nsid w:val="721DA317"/>
    <w:multiLevelType w:val="hybridMultilevel"/>
    <w:lvl w:ilvl="0">
      <w:lvlJc w:val="left"/>
      <w:lvlText w:val="%1"/>
      <w:numFmt w:val="decimal"/>
      <w:start w:val="32"/>
    </w:lvl>
  </w:abstractNum>
  <w:abstractNum w:abstractNumId="20">
    <w:nsid w:val="2443A858"/>
    <w:multiLevelType w:val="hybridMultilevel"/>
    <w:lvl w:ilvl="0">
      <w:lvlJc w:val="left"/>
      <w:lvlText w:val="%1"/>
      <w:numFmt w:val="decimal"/>
      <w:start w:val="104"/>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2026-11-05T09:17:40Z</dcterms:created>
  <dcterms:modified xsi:type="dcterms:W3CDTF">2026-11-05T09:17:40Z</dcterms:modified>
</cp:coreProperties>
</file>