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240" w:after="283"/>
        <w:jc w:val="left"/>
        <w:rPr/>
      </w:pPr>
      <w:hyperlink w:anchor="ic6c494b4098947579b1e17aeda6e5d76_7">
        <w:r>
          <w:rPr>
            <w:rStyle w:val="InternetLink"/>
            <w:rFonts w:ascii="Times New Roman;serif" w:hAnsi="Times New Roman;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120" w:after="120"/>
        <w:jc w:val="center"/>
        <w:rPr>
          <w:rFonts w:ascii="Times New Roman;serif" w:hAnsi="Times New Roman;serif"/>
          <w:b/>
          <w:color w:val="000000"/>
          <w:sz w:val="36"/>
        </w:rPr>
      </w:pPr>
      <w:r>
        <w:rPr>
          <w:rFonts w:ascii="Times New Roman;serif" w:hAnsi="Times New Roman;serif"/>
          <w:b/>
          <w:color w:val="000000"/>
          <w:sz w:val="36"/>
        </w:rPr>
        <w:t>FORM 10-Q</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QUARTERLY REPORT PURSUANT TO SECTION 13 OR 15(d)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Quarterly Period Ended June 30, 2026</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Commission File Number: 1-1927</w:t>
      </w:r>
    </w:p>
    <w:p>
      <w:pPr>
        <w:pStyle w:val="TextBody"/>
        <w:bidi w:val="0"/>
        <w:spacing w:lineRule="auto" w:line="288" w:before="0" w:after="0"/>
        <w:jc w:val="center"/>
        <w:rPr>
          <w:rFonts w:ascii="Times New Roman;serif" w:hAnsi="Times New Roman;serif"/>
          <w:b/>
          <w:color w:val="000000"/>
          <w:sz w:val="46"/>
        </w:rPr>
      </w:pPr>
      <w:r>
        <w:rPr>
          <w:rFonts w:ascii="Times New Roman;serif" w:hAnsi="Times New Roman;serif"/>
          <w:b/>
          <w:color w:val="000000"/>
          <w:sz w:val="46"/>
        </w:rPr>
        <w:t>THE GOODYEAR TIRE &amp; RUBBER COMPANY</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4585" w:type="dxa"/>
        <w:jc w:val="left"/>
        <w:tblInd w:w="0" w:type="dxa"/>
        <w:tblLayout w:type="fixed"/>
        <w:tblCellMar>
          <w:top w:w="28" w:type="dxa"/>
          <w:left w:w="28" w:type="dxa"/>
          <w:bottom w:w="28" w:type="dxa"/>
          <w:right w:w="28" w:type="dxa"/>
        </w:tblCellMar>
      </w:tblPr>
      <w:tblGrid>
        <w:gridCol w:w="943"/>
        <w:gridCol w:w="829"/>
        <w:gridCol w:w="837"/>
        <w:gridCol w:w="109"/>
        <w:gridCol w:w="109"/>
        <w:gridCol w:w="109"/>
        <w:gridCol w:w="481"/>
        <w:gridCol w:w="481"/>
        <w:gridCol w:w="687"/>
      </w:tblGrid>
      <w:tr>
        <w:trPr/>
        <w:tc>
          <w:tcPr>
            <w:tcW w:w="943"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Ohio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34-0253240</w:t>
            </w:r>
          </w:p>
        </w:tc>
      </w:tr>
      <w:tr>
        <w:trPr/>
        <w:tc>
          <w:tcPr>
            <w:tcW w:w="26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br/>
              <w:t>Identification No.)</w:t>
            </w:r>
          </w:p>
        </w:tc>
      </w:tr>
    </w:tbl>
    <w:tbl>
      <w:tblPr>
        <w:tblW w:w="4841" w:type="dxa"/>
        <w:jc w:val="left"/>
        <w:tblInd w:w="0" w:type="dxa"/>
        <w:tblLayout w:type="fixed"/>
        <w:tblCellMar>
          <w:top w:w="28" w:type="dxa"/>
          <w:left w:w="28" w:type="dxa"/>
          <w:bottom w:w="28" w:type="dxa"/>
          <w:right w:w="28" w:type="dxa"/>
        </w:tblCellMar>
      </w:tblPr>
      <w:tblGrid>
        <w:gridCol w:w="1218"/>
        <w:gridCol w:w="1068"/>
        <w:gridCol w:w="1074"/>
        <w:gridCol w:w="109"/>
        <w:gridCol w:w="109"/>
        <w:gridCol w:w="109"/>
        <w:gridCol w:w="337"/>
        <w:gridCol w:w="337"/>
        <w:gridCol w:w="480"/>
      </w:tblGrid>
      <w:tr>
        <w:trPr/>
        <w:tc>
          <w:tcPr>
            <w:tcW w:w="1218"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200 Innovation Way, Akron, Ohio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44316-0001</w:t>
            </w:r>
          </w:p>
        </w:tc>
      </w:tr>
      <w:tr>
        <w:trPr/>
        <w:tc>
          <w:tcPr>
            <w:tcW w:w="33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(330) 796-2121</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7238" w:type="dxa"/>
        <w:jc w:val="left"/>
        <w:tblInd w:w="0" w:type="dxa"/>
        <w:tblLayout w:type="fixed"/>
        <w:tblCellMar>
          <w:top w:w="28" w:type="dxa"/>
          <w:left w:w="28" w:type="dxa"/>
          <w:bottom w:w="28" w:type="dxa"/>
          <w:right w:w="28" w:type="dxa"/>
        </w:tblCellMar>
      </w:tblPr>
      <w:tblGrid>
        <w:gridCol w:w="1073"/>
        <w:gridCol w:w="943"/>
        <w:gridCol w:w="954"/>
        <w:gridCol w:w="109"/>
        <w:gridCol w:w="109"/>
        <w:gridCol w:w="109"/>
        <w:gridCol w:w="314"/>
        <w:gridCol w:w="314"/>
        <w:gridCol w:w="316"/>
        <w:gridCol w:w="109"/>
        <w:gridCol w:w="109"/>
        <w:gridCol w:w="109"/>
        <w:gridCol w:w="780"/>
        <w:gridCol w:w="780"/>
        <w:gridCol w:w="1110"/>
      </w:tblGrid>
      <w:tr>
        <w:trPr/>
        <w:tc>
          <w:tcPr>
            <w:tcW w:w="107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Trading</w:t>
              <w:b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Name of each exchange</w:t>
              <w:br/>
              <w:t>on which registered</w:t>
            </w:r>
          </w:p>
        </w:tc>
      </w:tr>
      <w:tr>
        <w:trPr/>
        <w:tc>
          <w:tcPr>
            <w:tcW w:w="2970"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Without Par Value</w:t>
            </w:r>
          </w:p>
        </w:tc>
        <w:tc>
          <w:tcPr>
            <w:tcW w:w="327" w:type="dxa"/>
            <w:gridSpan w:val="3"/>
            <w:tcBorders>
              <w:top w:val="single" w:sz="6"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GT</w:t>
            </w:r>
          </w:p>
        </w:tc>
        <w:tc>
          <w:tcPr>
            <w:tcW w:w="327" w:type="dxa"/>
            <w:gridSpan w:val="3"/>
            <w:tcBorders>
              <w:top w:val="single" w:sz="6"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lineRule="auto" w:line="288" w:before="120" w:after="283"/>
        <w:jc w:val="center"/>
        <w:rPr/>
      </w:pPr>
      <w:r>
        <w:rPr>
          <w:rFonts w:ascii="Times New Roman;serif" w:hAnsi="Times New Roman;serif"/>
          <w:b w:val="false"/>
          <w:color w:val="000000"/>
          <w:sz w:val="20"/>
          <w:u w:val="single"/>
        </w:rPr>
        <w:t>Yes</w:t>
      </w:r>
      <w:r>
        <w:rPr>
          <w:color w:val="000000"/>
        </w:rPr>
        <w:t xml:space="preserve"> ☑ </w:t>
      </w:r>
      <w:r>
        <w:rPr>
          <w:rFonts w:ascii="Times New Roman;serif" w:hAnsi="Times New Roman;serif"/>
          <w:b w:val="false"/>
          <w:color w:val="000000"/>
          <w:sz w:val="20"/>
          <w:u w:val="single"/>
        </w:rPr>
        <w:t>No</w:t>
      </w:r>
      <w:r>
        <w:rPr>
          <w:color w:val="000000"/>
        </w:rPr>
        <w:t xml:space="preserv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w:t>
      </w:r>
    </w:p>
    <w:p>
      <w:pPr>
        <w:pStyle w:val="TextBody"/>
        <w:bidi w:val="0"/>
        <w:spacing w:lineRule="auto" w:line="288" w:before="0" w:after="0"/>
        <w:jc w:val="center"/>
        <w:rPr/>
      </w:pPr>
      <w:r>
        <w:rPr>
          <w:rFonts w:ascii="Times New Roman;serif" w:hAnsi="Times New Roman;serif"/>
          <w:b w:val="false"/>
          <w:color w:val="000000"/>
          <w:sz w:val="20"/>
          <w:u w:val="single"/>
        </w:rPr>
        <w:t>Yes</w:t>
      </w:r>
      <w:r>
        <w:rPr>
          <w:color w:val="000000"/>
        </w:rPr>
        <w:t xml:space="preserve"> ☑ </w:t>
      </w:r>
      <w:r>
        <w:rPr>
          <w:rFonts w:ascii="Times New Roman;serif" w:hAnsi="Times New Roman;serif"/>
          <w:b w:val="false"/>
          <w:color w:val="000000"/>
          <w:sz w:val="20"/>
          <w:u w:val="single"/>
        </w:rPr>
        <w:t>No</w:t>
      </w:r>
      <w:r>
        <w:rPr>
          <w:color w:val="000000"/>
        </w:rPr>
        <w:t xml:space="preserv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10205" w:type="dxa"/>
        <w:jc w:val="left"/>
        <w:tblInd w:w="0" w:type="dxa"/>
        <w:tblLayout w:type="fixed"/>
        <w:tblCellMar>
          <w:top w:w="28" w:type="dxa"/>
          <w:left w:w="28" w:type="dxa"/>
          <w:bottom w:w="28" w:type="dxa"/>
          <w:right w:w="28" w:type="dxa"/>
        </w:tblCellMar>
      </w:tblPr>
      <w:tblGrid>
        <w:gridCol w:w="605"/>
        <w:gridCol w:w="532"/>
        <w:gridCol w:w="534"/>
        <w:gridCol w:w="109"/>
        <w:gridCol w:w="109"/>
        <w:gridCol w:w="109"/>
        <w:gridCol w:w="444"/>
        <w:gridCol w:w="444"/>
        <w:gridCol w:w="446"/>
        <w:gridCol w:w="109"/>
        <w:gridCol w:w="109"/>
        <w:gridCol w:w="109"/>
        <w:gridCol w:w="564"/>
        <w:gridCol w:w="564"/>
        <w:gridCol w:w="566"/>
        <w:gridCol w:w="109"/>
        <w:gridCol w:w="109"/>
        <w:gridCol w:w="109"/>
        <w:gridCol w:w="634"/>
        <w:gridCol w:w="634"/>
        <w:gridCol w:w="636"/>
        <w:gridCol w:w="109"/>
        <w:gridCol w:w="109"/>
        <w:gridCol w:w="109"/>
        <w:gridCol w:w="638"/>
        <w:gridCol w:w="638"/>
        <w:gridCol w:w="640"/>
        <w:gridCol w:w="109"/>
        <w:gridCol w:w="109"/>
        <w:gridCol w:w="160"/>
      </w:tblGrid>
      <w:tr>
        <w:trPr/>
        <w:tc>
          <w:tcPr>
            <w:tcW w:w="605"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13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16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19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19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8"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shell company (as defined in Rule 12b-2 of the Exchange Act).</w:t>
      </w:r>
    </w:p>
    <w:p>
      <w:pPr>
        <w:pStyle w:val="TextBody"/>
        <w:bidi w:val="0"/>
        <w:spacing w:lineRule="auto" w:line="288" w:before="120" w:after="60"/>
        <w:jc w:val="center"/>
        <w:rPr/>
      </w:pPr>
      <w:r>
        <w:rPr>
          <w:rFonts w:ascii="Times New Roman;serif" w:hAnsi="Times New Roman;serif"/>
          <w:b w:val="false"/>
          <w:color w:val="000000"/>
          <w:sz w:val="20"/>
          <w:u w:val="single"/>
        </w:rPr>
        <w:t>Yes</w:t>
      </w:r>
      <w:r>
        <w:rPr>
          <w:color w:val="000000"/>
        </w:rPr>
        <w:t xml:space="preserve"> ☐ </w:t>
      </w:r>
      <w:r>
        <w:rPr>
          <w:rFonts w:ascii="Times New Roman;serif" w:hAnsi="Times New Roman;serif"/>
          <w:b w:val="false"/>
          <w:color w:val="000000"/>
          <w:sz w:val="20"/>
          <w:u w:val="single"/>
        </w:rPr>
        <w:t>No</w:t>
      </w:r>
      <w:r>
        <w:rPr>
          <w:color w:val="000000"/>
        </w:rPr>
        <w:t xml:space="preserv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Indicate the number of shares outstanding of each of the registrant’s classes of common stock, as of the latest practicable date.</w:t>
      </w:r>
    </w:p>
    <w:tbl>
      <w:tblPr>
        <w:tblW w:w="5638" w:type="dxa"/>
        <w:jc w:val="left"/>
        <w:tblInd w:w="0" w:type="dxa"/>
        <w:tblLayout w:type="fixed"/>
        <w:tblCellMar>
          <w:top w:w="28" w:type="dxa"/>
          <w:left w:w="28" w:type="dxa"/>
          <w:bottom w:w="28" w:type="dxa"/>
          <w:right w:w="28" w:type="dxa"/>
        </w:tblCellMar>
      </w:tblPr>
      <w:tblGrid>
        <w:gridCol w:w="1492"/>
        <w:gridCol w:w="1312"/>
        <w:gridCol w:w="1321"/>
        <w:gridCol w:w="109"/>
        <w:gridCol w:w="109"/>
        <w:gridCol w:w="109"/>
        <w:gridCol w:w="347"/>
        <w:gridCol w:w="347"/>
        <w:gridCol w:w="492"/>
      </w:tblGrid>
      <w:tr>
        <w:trPr/>
        <w:tc>
          <w:tcPr>
            <w:tcW w:w="1492"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Number of Shares of Common Stock,</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Without Par Value, Outstanding at July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287,898,737</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left"/>
                        <w:rPr/>
                      </w:pPr>
                      <w:r>
                        <w:rPr/>
                      </w:r>
                    </w:p>
                  </w:txbxContent>
                </v:textbox>
                <w10:wrap type="none"/>
              </v:rect>
            </w:pict>
          </mc:Fallback>
        </mc:AlternateContent>
      </w:r>
    </w:p>
    <w:p>
      <w:pPr>
        <w:pStyle w:val="TextBody"/>
        <w:bidi w:val="0"/>
        <w:spacing w:lineRule="auto" w:line="288" w:before="240" w:after="283"/>
        <w:jc w:val="left"/>
        <w:rPr/>
      </w:pPr>
      <w:hyperlink w:anchor="ic6c494b4098947579b1e17aeda6e5d7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120"/>
        <w:jc w:val="center"/>
        <w:rPr>
          <w:rFonts w:ascii="Times New Roman;serif" w:hAnsi="Times New Roman;serif"/>
          <w:b/>
          <w:color w:val="000000"/>
          <w:sz w:val="24"/>
          <w:u w:val="single"/>
        </w:rPr>
      </w:pPr>
      <w:r>
        <w:rPr>
          <w:rFonts w:ascii="Times New Roman;serif" w:hAnsi="Times New Roman;serif"/>
          <w:b/>
          <w:color w:val="000000"/>
          <w:sz w:val="24"/>
          <w:u w:val="single"/>
        </w:rPr>
        <w:t>TABLE OF CONTENTS</w:t>
      </w:r>
    </w:p>
    <w:tbl>
      <w:tblPr>
        <w:tblW w:w="10205" w:type="dxa"/>
        <w:jc w:val="left"/>
        <w:tblInd w:w="0" w:type="dxa"/>
        <w:tblLayout w:type="fixed"/>
        <w:tblCellMar>
          <w:top w:w="28" w:type="dxa"/>
          <w:left w:w="28" w:type="dxa"/>
          <w:bottom w:w="28" w:type="dxa"/>
          <w:right w:w="28" w:type="dxa"/>
        </w:tblCellMar>
      </w:tblPr>
      <w:tblGrid>
        <w:gridCol w:w="510"/>
        <w:gridCol w:w="450"/>
        <w:gridCol w:w="450"/>
        <w:gridCol w:w="2618"/>
        <w:gridCol w:w="2572"/>
        <w:gridCol w:w="3605"/>
      </w:tblGrid>
      <w:tr>
        <w:trPr/>
        <w:tc>
          <w:tcPr>
            <w:tcW w:w="51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2618" w:type="dxa"/>
            <w:tcBorders/>
            <w:vAlign w:val="center"/>
          </w:tcPr>
          <w:p>
            <w:pPr>
              <w:pStyle w:val="TableContents"/>
              <w:bidi w:val="0"/>
              <w:spacing w:before="0" w:after="283"/>
              <w:jc w:val="left"/>
              <w:rPr>
                <w:sz w:val="4"/>
                <w:szCs w:val="4"/>
              </w:rPr>
            </w:pPr>
            <w:r>
              <w:rPr>
                <w:sz w:val="4"/>
                <w:szCs w:val="4"/>
              </w:rPr>
            </w:r>
          </w:p>
        </w:tc>
        <w:tc>
          <w:tcPr>
            <w:tcW w:w="2572" w:type="dxa"/>
            <w:tcBorders/>
            <w:vAlign w:val="center"/>
          </w:tcPr>
          <w:p>
            <w:pPr>
              <w:pStyle w:val="TableContents"/>
              <w:bidi w:val="0"/>
              <w:spacing w:before="0" w:after="283"/>
              <w:jc w:val="left"/>
              <w:rPr>
                <w:sz w:val="4"/>
                <w:szCs w:val="4"/>
              </w:rPr>
            </w:pPr>
            <w:r>
              <w:rPr>
                <w:sz w:val="4"/>
                <w:szCs w:val="4"/>
              </w:rPr>
            </w:r>
          </w:p>
        </w:tc>
        <w:tc>
          <w:tcPr>
            <w:tcW w:w="3605"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c6c494b4098947579b1e17aeda6e5d76_10">
              <w:r>
                <w:rPr>
                  <w:rStyle w:val="InternetLink"/>
                  <w:rFonts w:ascii="Times New Roman;serif" w:hAnsi="Times New Roman;serif"/>
                  <w:b w:val="false"/>
                  <w:color w:val="0000FF"/>
                  <w:sz w:val="20"/>
                  <w:u w:val="single"/>
                </w:rPr>
                <w:t>PART I. FINANCIAL INFORMATION</w:t>
              </w:r>
            </w:hyperlink>
          </w:p>
        </w:tc>
      </w:tr>
      <w:tr>
        <w:trPr/>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6c494b4098947579b1e17aeda6e5d76_13">
              <w:r>
                <w:rPr>
                  <w:rStyle w:val="InternetLink"/>
                  <w:rFonts w:ascii="Times New Roman;serif" w:hAnsi="Times New Roman;serif"/>
                  <w:b w:val="false"/>
                  <w:color w:val="0000FF"/>
                  <w:sz w:val="20"/>
                  <w:u w:val="single"/>
                </w:rPr>
                <w:t>ITEM 1. FINANCIAL STATEMENTS</w:t>
              </w:r>
            </w:hyperlink>
          </w:p>
        </w:tc>
      </w:tr>
      <w:tr>
        <w:trPr/>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6c494b4098947579b1e17aeda6e5d76_37">
              <w:r>
                <w:rPr>
                  <w:rStyle w:val="InternetLink"/>
                  <w:rFonts w:ascii="Times New Roman;serif" w:hAnsi="Times New Roman;serif"/>
                  <w:b w:val="false"/>
                  <w:color w:val="0000FF"/>
                  <w:sz w:val="20"/>
                  <w:u w:val="single"/>
                </w:rPr>
                <w:t>NOTES TO CONSOLIDATED FINANCIAL STATEMENTS</w:t>
              </w:r>
            </w:hyperlink>
          </w:p>
        </w:tc>
      </w:tr>
      <w:tr>
        <w:trPr/>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6c494b4098947579b1e17aeda6e5d76_268">
              <w:r>
                <w:rPr>
                  <w:rStyle w:val="InternetLink"/>
                  <w:rFonts w:ascii="Times New Roman;serif" w:hAnsi="Times New Roman;serif"/>
                  <w:b w:val="false"/>
                  <w:color w:val="0000FF"/>
                  <w:sz w:val="20"/>
                  <w:u w:val="single"/>
                </w:rPr>
                <w:t>ITEM 2. MANAGEMENT'S DISCUSSION AND ANALYSIS OF FINANCIAL CONDITION AND RESULTS OF OPERATIONS</w:t>
              </w:r>
            </w:hyperlink>
          </w:p>
        </w:tc>
      </w:tr>
      <w:tr>
        <w:trPr/>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6c494b4098947579b1e17aeda6e5d76_346">
              <w:r>
                <w:rPr>
                  <w:rStyle w:val="InternetLink"/>
                  <w:rFonts w:ascii="Times New Roman;serif" w:hAnsi="Times New Roman;serif"/>
                  <w:b w:val="false"/>
                  <w:color w:val="0000FF"/>
                  <w:sz w:val="20"/>
                  <w:u w:val="single"/>
                </w:rPr>
                <w:t>ITEM 3. QUANTITATIVE AND QUALITATIVE DISCLOSURES ABOUT MARKET RISK</w:t>
              </w:r>
            </w:hyperlink>
          </w:p>
        </w:tc>
      </w:tr>
      <w:tr>
        <w:trPr/>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6c494b4098947579b1e17aeda6e5d76_349">
              <w:r>
                <w:rPr>
                  <w:rStyle w:val="InternetLink"/>
                  <w:rFonts w:ascii="Times New Roman;serif" w:hAnsi="Times New Roman;serif"/>
                  <w:b w:val="false"/>
                  <w:color w:val="0000FF"/>
                  <w:sz w:val="20"/>
                  <w:u w:val="single"/>
                </w:rPr>
                <w:t>ITEM 4. CONTROLS AND PROCEDURES</w:t>
              </w:r>
            </w:hyperlink>
          </w:p>
        </w:tc>
      </w:tr>
      <w:tr>
        <w:trPr/>
        <w:tc>
          <w:tcPr>
            <w:tcW w:w="10205"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c6c494b4098947579b1e17aeda6e5d76_352">
              <w:r>
                <w:rPr>
                  <w:rStyle w:val="InternetLink"/>
                  <w:rFonts w:ascii="Times New Roman;serif" w:hAnsi="Times New Roman;serif"/>
                  <w:b w:val="false"/>
                  <w:color w:val="0000FF"/>
                  <w:sz w:val="20"/>
                  <w:u w:val="single"/>
                </w:rPr>
                <w:t>PART II. OTHER INFORMATION</w:t>
              </w:r>
            </w:hyperlink>
          </w:p>
        </w:tc>
      </w:tr>
      <w:tr>
        <w:trPr/>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6c494b4098947579b1e17aeda6e5d76_355">
              <w:r>
                <w:rPr>
                  <w:rStyle w:val="InternetLink"/>
                  <w:rFonts w:ascii="Times New Roman;serif" w:hAnsi="Times New Roman;serif"/>
                  <w:b w:val="false"/>
                  <w:color w:val="0000FF"/>
                  <w:sz w:val="20"/>
                  <w:u w:val="single"/>
                </w:rPr>
                <w:t>ITEM 1. LEGAL PROCEEDINGS</w:t>
              </w:r>
            </w:hyperlink>
          </w:p>
        </w:tc>
      </w:tr>
      <w:tr>
        <w:trPr/>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6c494b4098947579b1e17aeda6e5d76_358">
              <w:r>
                <w:rPr>
                  <w:rStyle w:val="InternetLink"/>
                  <w:rFonts w:ascii="Times New Roman;serif" w:hAnsi="Times New Roman;serif"/>
                  <w:b w:val="false"/>
                  <w:color w:val="0000FF"/>
                  <w:sz w:val="20"/>
                  <w:u w:val="single"/>
                </w:rPr>
                <w:t>ITEM 1A. RISK FACTORS</w:t>
              </w:r>
            </w:hyperlink>
          </w:p>
        </w:tc>
      </w:tr>
      <w:tr>
        <w:trPr/>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6c494b4098947579b1e17aeda6e5d76_361">
              <w:r>
                <w:rPr>
                  <w:rStyle w:val="InternetLink"/>
                  <w:rFonts w:ascii="Times New Roman;serif" w:hAnsi="Times New Roman;serif"/>
                  <w:b w:val="false"/>
                  <w:color w:val="0000FF"/>
                  <w:sz w:val="20"/>
                  <w:u w:val="single"/>
                </w:rPr>
                <w:t>ITEM 5. OTHER INFORMATION</w:t>
              </w:r>
            </w:hyperlink>
          </w:p>
        </w:tc>
      </w:tr>
      <w:tr>
        <w:trPr/>
        <w:tc>
          <w:tcPr>
            <w:tcW w:w="1410" w:type="dxa"/>
            <w:gridSpan w:val="3"/>
            <w:tcBorders/>
            <w:vAlign w:val="center"/>
          </w:tcPr>
          <w:p>
            <w:pPr>
              <w:pStyle w:val="TableContents"/>
              <w:bidi w:val="0"/>
              <w:spacing w:before="0" w:after="283"/>
              <w:jc w:val="left"/>
              <w:rPr>
                <w:sz w:val="4"/>
                <w:szCs w:val="4"/>
              </w:rPr>
            </w:pPr>
            <w:r>
              <w:rPr>
                <w:sz w:val="4"/>
                <w:szCs w:val="4"/>
              </w:rPr>
            </w:r>
          </w:p>
        </w:tc>
        <w:tc>
          <w:tcPr>
            <w:tcW w:w="8795" w:type="dxa"/>
            <w:gridSpan w:val="3"/>
            <w:tcBorders/>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livecopygt-20260630xexx221.htm">
              <w:r>
                <w:rPr>
                  <w:rStyle w:val="InternetLink"/>
                  <w:rFonts w:ascii="Times New Roman;serif" w:hAnsi="Times New Roman;serif"/>
                  <w:b w:val="false"/>
                  <w:color w:val="0000FF"/>
                  <w:sz w:val="20"/>
                  <w:u w:val="single"/>
                </w:rPr>
                <w:t>EX-22.1</w:t>
              </w:r>
            </w:hyperlink>
          </w:p>
        </w:tc>
      </w:tr>
      <w:tr>
        <w:trPr/>
        <w:tc>
          <w:tcPr>
            <w:tcW w:w="10205"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livecopygt-20260630xex311.htm">
              <w:r>
                <w:rPr>
                  <w:rStyle w:val="InternetLink"/>
                  <w:rFonts w:ascii="Times New Roman;serif" w:hAnsi="Times New Roman;serif"/>
                  <w:b w:val="false"/>
                  <w:color w:val="0000FF"/>
                  <w:sz w:val="20"/>
                  <w:u w:val="single"/>
                </w:rPr>
                <w:t>EX-31.1</w:t>
              </w:r>
            </w:hyperlink>
          </w:p>
        </w:tc>
      </w:tr>
      <w:tr>
        <w:trPr/>
        <w:tc>
          <w:tcPr>
            <w:tcW w:w="10205"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livecopygt-20260630xex312.htm">
              <w:r>
                <w:rPr>
                  <w:rStyle w:val="InternetLink"/>
                  <w:rFonts w:ascii="Times New Roman;serif" w:hAnsi="Times New Roman;serif"/>
                  <w:b w:val="false"/>
                  <w:color w:val="0000FF"/>
                  <w:sz w:val="20"/>
                  <w:u w:val="single"/>
                </w:rPr>
                <w:t>EX-31.2</w:t>
              </w:r>
            </w:hyperlink>
          </w:p>
        </w:tc>
      </w:tr>
      <w:tr>
        <w:trPr/>
        <w:tc>
          <w:tcPr>
            <w:tcW w:w="10205"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livecopygt-20260630xex321.htm">
              <w:r>
                <w:rPr>
                  <w:rStyle w:val="InternetLink"/>
                  <w:rFonts w:ascii="Times New Roman;serif" w:hAnsi="Times New Roman;serif"/>
                  <w:b w:val="false"/>
                  <w:color w:val="0000FF"/>
                  <w:sz w:val="20"/>
                  <w:u w:val="single"/>
                </w:rPr>
                <w:t>EX-32.1</w:t>
              </w:r>
            </w:hyperlink>
          </w:p>
        </w:tc>
      </w:tr>
      <w:tr>
        <w:trPr/>
        <w:tc>
          <w:tcPr>
            <w:tcW w:w="10205"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EX-101.INS INSTANCE DOCUMENT</w:t>
            </w:r>
          </w:p>
        </w:tc>
      </w:tr>
      <w:tr>
        <w:trPr/>
        <w:tc>
          <w:tcPr>
            <w:tcW w:w="10205"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EX-101.SCH SCHEMA DOCUMENT</w:t>
            </w:r>
          </w:p>
        </w:tc>
      </w:tr>
      <w:tr>
        <w:trPr/>
        <w:tc>
          <w:tcPr>
            <w:tcW w:w="10205"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EX-104</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left"/>
                        <w:rPr/>
                      </w:pPr>
                      <w:r>
                        <w:rPr/>
                      </w:r>
                    </w:p>
                  </w:txbxContent>
                </v:textbox>
                <w10:wrap type="none"/>
              </v:rect>
            </w:pict>
          </mc:Fallback>
        </mc:AlternateContent>
      </w:r>
    </w:p>
    <w:p>
      <w:pPr>
        <w:pStyle w:val="TextBody"/>
        <w:bidi w:val="0"/>
        <w:spacing w:lineRule="auto" w:line="288" w:before="240" w:after="283"/>
        <w:jc w:val="left"/>
        <w:rPr/>
      </w:pPr>
      <w:hyperlink w:anchor="ic6c494b4098947579b1e17aeda6e5d7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THE GOODYEAR TIRE &amp; RUBBER COMPANY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OPERATIONS</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(Unaudited)</w:t>
      </w:r>
    </w:p>
    <w:tbl>
      <w:tblPr>
        <w:tblW w:w="9975" w:type="dxa"/>
        <w:jc w:val="left"/>
        <w:tblInd w:w="0" w:type="dxa"/>
        <w:tblLayout w:type="fixed"/>
        <w:tblCellMar>
          <w:top w:w="28" w:type="dxa"/>
          <w:left w:w="28" w:type="dxa"/>
          <w:bottom w:w="28" w:type="dxa"/>
          <w:right w:w="28" w:type="dxa"/>
        </w:tblCellMar>
      </w:tblPr>
      <w:tblGrid>
        <w:gridCol w:w="1879"/>
        <w:gridCol w:w="1659"/>
        <w:gridCol w:w="1667"/>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1879" w:type="dxa"/>
            <w:tcBorders/>
            <w:vAlign w:val="center"/>
          </w:tcPr>
          <w:p>
            <w:pPr>
              <w:pStyle w:val="TableContents"/>
              <w:bidi w:val="0"/>
              <w:spacing w:before="0" w:after="283"/>
              <w:jc w:val="left"/>
              <w:rPr>
                <w:sz w:val="4"/>
                <w:szCs w:val="4"/>
              </w:rPr>
            </w:pPr>
            <w:r>
              <w:rPr>
                <w:sz w:val="4"/>
                <w:szCs w:val="4"/>
              </w:rPr>
            </w:r>
          </w:p>
        </w:tc>
        <w:tc>
          <w:tcPr>
            <w:tcW w:w="1659" w:type="dxa"/>
            <w:tcBorders/>
            <w:vAlign w:val="center"/>
          </w:tcPr>
          <w:p>
            <w:pPr>
              <w:pStyle w:val="TableContents"/>
              <w:bidi w:val="0"/>
              <w:spacing w:before="0" w:after="283"/>
              <w:jc w:val="left"/>
              <w:rPr>
                <w:sz w:val="4"/>
                <w:szCs w:val="4"/>
              </w:rPr>
            </w:pPr>
            <w:r>
              <w:rPr>
                <w:sz w:val="4"/>
                <w:szCs w:val="4"/>
              </w:rPr>
            </w:r>
          </w:p>
        </w:tc>
        <w:tc>
          <w:tcPr>
            <w:tcW w:w="16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 except per share amounts)</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Sales (Note 2)</w:t>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4,250 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4,465 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8,131 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8,718 </w:t>
            </w:r>
          </w:p>
        </w:tc>
        <w:tc>
          <w:tcPr>
            <w:tcW w:w="15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Administrative and General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Rationalizations (Note 3)</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(Income) Expense (Note 4)</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(Gain) Loss on Asset Sales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Taxes</w:t>
            </w:r>
          </w:p>
        </w:tc>
        <w:tc>
          <w:tcPr>
            <w:tcW w:w="82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(341)</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436 </w:t>
            </w:r>
          </w:p>
        </w:tc>
        <w:tc>
          <w:tcPr>
            <w:tcW w:w="154"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United States and Foreign Tax Expense (Note 5)</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82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281 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(453)</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399 </w:t>
            </w:r>
          </w:p>
        </w:tc>
        <w:tc>
          <w:tcPr>
            <w:tcW w:w="154"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Minority Shareholders’ Net Income (Loss)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Goodyear Net Income (Loss)</w:t>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1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(204)</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1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254</w:t>
            </w:r>
            <w:r>
              <w:rPr>
                <w:color w:val="000000"/>
              </w:rPr>
              <w:t>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1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(453)</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1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369</w:t>
            </w:r>
            <w:r>
              <w:rPr>
                <w:color w:val="000000"/>
              </w:rPr>
              <w:t> </w:t>
            </w:r>
          </w:p>
        </w:tc>
        <w:tc>
          <w:tcPr>
            <w:tcW w:w="154"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Goodyear Net Income (Loss) — Per Share of Common Stock</w:t>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(0.71)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0.88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1.28</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 (Note 6)</w:t>
            </w:r>
          </w:p>
        </w:tc>
        <w:tc>
          <w:tcPr>
            <w:tcW w:w="936"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289</w:t>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289</w:t>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287</w:t>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(0.71)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0.87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1.27</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 (Note 6)</w:t>
            </w:r>
          </w:p>
        </w:tc>
        <w:tc>
          <w:tcPr>
            <w:tcW w:w="936"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289</w:t>
            </w:r>
          </w:p>
        </w:tc>
        <w:tc>
          <w:tcPr>
            <w:tcW w:w="327" w:type="dxa"/>
            <w:gridSpan w:val="3"/>
            <w:tcBorders>
              <w:top w:val="single" w:sz="4" w:space="0" w:color="FFFFFF"/>
              <w:bottom w:val="double" w:sz="8" w:space="0" w:color="FFFFFF"/>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290</w:t>
            </w:r>
          </w:p>
        </w:tc>
        <w:tc>
          <w:tcPr>
            <w:tcW w:w="327" w:type="dxa"/>
            <w:gridSpan w:val="3"/>
            <w:tcBorders>
              <w:top w:val="double" w:sz="8" w:space="0" w:color="FFFFFF"/>
              <w:bottom w:val="double" w:sz="8" w:space="0" w:color="FFFFFF"/>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289</w:t>
            </w:r>
          </w:p>
        </w:tc>
        <w:tc>
          <w:tcPr>
            <w:tcW w:w="327" w:type="dxa"/>
            <w:gridSpan w:val="3"/>
            <w:tcBorders>
              <w:top w:val="single" w:sz="4" w:space="0" w:color="FFFFFF"/>
              <w:bottom w:val="double" w:sz="8" w:space="0" w:color="FFFFFF"/>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290</w:t>
            </w:r>
          </w:p>
        </w:tc>
      </w:tr>
    </w:tbl>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299085"/>
                <wp:effectExtent l="0" t="0" r="0" b="0"/>
                <wp:wrapNone/>
                <wp:docPr id="3" name="Frame3"/>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240" w:after="283"/>
        <w:jc w:val="left"/>
        <w:rPr/>
      </w:pPr>
      <w:hyperlink w:anchor="ic6c494b4098947579b1e17aeda6e5d7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GOODYEAR TIRE &amp; RUBBER COMPANY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COMPREHENSIVE INCOME (LOSS)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208"/>
        <w:gridCol w:w="1916"/>
        <w:gridCol w:w="1808"/>
        <w:gridCol w:w="211"/>
        <w:gridCol w:w="501"/>
        <w:gridCol w:w="109"/>
        <w:gridCol w:w="109"/>
        <w:gridCol w:w="109"/>
        <w:gridCol w:w="109"/>
        <w:gridCol w:w="211"/>
        <w:gridCol w:w="481"/>
        <w:gridCol w:w="109"/>
        <w:gridCol w:w="109"/>
        <w:gridCol w:w="109"/>
        <w:gridCol w:w="109"/>
        <w:gridCol w:w="211"/>
        <w:gridCol w:w="501"/>
        <w:gridCol w:w="109"/>
        <w:gridCol w:w="109"/>
        <w:gridCol w:w="109"/>
        <w:gridCol w:w="109"/>
        <w:gridCol w:w="211"/>
        <w:gridCol w:w="481"/>
        <w:gridCol w:w="157"/>
      </w:tblGrid>
      <w:tr>
        <w:trPr/>
        <w:tc>
          <w:tcPr>
            <w:tcW w:w="2208" w:type="dxa"/>
            <w:tcBorders/>
            <w:vAlign w:val="center"/>
          </w:tcPr>
          <w:p>
            <w:pPr>
              <w:pStyle w:val="TableContents"/>
              <w:bidi w:val="0"/>
              <w:spacing w:before="0" w:after="283"/>
              <w:jc w:val="left"/>
              <w:rPr>
                <w:sz w:val="4"/>
                <w:szCs w:val="4"/>
              </w:rPr>
            </w:pPr>
            <w:r>
              <w:rPr>
                <w:sz w:val="4"/>
                <w:szCs w:val="4"/>
              </w:rPr>
            </w:r>
          </w:p>
        </w:tc>
        <w:tc>
          <w:tcPr>
            <w:tcW w:w="1916" w:type="dxa"/>
            <w:tcBorders/>
            <w:vAlign w:val="center"/>
          </w:tcPr>
          <w:p>
            <w:pPr>
              <w:pStyle w:val="TableContents"/>
              <w:bidi w:val="0"/>
              <w:spacing w:before="0" w:after="283"/>
              <w:jc w:val="left"/>
              <w:rPr>
                <w:sz w:val="4"/>
                <w:szCs w:val="4"/>
              </w:rPr>
            </w:pPr>
            <w:r>
              <w:rPr>
                <w:sz w:val="4"/>
                <w:szCs w:val="4"/>
              </w:rPr>
            </w:r>
          </w:p>
        </w:tc>
        <w:tc>
          <w:tcPr>
            <w:tcW w:w="18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59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8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932"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281 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(453)</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399 </w:t>
            </w:r>
          </w:p>
        </w:tc>
        <w:tc>
          <w:tcPr>
            <w:tcW w:w="157"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8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2"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w:t>
            </w:r>
          </w:p>
        </w:tc>
        <w:tc>
          <w:tcPr>
            <w:tcW w:w="82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0"/>
              </w:rPr>
              <w:t>Foreign currency translation, net of tax of $0 and $0 in 2026 ($4 and $6 in 2025)</w:t>
            </w:r>
          </w:p>
        </w:tc>
        <w:tc>
          <w:tcPr>
            <w:tcW w:w="7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2" w:type="dxa"/>
            <w:gridSpan w:val="3"/>
            <w:tcBorders/>
            <w:shd w:fill="CFF0FC"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Reclassification adjustment for amounts recognized in income, net of tax of $0 and $0 in 2026 ($0 and $0 in 2025)</w:t>
            </w:r>
          </w:p>
        </w:tc>
        <w:tc>
          <w:tcPr>
            <w:tcW w:w="71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2"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r>
      <w:tr>
        <w:trPr/>
        <w:tc>
          <w:tcPr>
            <w:tcW w:w="59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Defined benefit plans:</w:t>
            </w:r>
          </w:p>
        </w:tc>
        <w:tc>
          <w:tcPr>
            <w:tcW w:w="8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2" w:type="dxa"/>
            <w:gridSpan w:val="3"/>
            <w:tcBorders/>
            <w:shd w:fill="CFF0FC"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Amortization of prior service cost and unrecognized gains and losses included in total benefit cost, net of tax of $1 and $2 in 2026 ($7 and $13 in 2025)</w:t>
            </w:r>
          </w:p>
        </w:tc>
        <w:tc>
          <w:tcPr>
            <w:tcW w:w="71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Change in net actuarial gains and losses, net of tax of $0 and $0 in 2026 (($1) and $2 in 2025)</w:t>
            </w:r>
          </w:p>
        </w:tc>
        <w:tc>
          <w:tcPr>
            <w:tcW w:w="7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2" w:type="dxa"/>
            <w:gridSpan w:val="3"/>
            <w:tcBorders/>
            <w:shd w:fill="CFF0FC"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Immediate recognition of prior service cost and unrecognized gains and losses due to curtailments, settlements and divestitures, net of tax of $0 and $0 in 2026 ($0 and $0 in 2025)</w:t>
            </w:r>
          </w:p>
        </w:tc>
        <w:tc>
          <w:tcPr>
            <w:tcW w:w="71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2"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r>
      <w:tr>
        <w:trPr/>
        <w:tc>
          <w:tcPr>
            <w:tcW w:w="5932"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r>
      <w:tr>
        <w:trPr/>
        <w:tc>
          <w:tcPr>
            <w:tcW w:w="5932"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r>
      <w:tr>
        <w:trPr/>
        <w:tc>
          <w:tcPr>
            <w:tcW w:w="5932"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r>
      <w:tr>
        <w:trPr/>
        <w:tc>
          <w:tcPr>
            <w:tcW w:w="593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Other Comprehensive Income (Loss)</w:t>
            </w:r>
          </w:p>
        </w:tc>
        <w:tc>
          <w:tcPr>
            <w:tcW w:w="71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34</w:t>
            </w:r>
            <w:r>
              <w:rPr>
                <w:color w:val="000000"/>
              </w:rPr>
              <w:t>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8</w:t>
            </w:r>
            <w:r>
              <w:rPr>
                <w:color w:val="000000"/>
              </w:rPr>
              <w:t>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50</w:t>
            </w:r>
            <w:r>
              <w:rPr>
                <w:color w:val="000000"/>
              </w:rPr>
              <w:t>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68</w:t>
            </w:r>
            <w:r>
              <w:rPr>
                <w:color w:val="000000"/>
              </w:rPr>
              <w:t> </w:t>
            </w:r>
          </w:p>
        </w:tc>
        <w:tc>
          <w:tcPr>
            <w:tcW w:w="157"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2"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Comprehensive Income (Loss)</w:t>
            </w:r>
          </w:p>
        </w:tc>
        <w:tc>
          <w:tcPr>
            <w:tcW w:w="712"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(173)</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289</w:t>
            </w:r>
            <w:r>
              <w:rPr>
                <w:color w:val="000000"/>
              </w:rPr>
              <w:t>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(403)</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467</w:t>
            </w:r>
            <w:r>
              <w:rPr>
                <w:color w:val="000000"/>
              </w:rPr>
              <w:t> </w:t>
            </w:r>
          </w:p>
        </w:tc>
        <w:tc>
          <w:tcPr>
            <w:tcW w:w="157"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Comprehensive Income (Loss) Attributable to Minority Shareholders</w:t>
            </w:r>
          </w:p>
        </w:tc>
        <w:tc>
          <w:tcPr>
            <w:tcW w:w="7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2"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Goodyear Comprehensive Income (Loss)</w:t>
            </w:r>
          </w:p>
        </w:tc>
        <w:tc>
          <w:tcPr>
            <w:tcW w:w="211"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01"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(169)</w:t>
            </w:r>
          </w:p>
        </w:tc>
        <w:tc>
          <w:tcPr>
            <w:tcW w:w="109"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257</w:t>
            </w:r>
            <w:r>
              <w:rPr>
                <w:color w:val="000000"/>
              </w:rPr>
              <w:t> </w:t>
            </w:r>
          </w:p>
        </w:tc>
        <w:tc>
          <w:tcPr>
            <w:tcW w:w="109"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FFFFFF"/>
              <w:bottom w:val="double" w:sz="8" w:space="0" w:color="FFFFFF"/>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01"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(399)</w:t>
            </w:r>
          </w:p>
        </w:tc>
        <w:tc>
          <w:tcPr>
            <w:tcW w:w="109"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429</w:t>
            </w:r>
            <w:r>
              <w:rPr>
                <w:color w:val="000000"/>
              </w:rPr>
              <w:t> </w:t>
            </w:r>
          </w:p>
        </w:tc>
        <w:tc>
          <w:tcPr>
            <w:tcW w:w="157"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299085"/>
                <wp:effectExtent l="0" t="0" r="0" b="0"/>
                <wp:wrapNone/>
                <wp:docPr id="4" name="Frame4"/>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240" w:after="283"/>
        <w:jc w:val="left"/>
        <w:rPr/>
      </w:pPr>
      <w:hyperlink w:anchor="ic6c494b4098947579b1e17aeda6e5d7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GOODYEAR TIRE &amp; RUBBER COMPANY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9421" w:type="dxa"/>
        <w:jc w:val="left"/>
        <w:tblInd w:w="0" w:type="dxa"/>
        <w:tblLayout w:type="fixed"/>
        <w:tblCellMar>
          <w:top w:w="28" w:type="dxa"/>
          <w:left w:w="28" w:type="dxa"/>
          <w:bottom w:w="28" w:type="dxa"/>
          <w:right w:w="28" w:type="dxa"/>
        </w:tblCellMar>
      </w:tblPr>
      <w:tblGrid>
        <w:gridCol w:w="2524"/>
        <w:gridCol w:w="2227"/>
        <w:gridCol w:w="2238"/>
        <w:gridCol w:w="196"/>
        <w:gridCol w:w="661"/>
        <w:gridCol w:w="109"/>
        <w:gridCol w:w="109"/>
        <w:gridCol w:w="109"/>
        <w:gridCol w:w="109"/>
        <w:gridCol w:w="221"/>
        <w:gridCol w:w="745"/>
        <w:gridCol w:w="173"/>
      </w:tblGrid>
      <w:tr>
        <w:trPr/>
        <w:tc>
          <w:tcPr>
            <w:tcW w:w="2524" w:type="dxa"/>
            <w:tcBorders/>
            <w:vAlign w:val="center"/>
          </w:tcPr>
          <w:p>
            <w:pPr>
              <w:pStyle w:val="TableContents"/>
              <w:bidi w:val="0"/>
              <w:spacing w:before="0" w:after="283"/>
              <w:jc w:val="left"/>
              <w:rPr>
                <w:sz w:val="4"/>
                <w:szCs w:val="4"/>
              </w:rPr>
            </w:pPr>
            <w:r>
              <w:rPr>
                <w:sz w:val="4"/>
                <w:szCs w:val="4"/>
              </w:rPr>
            </w:r>
          </w:p>
        </w:tc>
        <w:tc>
          <w:tcPr>
            <w:tcW w:w="2227" w:type="dxa"/>
            <w:tcBorders/>
            <w:vAlign w:val="center"/>
          </w:tcPr>
          <w:p>
            <w:pPr>
              <w:pStyle w:val="TableContents"/>
              <w:bidi w:val="0"/>
              <w:spacing w:before="0" w:after="283"/>
              <w:jc w:val="left"/>
              <w:rPr>
                <w:sz w:val="4"/>
                <w:szCs w:val="4"/>
              </w:rPr>
            </w:pPr>
            <w:r>
              <w:rPr>
                <w:sz w:val="4"/>
                <w:szCs w:val="4"/>
              </w:rPr>
            </w:r>
          </w:p>
        </w:tc>
        <w:tc>
          <w:tcPr>
            <w:tcW w:w="22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6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 except share data)</w:t>
            </w:r>
          </w:p>
        </w:tc>
        <w:tc>
          <w:tcPr>
            <w:tcW w:w="9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698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966"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Current Assets:</w:t>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5"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801 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Accounts Receivable, less Allowance — $84 ($89 in 2025)</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2,341 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96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Raw Materials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616 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Work in Process</w:t>
            </w:r>
          </w:p>
        </w:tc>
        <w:tc>
          <w:tcPr>
            <w:tcW w:w="85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195 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Finished Products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2,761 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3,916 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3,572 </w:t>
            </w:r>
          </w:p>
        </w:tc>
        <w:tc>
          <w:tcPr>
            <w:tcW w:w="173"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Assets Held for Sale (Note 1)</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85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446 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Current Assets</w:t>
            </w:r>
          </w:p>
        </w:tc>
        <w:tc>
          <w:tcPr>
            <w:tcW w:w="85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7,912</w:t>
            </w:r>
            <w:r>
              <w:rPr>
                <w:color w:val="000000"/>
              </w:rPr>
              <w:t>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7,218</w:t>
            </w:r>
            <w:r>
              <w:rPr>
                <w:color w:val="000000"/>
              </w:rPr>
              <w:t> </w:t>
            </w:r>
          </w:p>
        </w:tc>
        <w:tc>
          <w:tcPr>
            <w:tcW w:w="173"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85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663 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CFF0FC"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Deferred Income Taxes (Note 5)</w:t>
            </w:r>
          </w:p>
        </w:tc>
        <w:tc>
          <w:tcPr>
            <w:tcW w:w="85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348 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1,096 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85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972 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998 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 less Accumulated Depreciation — $12,400 ($12,390 in 2025)</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7,843 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Assets</w:t>
            </w:r>
          </w:p>
        </w:tc>
        <w:tc>
          <w:tcPr>
            <w:tcW w:w="19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18,650</w:t>
            </w:r>
            <w:r>
              <w:rPr>
                <w:color w:val="000000"/>
              </w:rPr>
              <w:t>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45"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18,208</w:t>
            </w:r>
            <w:r>
              <w:rPr>
                <w:color w:val="000000"/>
              </w:rPr>
              <w:t> </w:t>
            </w:r>
          </w:p>
        </w:tc>
        <w:tc>
          <w:tcPr>
            <w:tcW w:w="173"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Liabilities:</w:t>
            </w:r>
          </w:p>
        </w:tc>
        <w:tc>
          <w:tcPr>
            <w:tcW w:w="96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Current Liabilities:</w:t>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 Trade</w:t>
            </w:r>
          </w:p>
        </w:tc>
        <w:tc>
          <w:tcPr>
            <w:tcW w:w="19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3,878 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5"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3,879 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Compensation and Benefits (Notes 10 and 11</w:t>
            </w:r>
            <w:r>
              <w:rPr>
                <w:rFonts w:ascii="Times New Roman;serif" w:hAnsi="Times New Roman;serif"/>
                <w:b w:val="false"/>
                <w:color w:val="000000"/>
                <w:sz w:val="20"/>
              </w:rPr>
              <w: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578 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Liabilities</w:t>
            </w:r>
          </w:p>
        </w:tc>
        <w:tc>
          <w:tcPr>
            <w:tcW w:w="85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1,215 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1,259 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Notes Payable and Overdrafts (Note 8)</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506 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 due Within One Year</w:t>
            </w:r>
          </w:p>
        </w:tc>
        <w:tc>
          <w:tcPr>
            <w:tcW w:w="85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196 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Long Term Debt and Finance Leases due Within One Year (Note 8)</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364 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Current Liabilities</w:t>
            </w:r>
          </w:p>
        </w:tc>
        <w:tc>
          <w:tcPr>
            <w:tcW w:w="857"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7,277</w:t>
            </w:r>
            <w:r>
              <w:rPr>
                <w:color w:val="000000"/>
              </w:rPr>
              <w:t>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6,782</w:t>
            </w:r>
            <w:r>
              <w:rPr>
                <w:color w:val="000000"/>
              </w:rPr>
              <w:t> </w:t>
            </w:r>
          </w:p>
        </w:tc>
        <w:tc>
          <w:tcPr>
            <w:tcW w:w="173"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862 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CFF0FC"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Long Term Debt and Finance Leases (Note 8)</w:t>
            </w:r>
          </w:p>
        </w:tc>
        <w:tc>
          <w:tcPr>
            <w:tcW w:w="85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5,772 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5,328 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Compensation and Benefits (Notes 10 and 11)</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787 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CFF0FC"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Deferred Income Taxes (Note 5)</w:t>
            </w:r>
          </w:p>
        </w:tc>
        <w:tc>
          <w:tcPr>
            <w:tcW w:w="85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105 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 Term Liabilities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941 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Liabilities</w:t>
            </w:r>
          </w:p>
        </w:tc>
        <w:tc>
          <w:tcPr>
            <w:tcW w:w="857"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15,649</w:t>
            </w:r>
            <w:r>
              <w:rPr>
                <w:color w:val="000000"/>
              </w:rPr>
              <w:t>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14,805</w:t>
            </w:r>
            <w:r>
              <w:rPr>
                <w:color w:val="000000"/>
              </w:rPr>
              <w:t> </w:t>
            </w:r>
          </w:p>
        </w:tc>
        <w:tc>
          <w:tcPr>
            <w:tcW w:w="173"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Commitments and Contingent Liabilities (Note 12)</w:t>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Shareholders’ Equity:</w:t>
            </w:r>
          </w:p>
        </w:tc>
        <w:tc>
          <w:tcPr>
            <w:tcW w:w="96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Goodyear Shareholders’ Equity:</w:t>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CFF0FC"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no par value:</w:t>
            </w:r>
          </w:p>
        </w:tc>
        <w:tc>
          <w:tcPr>
            <w:tcW w:w="96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Authorized, 450 million shares, Outstanding shares — 288 million in 2026 (286 million in 2025)</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286 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Capital Surplus</w:t>
            </w:r>
          </w:p>
        </w:tc>
        <w:tc>
          <w:tcPr>
            <w:tcW w:w="85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3,178 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3,175 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Retained Earnings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3,360 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CFF0FC"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 (Note 14)</w:t>
            </w:r>
          </w:p>
        </w:tc>
        <w:tc>
          <w:tcPr>
            <w:tcW w:w="85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(3,534)</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(3,588)</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Goodyear Shareholders’ Equity</w:t>
            </w:r>
          </w:p>
        </w:tc>
        <w:tc>
          <w:tcPr>
            <w:tcW w:w="85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2,839</w:t>
            </w:r>
            <w:r>
              <w:rPr>
                <w:color w:val="000000"/>
              </w:rPr>
              <w:t>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3,233</w:t>
            </w:r>
            <w:r>
              <w:rPr>
                <w:color w:val="000000"/>
              </w:rPr>
              <w:t> </w:t>
            </w:r>
          </w:p>
        </w:tc>
        <w:tc>
          <w:tcPr>
            <w:tcW w:w="173"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Minority Shareholders’ Equity — Nonredeemable</w:t>
            </w:r>
          </w:p>
        </w:tc>
        <w:tc>
          <w:tcPr>
            <w:tcW w:w="85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170 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Shareholders’ Equity</w:t>
            </w:r>
          </w:p>
        </w:tc>
        <w:tc>
          <w:tcPr>
            <w:tcW w:w="85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3,001</w:t>
            </w:r>
            <w:r>
              <w:rPr>
                <w:color w:val="000000"/>
              </w:rPr>
              <w:t>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3,403</w:t>
            </w:r>
            <w:r>
              <w:rPr>
                <w:color w:val="000000"/>
              </w:rPr>
              <w:t> </w:t>
            </w:r>
          </w:p>
        </w:tc>
        <w:tc>
          <w:tcPr>
            <w:tcW w:w="173"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Liabilities and Shareholders’ Equity</w:t>
            </w:r>
          </w:p>
        </w:tc>
        <w:tc>
          <w:tcPr>
            <w:tcW w:w="196"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18,650</w:t>
            </w:r>
            <w:r>
              <w:rPr>
                <w:color w:val="000000"/>
              </w:rPr>
              <w:t> </w:t>
            </w:r>
          </w:p>
        </w:tc>
        <w:tc>
          <w:tcPr>
            <w:tcW w:w="109"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45"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18,208</w:t>
            </w:r>
            <w:r>
              <w:rPr>
                <w:color w:val="000000"/>
              </w:rPr>
              <w:t> </w:t>
            </w:r>
          </w:p>
        </w:tc>
        <w:tc>
          <w:tcPr>
            <w:tcW w:w="173"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299085"/>
                <wp:effectExtent l="0" t="0" r="0" b="0"/>
                <wp:wrapNone/>
                <wp:docPr id="5" name="Frame5"/>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240" w:after="283"/>
        <w:jc w:val="left"/>
        <w:rPr/>
      </w:pPr>
      <w:hyperlink w:anchor="ic6c494b4098947579b1e17aeda6e5d7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GOODYEAR TIRE &amp; RUBBER COMPANY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SHAREHOLDERS’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1568" w:type="dxa"/>
        <w:jc w:val="left"/>
        <w:tblInd w:w="0" w:type="dxa"/>
        <w:tblLayout w:type="fixed"/>
        <w:tblCellMar>
          <w:top w:w="28" w:type="dxa"/>
          <w:left w:w="28" w:type="dxa"/>
          <w:bottom w:w="28" w:type="dxa"/>
          <w:right w:w="28" w:type="dxa"/>
        </w:tblCellMar>
      </w:tblPr>
      <w:tblGrid>
        <w:gridCol w:w="780"/>
        <w:gridCol w:w="225"/>
        <w:gridCol w:w="226"/>
        <w:gridCol w:w="334"/>
        <w:gridCol w:w="334"/>
        <w:gridCol w:w="338"/>
        <w:gridCol w:w="109"/>
        <w:gridCol w:w="109"/>
        <w:gridCol w:w="109"/>
        <w:gridCol w:w="196"/>
        <w:gridCol w:w="436"/>
        <w:gridCol w:w="109"/>
        <w:gridCol w:w="109"/>
        <w:gridCol w:w="109"/>
        <w:gridCol w:w="109"/>
        <w:gridCol w:w="196"/>
        <w:gridCol w:w="571"/>
        <w:gridCol w:w="109"/>
        <w:gridCol w:w="109"/>
        <w:gridCol w:w="109"/>
        <w:gridCol w:w="109"/>
        <w:gridCol w:w="196"/>
        <w:gridCol w:w="571"/>
        <w:gridCol w:w="109"/>
        <w:gridCol w:w="109"/>
        <w:gridCol w:w="109"/>
        <w:gridCol w:w="109"/>
        <w:gridCol w:w="272"/>
        <w:gridCol w:w="792"/>
        <w:gridCol w:w="152"/>
        <w:gridCol w:w="109"/>
        <w:gridCol w:w="109"/>
        <w:gridCol w:w="109"/>
        <w:gridCol w:w="245"/>
        <w:gridCol w:w="714"/>
        <w:gridCol w:w="137"/>
        <w:gridCol w:w="109"/>
        <w:gridCol w:w="109"/>
        <w:gridCol w:w="109"/>
        <w:gridCol w:w="289"/>
        <w:gridCol w:w="644"/>
        <w:gridCol w:w="163"/>
        <w:gridCol w:w="109"/>
        <w:gridCol w:w="109"/>
        <w:gridCol w:w="109"/>
        <w:gridCol w:w="242"/>
        <w:gridCol w:w="707"/>
        <w:gridCol w:w="192"/>
      </w:tblGrid>
      <w:tr>
        <w:trPr/>
        <w:tc>
          <w:tcPr>
            <w:tcW w:w="78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Capital</w:t>
              <w:br/>
              <w:t>Surplus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Goodyear</w:t>
              <w:br/>
              <w:t>Shareholders'</w:t>
              <w:br/>
              <w:t>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Minority</w:t>
              <w:br/>
              <w:t>Shareholders'</w:t>
              <w:br/>
              <w:t>Equity — Non-</w:t>
              <w:br/>
              <w:t>Redeemable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br/>
              <w:t>Shareholders'</w:t>
              <w:br/>
              <w:t>Equity</w:t>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 except share data)</w:t>
            </w:r>
          </w:p>
        </w:tc>
        <w:tc>
          <w:tcPr>
            <w:tcW w:w="1006"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123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 at December 31, 2025</w:t>
            </w:r>
          </w:p>
        </w:tc>
        <w:tc>
          <w:tcPr>
            <w:tcW w:w="1006"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(after deducting 38,040,862 common treasury shares)</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286,247,045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286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3,175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3,360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(3,588)</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1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3,233</w:t>
            </w: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170</w:t>
            </w: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0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3,403</w:t>
            </w: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FF0FC"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Net income (loss) </w:t>
            </w:r>
          </w:p>
        </w:tc>
        <w:tc>
          <w:tcPr>
            <w:tcW w:w="100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(249)</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(249)</w:t>
            </w:r>
          </w:p>
        </w:tc>
        <w:tc>
          <w:tcPr>
            <w:tcW w:w="13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(246)</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Other comprehensive income (loss)</w:t>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Total Comprehensive Income (Loss)</w:t>
            </w:r>
          </w:p>
        </w:tc>
        <w:tc>
          <w:tcPr>
            <w:tcW w:w="100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(230)</w:t>
            </w:r>
          </w:p>
        </w:tc>
        <w:tc>
          <w:tcPr>
            <w:tcW w:w="137"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(230)</w:t>
            </w:r>
          </w:p>
        </w:tc>
        <w:tc>
          <w:tcPr>
            <w:tcW w:w="192"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plans</w:t>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 issued from treasury</w:t>
            </w:r>
          </w:p>
        </w:tc>
        <w:tc>
          <w:tcPr>
            <w:tcW w:w="100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1,125,762</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13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 at March 31, 2026</w:t>
            </w:r>
          </w:p>
        </w:tc>
        <w:tc>
          <w:tcPr>
            <w:tcW w:w="100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FF0FC"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(after deducting 36,915,100 common treasury shares)</w:t>
            </w:r>
          </w:p>
        </w:tc>
        <w:tc>
          <w:tcPr>
            <w:tcW w:w="100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287,372,807</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3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287</w:t>
            </w: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3,175</w:t>
            </w: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3,111</w:t>
            </w: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92"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(3,569)</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14"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3,004</w:t>
            </w:r>
            <w:r>
              <w:rPr>
                <w:color w:val="000000"/>
              </w:rPr>
              <w:t> </w:t>
            </w:r>
          </w:p>
        </w:tc>
        <w:tc>
          <w:tcPr>
            <w:tcW w:w="13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44"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170</w:t>
            </w:r>
            <w:r>
              <w:rPr>
                <w:color w:val="000000"/>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07"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3,174</w:t>
            </w:r>
            <w:r>
              <w:rPr>
                <w:color w:val="000000"/>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(204)</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(207)</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 (loss)</w:t>
            </w:r>
          </w:p>
        </w:tc>
        <w:tc>
          <w:tcPr>
            <w:tcW w:w="100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35 </w:t>
            </w:r>
          </w:p>
        </w:tc>
        <w:tc>
          <w:tcPr>
            <w:tcW w:w="13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Total Comprehensive Income (Loss)</w:t>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(169)</w:t>
            </w:r>
          </w:p>
        </w:tc>
        <w:tc>
          <w:tcPr>
            <w:tcW w:w="137"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(4)</w:t>
            </w:r>
          </w:p>
        </w:tc>
        <w:tc>
          <w:tcPr>
            <w:tcW w:w="163"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(173)</w:t>
            </w:r>
          </w:p>
        </w:tc>
        <w:tc>
          <w:tcPr>
            <w:tcW w:w="192"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plans</w:t>
            </w:r>
          </w:p>
        </w:tc>
        <w:tc>
          <w:tcPr>
            <w:tcW w:w="100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3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declared</w:t>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 issued from treasury</w:t>
            </w:r>
          </w:p>
        </w:tc>
        <w:tc>
          <w:tcPr>
            <w:tcW w:w="100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285,377</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 at June 30, 2026</w:t>
            </w:r>
          </w:p>
        </w:tc>
        <w:tc>
          <w:tcPr>
            <w:tcW w:w="100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FF0FC"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(after deducting 36,629,723 common treasury shares)</w:t>
            </w:r>
          </w:p>
        </w:tc>
        <w:tc>
          <w:tcPr>
            <w:tcW w:w="1006" w:type="dxa"/>
            <w:gridSpan w:val="3"/>
            <w:tcBorders>
              <w:bottom w:val="double" w:sz="8" w:space="0" w:color="000000"/>
            </w:tcBorders>
            <w:shd w:fill="CFF0FC"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287,658,184</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FF0FC"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36" w:type="dxa"/>
            <w:tcBorders>
              <w:bottom w:val="double" w:sz="8" w:space="0" w:color="000000"/>
            </w:tcBorders>
            <w:shd w:fill="CFF0FC" w:val="clear"/>
            <w:tcMar>
              <w:top w:w="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288</w:t>
            </w:r>
            <w:r>
              <w:rPr>
                <w:color w:val="000000"/>
              </w:rPr>
              <w:t> </w:t>
            </w:r>
          </w:p>
        </w:tc>
        <w:tc>
          <w:tcPr>
            <w:tcW w:w="109" w:type="dxa"/>
            <w:tcBorders>
              <w:bottom w:val="double" w:sz="8" w:space="0" w:color="000000"/>
            </w:tcBorders>
            <w:shd w:fill="CFF0FC"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FF0FC"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bottom w:val="double" w:sz="8" w:space="0" w:color="000000"/>
            </w:tcBorders>
            <w:shd w:fill="CFF0FC" w:val="clear"/>
            <w:tcMar>
              <w:top w:w="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3,178</w:t>
            </w:r>
            <w:r>
              <w:rPr>
                <w:color w:val="000000"/>
              </w:rPr>
              <w:t> </w:t>
            </w:r>
          </w:p>
        </w:tc>
        <w:tc>
          <w:tcPr>
            <w:tcW w:w="109" w:type="dxa"/>
            <w:tcBorders>
              <w:bottom w:val="double" w:sz="8" w:space="0" w:color="000000"/>
            </w:tcBorders>
            <w:shd w:fill="CFF0FC"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FF0FC"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bottom w:val="double" w:sz="8" w:space="0" w:color="000000"/>
            </w:tcBorders>
            <w:shd w:fill="CFF0FC" w:val="clear"/>
            <w:tcMar>
              <w:top w:w="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2,907</w:t>
            </w:r>
            <w:r>
              <w:rPr>
                <w:color w:val="000000"/>
              </w:rPr>
              <w:t> </w:t>
            </w:r>
          </w:p>
        </w:tc>
        <w:tc>
          <w:tcPr>
            <w:tcW w:w="109" w:type="dxa"/>
            <w:tcBorders>
              <w:bottom w:val="double" w:sz="8" w:space="0" w:color="000000"/>
            </w:tcBorders>
            <w:shd w:fill="CFF0FC"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bottom w:val="double" w:sz="8" w:space="0" w:color="000000"/>
            </w:tcBorders>
            <w:shd w:fill="CFF0FC"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92" w:type="dxa"/>
            <w:tcBorders>
              <w:bottom w:val="double" w:sz="8" w:space="0" w:color="000000"/>
            </w:tcBorders>
            <w:shd w:fill="CFF0FC"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(3,534)</w:t>
            </w:r>
          </w:p>
        </w:tc>
        <w:tc>
          <w:tcPr>
            <w:tcW w:w="152" w:type="dxa"/>
            <w:tcBorders>
              <w:bottom w:val="double" w:sz="8" w:space="0" w:color="000000"/>
            </w:tcBorders>
            <w:shd w:fill="CFF0FC"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bottom w:val="double" w:sz="8" w:space="0" w:color="000000"/>
            </w:tcBorders>
            <w:shd w:fill="CFF0FC"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14" w:type="dxa"/>
            <w:tcBorders>
              <w:bottom w:val="double" w:sz="8" w:space="0" w:color="000000"/>
            </w:tcBorders>
            <w:shd w:fill="CFF0FC" w:val="clear"/>
            <w:tcMar>
              <w:top w:w="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2,839</w:t>
            </w:r>
            <w:r>
              <w:rPr>
                <w:color w:val="000000"/>
              </w:rPr>
              <w:t> </w:t>
            </w:r>
          </w:p>
        </w:tc>
        <w:tc>
          <w:tcPr>
            <w:tcW w:w="137" w:type="dxa"/>
            <w:tcBorders>
              <w:bottom w:val="double" w:sz="8" w:space="0" w:color="000000"/>
            </w:tcBorders>
            <w:shd w:fill="CFF0FC"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bottom w:val="double" w:sz="8" w:space="0" w:color="000000"/>
            </w:tcBorders>
            <w:shd w:fill="CFF0FC"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44" w:type="dxa"/>
            <w:tcBorders>
              <w:bottom w:val="double" w:sz="8" w:space="0" w:color="000000"/>
            </w:tcBorders>
            <w:shd w:fill="CFF0FC" w:val="clear"/>
            <w:tcMar>
              <w:top w:w="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162</w:t>
            </w:r>
            <w:r>
              <w:rPr>
                <w:color w:val="000000"/>
              </w:rPr>
              <w:t> </w:t>
            </w:r>
          </w:p>
        </w:tc>
        <w:tc>
          <w:tcPr>
            <w:tcW w:w="163" w:type="dxa"/>
            <w:tcBorders>
              <w:bottom w:val="double" w:sz="8" w:space="0" w:color="000000"/>
            </w:tcBorders>
            <w:shd w:fill="CFF0FC"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bottom w:val="double" w:sz="8" w:space="0" w:color="000000"/>
            </w:tcBorders>
            <w:shd w:fill="CFF0FC"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07" w:type="dxa"/>
            <w:tcBorders>
              <w:bottom w:val="double" w:sz="8" w:space="0" w:color="000000"/>
            </w:tcBorders>
            <w:shd w:fill="CFF0FC" w:val="clear"/>
            <w:tcMar>
              <w:top w:w="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3,001</w:t>
            </w:r>
            <w:r>
              <w:rPr>
                <w:color w:val="000000"/>
              </w:rPr>
              <w:t> </w:t>
            </w:r>
          </w:p>
        </w:tc>
        <w:tc>
          <w:tcPr>
            <w:tcW w:w="192" w:type="dxa"/>
            <w:tcBorders>
              <w:bottom w:val="double" w:sz="8" w:space="0" w:color="000000"/>
            </w:tcBorders>
            <w:shd w:fill="CFF0FC"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60"/>
        <w:jc w:val="both"/>
        <w:rPr>
          <w:rFonts w:ascii="Times New Roman;serif" w:hAnsi="Times New Roman;serif"/>
          <w:b w:val="false"/>
          <w:color w:val="000000"/>
          <w:sz w:val="16"/>
        </w:rPr>
      </w:pPr>
      <w:r>
        <w:rPr>
          <w:rFonts w:ascii="Times New Roman;serif" w:hAnsi="Times New Roman;serif"/>
          <w:b w:val="false"/>
          <w:color w:val="000000"/>
          <w:sz w:val="16"/>
        </w:rPr>
        <w:t>There were no dividends declared or paid during the three and six months ended June 30, 2026.</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299085"/>
                <wp:effectExtent l="0" t="0" r="0" b="0"/>
                <wp:wrapNone/>
                <wp:docPr id="6" name="Frame6"/>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240" w:after="283"/>
        <w:jc w:val="left"/>
        <w:rPr/>
      </w:pPr>
      <w:hyperlink w:anchor="ic6c494b4098947579b1e17aeda6e5d7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GOODYEAR TIRE &amp; RUBBER COMPANY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SHAREHOLDERS’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(Unaudited) </w:t>
      </w:r>
    </w:p>
    <w:tbl>
      <w:tblPr>
        <w:tblW w:w="11568" w:type="dxa"/>
        <w:jc w:val="center"/>
        <w:tblInd w:w="0" w:type="dxa"/>
        <w:tblLayout w:type="fixed"/>
        <w:tblCellMar>
          <w:top w:w="28" w:type="dxa"/>
          <w:left w:w="28" w:type="dxa"/>
          <w:bottom w:w="28" w:type="dxa"/>
          <w:right w:w="28" w:type="dxa"/>
        </w:tblCellMar>
      </w:tblPr>
      <w:tblGrid>
        <w:gridCol w:w="780"/>
        <w:gridCol w:w="225"/>
        <w:gridCol w:w="226"/>
        <w:gridCol w:w="334"/>
        <w:gridCol w:w="334"/>
        <w:gridCol w:w="338"/>
        <w:gridCol w:w="109"/>
        <w:gridCol w:w="109"/>
        <w:gridCol w:w="109"/>
        <w:gridCol w:w="196"/>
        <w:gridCol w:w="436"/>
        <w:gridCol w:w="109"/>
        <w:gridCol w:w="109"/>
        <w:gridCol w:w="109"/>
        <w:gridCol w:w="109"/>
        <w:gridCol w:w="196"/>
        <w:gridCol w:w="571"/>
        <w:gridCol w:w="109"/>
        <w:gridCol w:w="109"/>
        <w:gridCol w:w="109"/>
        <w:gridCol w:w="109"/>
        <w:gridCol w:w="196"/>
        <w:gridCol w:w="571"/>
        <w:gridCol w:w="109"/>
        <w:gridCol w:w="109"/>
        <w:gridCol w:w="109"/>
        <w:gridCol w:w="109"/>
        <w:gridCol w:w="272"/>
        <w:gridCol w:w="792"/>
        <w:gridCol w:w="152"/>
        <w:gridCol w:w="109"/>
        <w:gridCol w:w="109"/>
        <w:gridCol w:w="109"/>
        <w:gridCol w:w="245"/>
        <w:gridCol w:w="714"/>
        <w:gridCol w:w="137"/>
        <w:gridCol w:w="109"/>
        <w:gridCol w:w="109"/>
        <w:gridCol w:w="109"/>
        <w:gridCol w:w="289"/>
        <w:gridCol w:w="644"/>
        <w:gridCol w:w="163"/>
        <w:gridCol w:w="109"/>
        <w:gridCol w:w="109"/>
        <w:gridCol w:w="109"/>
        <w:gridCol w:w="242"/>
        <w:gridCol w:w="707"/>
        <w:gridCol w:w="192"/>
      </w:tblGrid>
      <w:tr>
        <w:trPr/>
        <w:tc>
          <w:tcPr>
            <w:tcW w:w="78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Capital</w:t>
              <w:br/>
              <w:t>Surplus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Goodyear</w:t>
              <w:br/>
              <w:t>Shareholders'</w:t>
              <w:br/>
              <w:t>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Minority</w:t>
              <w:br/>
              <w:t>Shareholders'</w:t>
              <w:br/>
              <w:t>Equity — Non-</w:t>
              <w:br/>
              <w:t>Redeemable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br/>
              <w:t>Shareholders'</w:t>
              <w:br/>
              <w:t>Equity</w:t>
            </w:r>
          </w:p>
        </w:tc>
      </w:tr>
      <w:tr>
        <w:trPr/>
        <w:tc>
          <w:tcPr>
            <w:tcW w:w="12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 except share data)</w:t>
            </w:r>
          </w:p>
        </w:tc>
        <w:tc>
          <w:tcPr>
            <w:tcW w:w="100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 at December 31, 2024</w:t>
            </w:r>
          </w:p>
        </w:tc>
        <w:tc>
          <w:tcPr>
            <w:tcW w:w="100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FF0FC"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(after deducting 39,313,644 common treasury shares)</w:t>
            </w:r>
          </w:p>
        </w:tc>
        <w:tc>
          <w:tcPr>
            <w:tcW w:w="100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284,974,263</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3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285</w:t>
            </w: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3,159</w:t>
            </w: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5,081</w:t>
            </w: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92"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(3,844)</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14"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4,681</w:t>
            </w:r>
            <w:r>
              <w:rPr>
                <w:color w:val="000000"/>
              </w:rPr>
              <w:t> </w:t>
            </w:r>
          </w:p>
        </w:tc>
        <w:tc>
          <w:tcPr>
            <w:tcW w:w="13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44"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142</w:t>
            </w:r>
            <w:r>
              <w:rPr>
                <w:color w:val="000000"/>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07"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4,823</w:t>
            </w:r>
            <w:r>
              <w:rPr>
                <w:color w:val="000000"/>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115 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118 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 (loss)</w:t>
            </w:r>
          </w:p>
        </w:tc>
        <w:tc>
          <w:tcPr>
            <w:tcW w:w="100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57 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57 </w:t>
            </w:r>
          </w:p>
        </w:tc>
        <w:tc>
          <w:tcPr>
            <w:tcW w:w="13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60 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Total Comprehensive Income (Loss)</w:t>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172</w:t>
            </w:r>
            <w:r>
              <w:rPr>
                <w:color w:val="000000"/>
              </w:rPr>
              <w:t> </w:t>
            </w:r>
          </w:p>
        </w:tc>
        <w:tc>
          <w:tcPr>
            <w:tcW w:w="137"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6</w:t>
            </w:r>
            <w:r>
              <w:rPr>
                <w:color w:val="000000"/>
              </w:rPr>
              <w:t> </w:t>
            </w:r>
          </w:p>
        </w:tc>
        <w:tc>
          <w:tcPr>
            <w:tcW w:w="163"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178</w:t>
            </w:r>
            <w:r>
              <w:rPr>
                <w:color w:val="000000"/>
              </w:rPr>
              <w:t> </w:t>
            </w:r>
          </w:p>
        </w:tc>
        <w:tc>
          <w:tcPr>
            <w:tcW w:w="192"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plans</w:t>
            </w:r>
          </w:p>
        </w:tc>
        <w:tc>
          <w:tcPr>
            <w:tcW w:w="100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3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 issued from treasury</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674,461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 at March 31, 2025</w:t>
            </w:r>
          </w:p>
        </w:tc>
        <w:tc>
          <w:tcPr>
            <w:tcW w:w="1006"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(after deducting 38,639,183 common treasury shares)</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285,648,724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286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3,160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5,196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(3,787)</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1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4,855</w:t>
            </w: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148</w:t>
            </w: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0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5,003</w:t>
            </w: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100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254 </w:t>
            </w:r>
          </w:p>
        </w:tc>
        <w:tc>
          <w:tcPr>
            <w:tcW w:w="13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281 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Other comprehensive income (loss)</w:t>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FF0FC"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Total Comprehensive Income (Loss)</w:t>
            </w:r>
          </w:p>
        </w:tc>
        <w:tc>
          <w:tcPr>
            <w:tcW w:w="100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257</w:t>
            </w:r>
            <w:r>
              <w:rPr>
                <w:color w:val="000000"/>
              </w:rPr>
              <w:t> </w:t>
            </w:r>
          </w:p>
        </w:tc>
        <w:tc>
          <w:tcPr>
            <w:tcW w:w="137"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32</w:t>
            </w:r>
            <w:r>
              <w:rPr>
                <w:color w:val="000000"/>
              </w:rPr>
              <w:t> </w:t>
            </w:r>
          </w:p>
        </w:tc>
        <w:tc>
          <w:tcPr>
            <w:tcW w:w="163"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289</w:t>
            </w:r>
            <w:r>
              <w:rPr>
                <w:color w:val="000000"/>
              </w:rPr>
              <w:t> </w:t>
            </w:r>
          </w:p>
        </w:tc>
        <w:tc>
          <w:tcPr>
            <w:tcW w:w="192"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plans</w:t>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declared</w:t>
            </w:r>
          </w:p>
        </w:tc>
        <w:tc>
          <w:tcPr>
            <w:tcW w:w="100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 issued from treasury</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365,245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 at June 30, 2025</w:t>
            </w:r>
          </w:p>
        </w:tc>
        <w:tc>
          <w:tcPr>
            <w:tcW w:w="1006"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(after deducting 38,273,938 common treasury shares)</w:t>
            </w:r>
          </w:p>
        </w:tc>
        <w:tc>
          <w:tcPr>
            <w:tcW w:w="1006" w:type="dxa"/>
            <w:gridSpan w:val="3"/>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286,013,969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3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286</w:t>
            </w:r>
            <w:r>
              <w:rPr>
                <w:color w:val="000000"/>
              </w:rPr>
              <w:t>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3,164</w:t>
            </w:r>
            <w:r>
              <w:rPr>
                <w:color w:val="000000"/>
              </w:rPr>
              <w:t>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5,450</w:t>
            </w:r>
            <w:r>
              <w:rPr>
                <w:color w:val="000000"/>
              </w:rPr>
              <w:t>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92"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(3,784)</w:t>
            </w:r>
          </w:p>
        </w:tc>
        <w:tc>
          <w:tcPr>
            <w:tcW w:w="152"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14"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5,116</w:t>
            </w:r>
            <w:r>
              <w:rPr>
                <w:color w:val="000000"/>
              </w:rPr>
              <w:t> </w:t>
            </w:r>
          </w:p>
        </w:tc>
        <w:tc>
          <w:tcPr>
            <w:tcW w:w="137"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44"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178</w:t>
            </w:r>
            <w:r>
              <w:rPr>
                <w:color w:val="000000"/>
              </w:rPr>
              <w:t> </w:t>
            </w:r>
          </w:p>
        </w:tc>
        <w:tc>
          <w:tcPr>
            <w:tcW w:w="163"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07"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5,294</w:t>
            </w:r>
            <w:r>
              <w:rPr>
                <w:color w:val="000000"/>
              </w:rPr>
              <w:t> </w:t>
            </w:r>
          </w:p>
        </w:tc>
        <w:tc>
          <w:tcPr>
            <w:tcW w:w="192"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60"/>
        <w:jc w:val="both"/>
        <w:rPr>
          <w:rFonts w:ascii="Times New Roman;serif" w:hAnsi="Times New Roman;serif"/>
          <w:b w:val="false"/>
          <w:color w:val="000000"/>
          <w:sz w:val="16"/>
        </w:rPr>
      </w:pPr>
      <w:r>
        <w:rPr>
          <w:rFonts w:ascii="Times New Roman;serif" w:hAnsi="Times New Roman;serif"/>
          <w:b w:val="false"/>
          <w:color w:val="000000"/>
          <w:sz w:val="16"/>
        </w:rPr>
        <w:t>There were no dividends declared or paid during the three and six months ended June 30, 2025.</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299085"/>
                <wp:effectExtent l="0" t="0" r="0" b="0"/>
                <wp:wrapNone/>
                <wp:docPr id="7" name="Frame7"/>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240" w:after="283"/>
        <w:jc w:val="left"/>
        <w:rPr/>
      </w:pPr>
      <w:hyperlink w:anchor="ic6c494b4098947579b1e17aeda6e5d7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GOODYEAR TIRE &amp; RUBBER COMPANY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8364" w:type="dxa"/>
        <w:jc w:val="left"/>
        <w:tblInd w:w="0" w:type="dxa"/>
        <w:tblLayout w:type="fixed"/>
        <w:tblCellMar>
          <w:top w:w="28" w:type="dxa"/>
          <w:left w:w="28" w:type="dxa"/>
          <w:bottom w:w="28" w:type="dxa"/>
          <w:right w:w="28" w:type="dxa"/>
        </w:tblCellMar>
      </w:tblPr>
      <w:tblGrid>
        <w:gridCol w:w="2328"/>
        <w:gridCol w:w="2052"/>
        <w:gridCol w:w="2070"/>
        <w:gridCol w:w="196"/>
        <w:gridCol w:w="496"/>
        <w:gridCol w:w="109"/>
        <w:gridCol w:w="109"/>
        <w:gridCol w:w="109"/>
        <w:gridCol w:w="109"/>
        <w:gridCol w:w="196"/>
        <w:gridCol w:w="436"/>
        <w:gridCol w:w="154"/>
      </w:tblGrid>
      <w:tr>
        <w:trPr/>
        <w:tc>
          <w:tcPr>
            <w:tcW w:w="2328" w:type="dxa"/>
            <w:tcBorders/>
            <w:vAlign w:val="center"/>
          </w:tcPr>
          <w:p>
            <w:pPr>
              <w:pStyle w:val="TableContents"/>
              <w:bidi w:val="0"/>
              <w:spacing w:before="0" w:after="283"/>
              <w:jc w:val="left"/>
              <w:rPr>
                <w:sz w:val="4"/>
                <w:szCs w:val="4"/>
              </w:rPr>
            </w:pPr>
            <w:r>
              <w:rPr>
                <w:sz w:val="4"/>
                <w:szCs w:val="4"/>
              </w:rPr>
            </w:r>
          </w:p>
        </w:tc>
        <w:tc>
          <w:tcPr>
            <w:tcW w:w="2052" w:type="dxa"/>
            <w:tcBorders/>
            <w:vAlign w:val="center"/>
          </w:tcPr>
          <w:p>
            <w:pPr>
              <w:pStyle w:val="TableContents"/>
              <w:bidi w:val="0"/>
              <w:spacing w:before="0" w:after="283"/>
              <w:jc w:val="left"/>
              <w:rPr>
                <w:sz w:val="4"/>
                <w:szCs w:val="4"/>
              </w:rPr>
            </w:pPr>
            <w:r>
              <w:rPr>
                <w:sz w:val="4"/>
                <w:szCs w:val="4"/>
              </w:rPr>
            </w:r>
          </w:p>
        </w:tc>
        <w:tc>
          <w:tcPr>
            <w:tcW w:w="207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64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8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45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801"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Net Income (Loss)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(453)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399</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(Loss) to Cash Flows from Operating Activities:</w:t>
            </w:r>
          </w:p>
        </w:tc>
        <w:tc>
          <w:tcPr>
            <w:tcW w:w="80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and Write-Off of Debt Issuance Costs</w:t>
            </w:r>
          </w:p>
        </w:tc>
        <w:tc>
          <w:tcPr>
            <w:tcW w:w="69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0"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r>
      <w:tr>
        <w:trPr/>
        <w:tc>
          <w:tcPr>
            <w:tcW w:w="64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Provision for Deferred Income Taxes (Note 5)</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Pension Curtailments and Settlements</w:t>
            </w:r>
          </w:p>
        </w:tc>
        <w:tc>
          <w:tcPr>
            <w:tcW w:w="69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Net Rationalization Charges (Note 3)</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Rationalization Payments</w:t>
            </w:r>
          </w:p>
        </w:tc>
        <w:tc>
          <w:tcPr>
            <w:tcW w:w="69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(123)</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(204)</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(Gain) Loss on Asset Sales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0"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r>
      <w:tr>
        <w:trPr/>
        <w:tc>
          <w:tcPr>
            <w:tcW w:w="645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Expense</w:t>
            </w:r>
          </w:p>
        </w:tc>
        <w:tc>
          <w:tcPr>
            <w:tcW w:w="69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159 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Payments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Pension Contributions and Direct Payments</w:t>
            </w:r>
          </w:p>
        </w:tc>
        <w:tc>
          <w:tcPr>
            <w:tcW w:w="69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 Net of Asset Acquisitions and Dispositions:</w:t>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69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(340)</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(498)</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 Trade</w:t>
            </w:r>
          </w:p>
        </w:tc>
        <w:tc>
          <w:tcPr>
            <w:tcW w:w="69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Compensation and Benefits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Liabilities</w:t>
            </w:r>
          </w:p>
        </w:tc>
        <w:tc>
          <w:tcPr>
            <w:tcW w:w="69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312 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 and Liabilities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Cash Flows from Operating Activities</w:t>
            </w:r>
          </w:p>
        </w:tc>
        <w:tc>
          <w:tcPr>
            <w:tcW w:w="692"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(620)</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(718)</w:t>
            </w:r>
          </w:p>
        </w:tc>
        <w:tc>
          <w:tcPr>
            <w:tcW w:w="154"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Capital Expenditures</w:t>
            </w:r>
          </w:p>
        </w:tc>
        <w:tc>
          <w:tcPr>
            <w:tcW w:w="69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(342)</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(466)</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0"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r>
      <w:tr>
        <w:trPr/>
        <w:tc>
          <w:tcPr>
            <w:tcW w:w="6450"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r>
      <w:tr>
        <w:trPr/>
        <w:tc>
          <w:tcPr>
            <w:tcW w:w="64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Asset Dispositions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0"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r>
      <w:tr>
        <w:trPr/>
        <w:tc>
          <w:tcPr>
            <w:tcW w:w="6450"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r>
      <w:tr>
        <w:trPr/>
        <w:tc>
          <w:tcPr>
            <w:tcW w:w="6450"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r>
      <w:tr>
        <w:trPr/>
        <w:tc>
          <w:tcPr>
            <w:tcW w:w="6450"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r>
      <w:tr>
        <w:trPr/>
        <w:tc>
          <w:tcPr>
            <w:tcW w:w="645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Transactions</w:t>
            </w:r>
          </w:p>
        </w:tc>
        <w:tc>
          <w:tcPr>
            <w:tcW w:w="69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0"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r>
      <w:tr>
        <w:trPr/>
        <w:tc>
          <w:tcPr>
            <w:tcW w:w="64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Cash Flows from Investing Activities</w:t>
            </w:r>
          </w:p>
        </w:tc>
        <w:tc>
          <w:tcPr>
            <w:tcW w:w="69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(339)</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837</w:t>
            </w:r>
            <w:r>
              <w:rPr>
                <w:color w:val="000000"/>
              </w:rPr>
              <w:t> </w:t>
            </w:r>
          </w:p>
        </w:tc>
        <w:tc>
          <w:tcPr>
            <w:tcW w:w="154"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80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Short Term Debt and Overdrafts Incurred</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Short Term Debt and Overdrafts Paid</w:t>
            </w:r>
          </w:p>
        </w:tc>
        <w:tc>
          <w:tcPr>
            <w:tcW w:w="69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(506)</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(632)</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Long Term Debt Incurred</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Long Term Debt Paid</w:t>
            </w:r>
          </w:p>
        </w:tc>
        <w:tc>
          <w:tcPr>
            <w:tcW w:w="69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(4,630)</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(8,925)</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0"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r>
      <w:tr>
        <w:trPr/>
        <w:tc>
          <w:tcPr>
            <w:tcW w:w="6450"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r>
      <w:tr>
        <w:trPr/>
        <w:tc>
          <w:tcPr>
            <w:tcW w:w="64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Transactions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Cash Flows from Financing Activities</w:t>
            </w:r>
          </w:p>
        </w:tc>
        <w:tc>
          <w:tcPr>
            <w:tcW w:w="692"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1,020</w:t>
            </w:r>
            <w:r>
              <w:rPr>
                <w:color w:val="000000"/>
              </w:rPr>
              <w:t>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(107)</w:t>
            </w:r>
          </w:p>
        </w:tc>
        <w:tc>
          <w:tcPr>
            <w:tcW w:w="154"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Exchange Rate Changes on Cash, Cash Equivalents and Restricted Cash</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Net Change in Cash, Cash Equivalents and Restricted Cash</w:t>
            </w:r>
          </w:p>
        </w:tc>
        <w:tc>
          <w:tcPr>
            <w:tcW w:w="692"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55</w:t>
            </w:r>
            <w:r>
              <w:rPr>
                <w:color w:val="000000"/>
              </w:rPr>
              <w:t>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38</w:t>
            </w:r>
            <w:r>
              <w:rPr>
                <w:color w:val="000000"/>
              </w:rPr>
              <w:t> </w:t>
            </w:r>
          </w:p>
        </w:tc>
        <w:tc>
          <w:tcPr>
            <w:tcW w:w="154"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at Beginning of the Period</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Cash, Cash Equivalents and Restricted Cash at End of the Period</w:t>
            </w:r>
          </w:p>
        </w:tc>
        <w:tc>
          <w:tcPr>
            <w:tcW w:w="196"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96"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965</w:t>
            </w:r>
            <w:r>
              <w:rPr>
                <w:color w:val="000000"/>
              </w:rPr>
              <w:t> </w:t>
            </w:r>
          </w:p>
        </w:tc>
        <w:tc>
          <w:tcPr>
            <w:tcW w:w="109"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36"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902</w:t>
            </w:r>
            <w:r>
              <w:rPr>
                <w:color w:val="000000"/>
              </w:rPr>
              <w:t> </w:t>
            </w:r>
          </w:p>
        </w:tc>
        <w:tc>
          <w:tcPr>
            <w:tcW w:w="154"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The accompanying notes are an integral part of these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299085"/>
                <wp:effectExtent l="0" t="0" r="0" b="0"/>
                <wp:wrapNone/>
                <wp:docPr id="8" name="Frame8"/>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240" w:after="283"/>
        <w:jc w:val="left"/>
        <w:rPr/>
      </w:pPr>
      <w:hyperlink w:anchor="ic6c494b4098947579b1e17aeda6e5d7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GOODYEAR TIRE &amp; RUBBER COMPANY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u w:val="single"/>
        </w:rPr>
      </w:pPr>
      <w:r>
        <w:rPr>
          <w:rFonts w:ascii="Times New Roman;serif" w:hAnsi="Times New Roman;serif"/>
          <w:b/>
          <w:color w:val="000000"/>
          <w:sz w:val="20"/>
          <w:u w:val="single"/>
        </w:rPr>
        <w:t>NOTE 1. ACCOUNTING POLICIES</w:t>
      </w:r>
    </w:p>
    <w:p>
      <w:pPr>
        <w:pStyle w:val="TextBody"/>
        <w:bidi w:val="0"/>
        <w:spacing w:lineRule="auto" w:line="288" w:before="12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Basis of Presentation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accompanying unaudited consolidated financial statements have been prepared by The Goodyear Tire &amp; Rubber Company (the “Company,” “Goodyear,” “we,” “us” or “our”) in accordance with Securities and Exchange Commission (“SEC”) rules and regulations and generally accepted accounting principles in the United States of America ("U.S. GAAP") and in the opinion of management contain all adjustments (including normal recurring adjustments) necessary to fairly state the financial position, results of operations and cash flows for the periods presented. The preparation of financial statements in conformity with U.S. GAAP requires management to make estimates and assumptions that affect the amounts reported in the financial statements and accompanying notes. These interim consolidated financial statements should be read in conjunction with the consolidated financial statements and related notes thereto included in our Annual Report on Form 10-K for the year ended December 31, 2025 (the “2025 Form 10-K”).</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Operating results for the three and six months ended June 30, 2026 are not necessarily indicative of the results expected in subsequent quarters or for the year ending December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Recently Issued Accounting Standards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November 4, 2024, the Financial Accounting Standards Board ("FASB") issued a final Accounting Standards Update ("ASU") to require disaggregated disclosure of income statement expenses. This new standard requires certain expense categories, including selling expenses, to be disaggregated in the notes to the consolidated financial statements. The standards update is effective for fiscal years beginning after December 15, 2026, and interim periods within fiscal years beginning after December 15, 2027. We are currently assessing the impact of this standards update on our disclosures in the notes to the consolidated financial statements.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September 18, 2025, the FASB issued a final ASU to modernize the accounting for internal-use software. This update replaces the previous stage-based capitalization model with a principles-based approach, allowing capitalization of software development costs once management has authorized and committed funding and it is probable the project will be completed and perform its intended function. The ASU also consolidates guidance for website development under the internal-use software framework and expands applicability to cloud-based and agile development methods. The standards update is effective for fiscal years beginning after December 15, 2026, with early adoption permitted. We are currently assessing the impact of this standards update on our accounting policies and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Goodwill and Intangible Assets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Goodwill and indefinite-lived intangible assets are tested for impairment annually or more frequently if an indicator of impairment is present. Intangible assets with finite lives are amortized over their useful lives and are reviewed for impairment whenever events or circumstances warrant such review. Goodwill and intangible assets are written down to fair value if considered impaired. Goodwill and Intangible Assets totaled $44 million and $651 million, respectively, at June 30, 2026, compared to $42 million and $663 million, respectively, at December 31, 2025. All goodwill was associated with the reporting unit in our Asia Pacific segment at June 30, 2026 and December 31, 2025.</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the second quarter of 2026, we experienced continued volume declines, primarily in Americas and Europe, Middle East and Africa (“EMEA”). We viewed this event as a triggering event and performed a quantitative analysis of the fair value of $425 million of our indefinite-lived intangible assets related to the acquisition of Cooper Tire as of June 30, 2026. Based on the results of the quantitative impairment assessments, the fair value of the indefinite-lived intangible assets approximated their respective carrying values. We determined the fair value of the indefinite-lived intangible assets using the relief-from-royalty method, which calculates the cost savings associated with owning rather than licensing the assets. The most critical assumptions used in the calculation of the fair value are projected revenue, discount rate and royalty rate. The fair value of the indefinite-lived intangible assets is sensitive to differences between estimated and actual revenue, including changes in the discount rate and royalty rate used to evaluate the fair value of these assets. Although we believe our estimate of fair value is reasonable, the performance of these indefinite-lived intangible assets is dependent on our ability to execute our business plan. If our future financial performance falls below our expectations or there are adverse revisions to significant assumptions, including projected revenues, discount rates or royalty rates, this could be indicative that the fair values of these indefinite-lived intangible assets have declined below their carrying values, and therefore we may need to record a material, non-cash impairment charge in a future period.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At June 30, 2026, after evaluating macroeconomic conditions and our current and future results of operations, we concluded that there were no triggering events and it was not more likely than not that the fair value of goodwill of our reporting unit within our Asia Pacific segment was less than its respective carrying value and, therefore, did not have any impairment.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299085"/>
                <wp:effectExtent l="0" t="0" r="0" b="0"/>
                <wp:wrapNone/>
                <wp:docPr id="9" name="Frame9"/>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240" w:after="283"/>
        <w:jc w:val="left"/>
        <w:rPr/>
      </w:pPr>
      <w:hyperlink w:anchor="ic6c494b4098947579b1e17aeda6e5d7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Tariff Refunds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International Emergency Economic Powers Act ("IEEPA") was used by President Trump to impose tariffs on imports. On December 10, 2025, we filed a lawsuit in the U.S. Court of International Trade challenging the IEPPA tariffs. On February 20, 2026, the U.S. Supreme Court ruled that IEEPA does not authorize the President to impose tariffs. The Court of International Trade has ordered U.S. Customs and Border Protection ("CBP") to begin refunding tariffs imposed under IEEPA. On April 20, 2026, we submitted our claim for a refund of the IEEPA tariffs through the CBP portal established to process such claims.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applied the loss recovery model and determined that the receipt of the refund of the previously paid IEEPA tariffs is probable. In the first quarter of 2026, we estimated the amount of the probable refund to be $60 million, of which $46 million was recognized as a reduction to cost of goods sold, $12 million was applied as a reduction to tariffs that remained in inventory, and $2 million was accrued as an other liability associated with contractual terms. We received IEEPA tariff refunds of $42 million in the second quarter of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Principles of Consolidation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consolidated financial statements include the accounts of all legal entities in which we hold a controlling financial interest. A controlling financial interest generally arises from our ownership of a majority of the voting shares of our subsidiaries. We would also hold a controlling financial interest in variable interest entities if we are considered to be the primary beneficiary. Investments in companies in which we do not own a majority interest and we have the ability to exercise significant influence over operating and financial policies are accounted for using the equity method. Investments in other companies are primarily carried at cost. All intercompany balances and transactions have been eliminated in consolidation.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Restricted Cash</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Cash, Cash Equivalents and Restricted Cash as reported within the Consolidated Statements of Cash Flows:</w:t>
      </w:r>
    </w:p>
    <w:tbl>
      <w:tblPr>
        <w:tblW w:w="6526" w:type="dxa"/>
        <w:jc w:val="center"/>
        <w:tblInd w:w="0" w:type="dxa"/>
        <w:tblLayout w:type="fixed"/>
        <w:tblCellMar>
          <w:top w:w="28" w:type="dxa"/>
          <w:left w:w="28" w:type="dxa"/>
          <w:bottom w:w="28" w:type="dxa"/>
          <w:right w:w="28" w:type="dxa"/>
        </w:tblCellMar>
      </w:tblPr>
      <w:tblGrid>
        <w:gridCol w:w="124"/>
        <w:gridCol w:w="1434"/>
        <w:gridCol w:w="1434"/>
        <w:gridCol w:w="1451"/>
        <w:gridCol w:w="211"/>
        <w:gridCol w:w="481"/>
        <w:gridCol w:w="109"/>
        <w:gridCol w:w="109"/>
        <w:gridCol w:w="109"/>
        <w:gridCol w:w="109"/>
        <w:gridCol w:w="211"/>
        <w:gridCol w:w="481"/>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3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8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31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861 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785 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3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31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Cash, Cash Equivalents and Restricted Cash</w:t>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965</w:t>
            </w:r>
            <w:r>
              <w:rPr>
                <w:color w:val="000000"/>
              </w:rPr>
              <w:t>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902</w:t>
            </w:r>
            <w:r>
              <w:rPr>
                <w:color w:val="000000"/>
              </w:rPr>
              <w:t>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Restricted Cash primarily represents amounts required to be set aside for accounts receivable factoring programs. The restrictions lapse when cash from factored accounts receivable is remitted to the purchaser of those receivables. Restricted cash also includes amounts collected in connection with ongoing agreements related to the sale of our off-the-road ("OTR") tire business. At both June 30, 2026 and 2025, restricted cash was recorded in Prepaid Expenses and Other Current Assets in the Consolidated Balance Sheets.</w:t>
      </w:r>
    </w:p>
    <w:p>
      <w:pPr>
        <w:pStyle w:val="TextBody"/>
        <w:bidi w:val="0"/>
        <w:spacing w:lineRule="auto" w:line="288" w:before="12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Reclassifications and Adjustments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Certain items previously reported in specific financial statement captions have been reclassified to conform to the current presentation.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299085"/>
                <wp:effectExtent l="0" t="0" r="0" b="0"/>
                <wp:wrapNone/>
                <wp:docPr id="10" name="Frame10"/>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240" w:after="283"/>
        <w:jc w:val="left"/>
        <w:rPr/>
      </w:pPr>
      <w:hyperlink w:anchor="ic6c494b4098947579b1e17aeda6e5d7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u w:val="single"/>
        </w:rPr>
      </w:pPr>
      <w:r>
        <w:rPr>
          <w:rFonts w:ascii="Times New Roman;serif" w:hAnsi="Times New Roman;serif"/>
          <w:b/>
          <w:color w:val="000000"/>
          <w:sz w:val="20"/>
          <w:u w:val="single"/>
        </w:rPr>
        <w:t>NOTE 2. NET SALES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tables show disaggregated net sales from contracts with customers by major source: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8870" w:type="dxa"/>
        <w:jc w:val="left"/>
        <w:tblInd w:w="0" w:type="dxa"/>
        <w:tblLayout w:type="fixed"/>
        <w:tblCellMar>
          <w:top w:w="28" w:type="dxa"/>
          <w:left w:w="28" w:type="dxa"/>
          <w:bottom w:w="28" w:type="dxa"/>
          <w:right w:w="28" w:type="dxa"/>
        </w:tblCellMar>
      </w:tblPr>
      <w:tblGrid>
        <w:gridCol w:w="1192"/>
        <w:gridCol w:w="1048"/>
        <w:gridCol w:w="1059"/>
        <w:gridCol w:w="211"/>
        <w:gridCol w:w="631"/>
        <w:gridCol w:w="109"/>
        <w:gridCol w:w="109"/>
        <w:gridCol w:w="109"/>
        <w:gridCol w:w="109"/>
        <w:gridCol w:w="349"/>
        <w:gridCol w:w="1045"/>
        <w:gridCol w:w="180"/>
        <w:gridCol w:w="109"/>
        <w:gridCol w:w="109"/>
        <w:gridCol w:w="109"/>
        <w:gridCol w:w="253"/>
        <w:gridCol w:w="577"/>
        <w:gridCol w:w="130"/>
        <w:gridCol w:w="109"/>
        <w:gridCol w:w="109"/>
        <w:gridCol w:w="109"/>
        <w:gridCol w:w="211"/>
        <w:gridCol w:w="631"/>
        <w:gridCol w:w="109"/>
        <w:gridCol w:w="154"/>
      </w:tblGrid>
      <w:tr>
        <w:trPr/>
        <w:tc>
          <w:tcPr>
            <w:tcW w:w="1192"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7"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2026</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951"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Americas</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Europe, Middle East</w:t>
              <w:br/>
              <w:t>and Africa</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Asia Pacific</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Tire unit sales</w:t>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1,979 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5"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1,126 </w:t>
            </w:r>
          </w:p>
        </w:tc>
        <w:tc>
          <w:tcPr>
            <w:tcW w:w="180"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7"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471 </w:t>
            </w:r>
          </w:p>
        </w:tc>
        <w:tc>
          <w:tcPr>
            <w:tcW w:w="130"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3,576 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tire and related sales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Retail services and service related sales</w:t>
            </w:r>
          </w:p>
        </w:tc>
        <w:tc>
          <w:tcPr>
            <w:tcW w:w="84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Chemical sales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4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3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Sales by reportable segment</w:t>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2,382</w:t>
            </w:r>
            <w:r>
              <w:rPr>
                <w:color w:val="000000"/>
              </w:rPr>
              <w:t> </w:t>
            </w:r>
          </w:p>
        </w:tc>
        <w:tc>
          <w:tcPr>
            <w:tcW w:w="10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45"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1,372</w:t>
            </w:r>
            <w:r>
              <w:rPr>
                <w:color w:val="000000"/>
              </w:rPr>
              <w:t> </w:t>
            </w:r>
          </w:p>
        </w:tc>
        <w:tc>
          <w:tcPr>
            <w:tcW w:w="180"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77"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496</w:t>
            </w:r>
            <w:r>
              <w:rPr>
                <w:color w:val="000000"/>
              </w:rPr>
              <w:t> </w:t>
            </w:r>
          </w:p>
        </w:tc>
        <w:tc>
          <w:tcPr>
            <w:tcW w:w="130"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4,250</w:t>
            </w:r>
            <w:r>
              <w:rPr>
                <w:color w:val="000000"/>
              </w:rPr>
              <w:t> </w:t>
            </w:r>
          </w:p>
        </w:tc>
        <w:tc>
          <w:tcPr>
            <w:tcW w:w="10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8870" w:type="dxa"/>
        <w:jc w:val="left"/>
        <w:tblInd w:w="0" w:type="dxa"/>
        <w:tblLayout w:type="fixed"/>
        <w:tblCellMar>
          <w:top w:w="28" w:type="dxa"/>
          <w:left w:w="28" w:type="dxa"/>
          <w:bottom w:w="28" w:type="dxa"/>
          <w:right w:w="28" w:type="dxa"/>
        </w:tblCellMar>
      </w:tblPr>
      <w:tblGrid>
        <w:gridCol w:w="1192"/>
        <w:gridCol w:w="1048"/>
        <w:gridCol w:w="1059"/>
        <w:gridCol w:w="211"/>
        <w:gridCol w:w="631"/>
        <w:gridCol w:w="109"/>
        <w:gridCol w:w="109"/>
        <w:gridCol w:w="109"/>
        <w:gridCol w:w="109"/>
        <w:gridCol w:w="349"/>
        <w:gridCol w:w="1045"/>
        <w:gridCol w:w="180"/>
        <w:gridCol w:w="109"/>
        <w:gridCol w:w="109"/>
        <w:gridCol w:w="109"/>
        <w:gridCol w:w="253"/>
        <w:gridCol w:w="577"/>
        <w:gridCol w:w="130"/>
        <w:gridCol w:w="109"/>
        <w:gridCol w:w="109"/>
        <w:gridCol w:w="109"/>
        <w:gridCol w:w="211"/>
        <w:gridCol w:w="631"/>
        <w:gridCol w:w="109"/>
        <w:gridCol w:w="154"/>
      </w:tblGrid>
      <w:tr>
        <w:trPr/>
        <w:tc>
          <w:tcPr>
            <w:tcW w:w="1192"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7"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951"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Americas</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Europe, Middle East</w:t>
              <w:br/>
              <w:t>and Africa</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Asia Pacific</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Tire unit sales</w:t>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2,132 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5"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1,120 </w:t>
            </w:r>
          </w:p>
        </w:tc>
        <w:tc>
          <w:tcPr>
            <w:tcW w:w="180"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7"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434 </w:t>
            </w:r>
          </w:p>
        </w:tc>
        <w:tc>
          <w:tcPr>
            <w:tcW w:w="130"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3,686 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tire and related sales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Retail services and service related sales</w:t>
            </w:r>
          </w:p>
        </w:tc>
        <w:tc>
          <w:tcPr>
            <w:tcW w:w="84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Chemical sales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4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Sales by reportable segment</w:t>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2,662</w:t>
            </w:r>
            <w:r>
              <w:rPr>
                <w:color w:val="000000"/>
              </w:rPr>
              <w:t> </w:t>
            </w:r>
          </w:p>
        </w:tc>
        <w:tc>
          <w:tcPr>
            <w:tcW w:w="10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45"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1,344</w:t>
            </w:r>
            <w:r>
              <w:rPr>
                <w:color w:val="000000"/>
              </w:rPr>
              <w:t> </w:t>
            </w:r>
          </w:p>
        </w:tc>
        <w:tc>
          <w:tcPr>
            <w:tcW w:w="180"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77"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459</w:t>
            </w:r>
            <w:r>
              <w:rPr>
                <w:color w:val="000000"/>
              </w:rPr>
              <w:t> </w:t>
            </w:r>
          </w:p>
        </w:tc>
        <w:tc>
          <w:tcPr>
            <w:tcW w:w="130"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4,465</w:t>
            </w:r>
            <w:r>
              <w:rPr>
                <w:color w:val="000000"/>
              </w:rPr>
              <w:t> </w:t>
            </w:r>
          </w:p>
        </w:tc>
        <w:tc>
          <w:tcPr>
            <w:tcW w:w="10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8870" w:type="dxa"/>
        <w:jc w:val="left"/>
        <w:tblInd w:w="0" w:type="dxa"/>
        <w:tblLayout w:type="fixed"/>
        <w:tblCellMar>
          <w:top w:w="28" w:type="dxa"/>
          <w:left w:w="28" w:type="dxa"/>
          <w:bottom w:w="28" w:type="dxa"/>
          <w:right w:w="28" w:type="dxa"/>
        </w:tblCellMar>
      </w:tblPr>
      <w:tblGrid>
        <w:gridCol w:w="1192"/>
        <w:gridCol w:w="1048"/>
        <w:gridCol w:w="1059"/>
        <w:gridCol w:w="211"/>
        <w:gridCol w:w="631"/>
        <w:gridCol w:w="109"/>
        <w:gridCol w:w="109"/>
        <w:gridCol w:w="109"/>
        <w:gridCol w:w="109"/>
        <w:gridCol w:w="349"/>
        <w:gridCol w:w="1045"/>
        <w:gridCol w:w="180"/>
        <w:gridCol w:w="109"/>
        <w:gridCol w:w="109"/>
        <w:gridCol w:w="109"/>
        <w:gridCol w:w="253"/>
        <w:gridCol w:w="577"/>
        <w:gridCol w:w="130"/>
        <w:gridCol w:w="109"/>
        <w:gridCol w:w="109"/>
        <w:gridCol w:w="109"/>
        <w:gridCol w:w="211"/>
        <w:gridCol w:w="631"/>
        <w:gridCol w:w="109"/>
        <w:gridCol w:w="154"/>
      </w:tblGrid>
      <w:tr>
        <w:trPr/>
        <w:tc>
          <w:tcPr>
            <w:tcW w:w="1192"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7"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2026</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95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Americas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Europe, Middle East</w:t>
              <w:br/>
              <w:t>and Africa</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Asia Pacific</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Tire unit sales</w:t>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3,676 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5"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2,290 </w:t>
            </w:r>
          </w:p>
        </w:tc>
        <w:tc>
          <w:tcPr>
            <w:tcW w:w="180"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7"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904 </w:t>
            </w:r>
          </w:p>
        </w:tc>
        <w:tc>
          <w:tcPr>
            <w:tcW w:w="130"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6,870 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tire and related sales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Retail services and service related sales</w:t>
            </w:r>
          </w:p>
        </w:tc>
        <w:tc>
          <w:tcPr>
            <w:tcW w:w="84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Chemical sales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4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3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Sales by reportable segment</w:t>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4,445</w:t>
            </w:r>
            <w:r>
              <w:rPr>
                <w:color w:val="000000"/>
              </w:rPr>
              <w:t> </w:t>
            </w:r>
          </w:p>
        </w:tc>
        <w:tc>
          <w:tcPr>
            <w:tcW w:w="10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45"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2,735</w:t>
            </w:r>
            <w:r>
              <w:rPr>
                <w:color w:val="000000"/>
              </w:rPr>
              <w:t> </w:t>
            </w:r>
          </w:p>
        </w:tc>
        <w:tc>
          <w:tcPr>
            <w:tcW w:w="180"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77"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951</w:t>
            </w:r>
            <w:r>
              <w:rPr>
                <w:color w:val="000000"/>
              </w:rPr>
              <w:t> </w:t>
            </w:r>
          </w:p>
        </w:tc>
        <w:tc>
          <w:tcPr>
            <w:tcW w:w="130"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8,131</w:t>
            </w:r>
            <w:r>
              <w:rPr>
                <w:color w:val="000000"/>
              </w:rPr>
              <w:t> </w:t>
            </w:r>
          </w:p>
        </w:tc>
        <w:tc>
          <w:tcPr>
            <w:tcW w:w="10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8870" w:type="dxa"/>
        <w:jc w:val="left"/>
        <w:tblInd w:w="0" w:type="dxa"/>
        <w:tblLayout w:type="fixed"/>
        <w:tblCellMar>
          <w:top w:w="28" w:type="dxa"/>
          <w:left w:w="28" w:type="dxa"/>
          <w:bottom w:w="28" w:type="dxa"/>
          <w:right w:w="28" w:type="dxa"/>
        </w:tblCellMar>
      </w:tblPr>
      <w:tblGrid>
        <w:gridCol w:w="1192"/>
        <w:gridCol w:w="1048"/>
        <w:gridCol w:w="1059"/>
        <w:gridCol w:w="211"/>
        <w:gridCol w:w="631"/>
        <w:gridCol w:w="109"/>
        <w:gridCol w:w="109"/>
        <w:gridCol w:w="109"/>
        <w:gridCol w:w="109"/>
        <w:gridCol w:w="349"/>
        <w:gridCol w:w="1045"/>
        <w:gridCol w:w="180"/>
        <w:gridCol w:w="109"/>
        <w:gridCol w:w="109"/>
        <w:gridCol w:w="109"/>
        <w:gridCol w:w="253"/>
        <w:gridCol w:w="577"/>
        <w:gridCol w:w="130"/>
        <w:gridCol w:w="109"/>
        <w:gridCol w:w="109"/>
        <w:gridCol w:w="109"/>
        <w:gridCol w:w="211"/>
        <w:gridCol w:w="631"/>
        <w:gridCol w:w="109"/>
        <w:gridCol w:w="154"/>
      </w:tblGrid>
      <w:tr>
        <w:trPr/>
        <w:tc>
          <w:tcPr>
            <w:tcW w:w="1192"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7"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95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Americas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Europe, Middle East</w:t>
              <w:br/>
              <w:t>and Africa</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Asia Pacific</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Tire unit sales</w:t>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4,140 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5"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2,236 </w:t>
            </w:r>
          </w:p>
        </w:tc>
        <w:tc>
          <w:tcPr>
            <w:tcW w:w="180"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7"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885 </w:t>
            </w:r>
          </w:p>
        </w:tc>
        <w:tc>
          <w:tcPr>
            <w:tcW w:w="130"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7,261 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tire and related sales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Retail services and service related sales</w:t>
            </w:r>
          </w:p>
        </w:tc>
        <w:tc>
          <w:tcPr>
            <w:tcW w:w="84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Chemical sales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4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3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Sales by reportable segment</w:t>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5,164</w:t>
            </w:r>
            <w:r>
              <w:rPr>
                <w:color w:val="000000"/>
              </w:rPr>
              <w:t> </w:t>
            </w:r>
          </w:p>
        </w:tc>
        <w:tc>
          <w:tcPr>
            <w:tcW w:w="10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45"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2,621</w:t>
            </w:r>
            <w:r>
              <w:rPr>
                <w:color w:val="000000"/>
              </w:rPr>
              <w:t> </w:t>
            </w:r>
          </w:p>
        </w:tc>
        <w:tc>
          <w:tcPr>
            <w:tcW w:w="180"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77"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933</w:t>
            </w:r>
            <w:r>
              <w:rPr>
                <w:color w:val="000000"/>
              </w:rPr>
              <w:t> </w:t>
            </w:r>
          </w:p>
        </w:tc>
        <w:tc>
          <w:tcPr>
            <w:tcW w:w="130"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8,718</w:t>
            </w:r>
            <w:r>
              <w:rPr>
                <w:color w:val="000000"/>
              </w:rPr>
              <w:t> </w:t>
            </w:r>
          </w:p>
        </w:tc>
        <w:tc>
          <w:tcPr>
            <w:tcW w:w="10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Tire unit sales consist of consumer, commercial, farm and OTR tire sales, including the sale of new Company-branded tires through Company-owned retail channels. OTR tire sales primarily consist of tires sold to The Yokohama Rubber Company, Limited (“Yokohama”), pursuant to the product supply agreement related to the sale of our OTR tire business. Other tire and related sales consist of aviation, race and motorcycle tire sales, retread sales and other tire related sales. Sales of tires in this category are not included in reported tire unit information. Retail services and service related sales consist of automotive services performed for customers through our Company-owned retail channels, and includes service related products. Chemical sales relate to the sale of synthetic rubber and other chemicals to third parties, and exclude intercompany sales. Other sales include items such as franchise fees and ancillary tire parts.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299085"/>
                <wp:effectExtent l="0" t="0" r="0" b="0"/>
                <wp:wrapNone/>
                <wp:docPr id="11" name="Frame11"/>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240" w:after="283"/>
        <w:jc w:val="left"/>
        <w:rPr/>
      </w:pPr>
      <w:hyperlink w:anchor="ic6c494b4098947579b1e17aeda6e5d7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When we receive consideration from a customer prior to transferring goods or services under the terms of a sales contract, we record deferred revenue, which represents a contract liability. Deferred revenue included in Other Current Liabilities in the Consolidated Balance Sheets totaled $33 million and $34 million at June 30, 2026 and December 31, 2025, respectively. Deferred revenue included in Other Long Term Liabilities in the Consolidated Balance Sheets totaled $64 million and $76 million at June 30, 2026 and December 31, 2025, respectively. We recognize deferred revenue after we have transferred control of the goods or services to the customer and all revenue recognition criteria are met. Revenue deferred at June 30, 2026 primarily relates to the product supply agreement we entered into with Yokohama in connection with the sale of our OTR tire business.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balance of deferred revenue related to contracts with customers, and changes during the six months ended June 30, 2026:</w:t>
      </w:r>
    </w:p>
    <w:tbl>
      <w:tblPr>
        <w:tblW w:w="4244" w:type="dxa"/>
        <w:jc w:val="center"/>
        <w:tblInd w:w="0" w:type="dxa"/>
        <w:tblLayout w:type="fixed"/>
        <w:tblCellMar>
          <w:top w:w="28" w:type="dxa"/>
          <w:left w:w="28" w:type="dxa"/>
          <w:bottom w:w="28" w:type="dxa"/>
          <w:right w:w="28" w:type="dxa"/>
        </w:tblCellMar>
      </w:tblPr>
      <w:tblGrid>
        <w:gridCol w:w="124"/>
        <w:gridCol w:w="1051"/>
        <w:gridCol w:w="1051"/>
        <w:gridCol w:w="1063"/>
        <w:gridCol w:w="211"/>
        <w:gridCol w:w="481"/>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1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16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at December 31, 2025</w:t>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110</w:t>
            </w: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1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 deferred during period</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16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 recognized during period</w:t>
            </w:r>
          </w:p>
        </w:tc>
        <w:tc>
          <w:tcPr>
            <w:tcW w:w="69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1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Impact of foreign currency translation</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16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at June 30, 2026</w:t>
            </w:r>
          </w:p>
        </w:tc>
        <w:tc>
          <w:tcPr>
            <w:tcW w:w="211"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97</w:t>
            </w:r>
            <w:r>
              <w:rPr>
                <w:color w:val="000000"/>
              </w:rPr>
              <w:t> </w:t>
            </w:r>
          </w:p>
        </w:tc>
        <w:tc>
          <w:tcPr>
            <w:tcW w:w="109"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u w:val="single"/>
        </w:rPr>
      </w:pPr>
      <w:r>
        <w:rPr>
          <w:rFonts w:ascii="Times New Roman;serif" w:hAnsi="Times New Roman;serif"/>
          <w:b/>
          <w:color w:val="000000"/>
          <w:sz w:val="20"/>
          <w:u w:val="single"/>
        </w:rPr>
        <w:t>NOTE 3. COSTS ASSOCIATED WITH RATIONALIZATION PROGRAMS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order to improve our global competitiveness, we have implemented, and are implementing, rationalization actions to reduce high-cost and excess manufacturing capacity and operating and administrative costs.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 roll-forward of the liability balance between periods:</w:t>
      </w:r>
    </w:p>
    <w:tbl>
      <w:tblPr>
        <w:tblW w:w="10205" w:type="dxa"/>
        <w:jc w:val="left"/>
        <w:tblInd w:w="0" w:type="dxa"/>
        <w:tblLayout w:type="fixed"/>
        <w:tblCellMar>
          <w:top w:w="28" w:type="dxa"/>
          <w:left w:w="28" w:type="dxa"/>
          <w:bottom w:w="28" w:type="dxa"/>
          <w:right w:w="28" w:type="dxa"/>
        </w:tblCellMar>
      </w:tblPr>
      <w:tblGrid>
        <w:gridCol w:w="2377"/>
        <w:gridCol w:w="2091"/>
        <w:gridCol w:w="2119"/>
        <w:gridCol w:w="281"/>
        <w:gridCol w:w="642"/>
        <w:gridCol w:w="145"/>
        <w:gridCol w:w="109"/>
        <w:gridCol w:w="109"/>
        <w:gridCol w:w="109"/>
        <w:gridCol w:w="334"/>
        <w:gridCol w:w="429"/>
        <w:gridCol w:w="172"/>
        <w:gridCol w:w="109"/>
        <w:gridCol w:w="109"/>
        <w:gridCol w:w="109"/>
        <w:gridCol w:w="211"/>
        <w:gridCol w:w="481"/>
        <w:gridCol w:w="109"/>
        <w:gridCol w:w="160"/>
      </w:tblGrid>
      <w:tr>
        <w:trPr/>
        <w:tc>
          <w:tcPr>
            <w:tcW w:w="2377" w:type="dxa"/>
            <w:tcBorders/>
            <w:vAlign w:val="center"/>
          </w:tcPr>
          <w:p>
            <w:pPr>
              <w:pStyle w:val="TableContents"/>
              <w:bidi w:val="0"/>
              <w:spacing w:before="0" w:after="283"/>
              <w:jc w:val="left"/>
              <w:rPr>
                <w:sz w:val="4"/>
                <w:szCs w:val="4"/>
              </w:rPr>
            </w:pPr>
            <w:r>
              <w:rPr>
                <w:sz w:val="4"/>
                <w:szCs w:val="4"/>
              </w:rPr>
            </w:r>
          </w:p>
        </w:tc>
        <w:tc>
          <w:tcPr>
            <w:tcW w:w="2091" w:type="dxa"/>
            <w:tcBorders/>
            <w:vAlign w:val="center"/>
          </w:tcPr>
          <w:p>
            <w:pPr>
              <w:pStyle w:val="TableContents"/>
              <w:bidi w:val="0"/>
              <w:spacing w:before="0" w:after="283"/>
              <w:jc w:val="left"/>
              <w:rPr>
                <w:sz w:val="4"/>
                <w:szCs w:val="4"/>
              </w:rPr>
            </w:pPr>
            <w:r>
              <w:rPr>
                <w:sz w:val="4"/>
                <w:szCs w:val="4"/>
              </w:rPr>
            </w:r>
          </w:p>
        </w:tc>
        <w:tc>
          <w:tcPr>
            <w:tcW w:w="211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5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10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Associate-</w:t>
              <w:br/>
              <w:t>Related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Other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160" w:type="dxa"/>
            <w:tcBorders/>
            <w:vAlign w:val="center"/>
          </w:tcPr>
          <w:p>
            <w:pPr>
              <w:pStyle w:val="TableContents"/>
              <w:bidi w:val="0"/>
              <w:spacing w:before="0" w:after="283"/>
              <w:jc w:val="left"/>
              <w:rPr>
                <w:sz w:val="4"/>
                <w:szCs w:val="4"/>
              </w:rPr>
            </w:pPr>
            <w:r>
              <w:rPr>
                <w:sz w:val="4"/>
                <w:szCs w:val="4"/>
              </w:rPr>
            </w:r>
          </w:p>
        </w:tc>
      </w:tr>
      <w:tr>
        <w:trPr/>
        <w:tc>
          <w:tcPr>
            <w:tcW w:w="6587"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at December 31, 2025</w:t>
            </w:r>
          </w:p>
        </w:tc>
        <w:tc>
          <w:tcPr>
            <w:tcW w:w="28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42"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194</w:t>
            </w:r>
            <w:r>
              <w:rPr>
                <w:color w:val="000000"/>
              </w:rPr>
              <w:t> </w:t>
            </w:r>
          </w:p>
        </w:tc>
        <w:tc>
          <w:tcPr>
            <w:tcW w:w="145"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29"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w:t>
            </w:r>
            <w:r>
              <w:rPr>
                <w:color w:val="000000"/>
              </w:rPr>
              <w:t> </w:t>
            </w:r>
          </w:p>
        </w:tc>
        <w:tc>
          <w:tcPr>
            <w:tcW w:w="172"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195</w:t>
            </w:r>
            <w:r>
              <w:rPr>
                <w:color w:val="000000"/>
              </w:rPr>
              <w:t>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58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2026 Charges</w:t>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587" w:type="dxa"/>
            <w:gridSpan w:val="3"/>
            <w:tcBorders/>
            <w:shd w:fill="CFF0FC"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Incurred, net of foreign currency translation of ($4) million and $0 million, respectively</w:t>
            </w:r>
          </w:p>
        </w:tc>
        <w:tc>
          <w:tcPr>
            <w:tcW w:w="92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14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5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Reversed to the Statement of Operations</w:t>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587"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at June 30, 2026</w:t>
            </w:r>
          </w:p>
        </w:tc>
        <w:tc>
          <w:tcPr>
            <w:tcW w:w="281"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42"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199</w:t>
            </w:r>
            <w:r>
              <w:rPr>
                <w:color w:val="000000"/>
              </w:rPr>
              <w:t> </w:t>
            </w:r>
          </w:p>
        </w:tc>
        <w:tc>
          <w:tcPr>
            <w:tcW w:w="145"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29"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w:t>
            </w:r>
            <w:r>
              <w:rPr>
                <w:color w:val="000000"/>
              </w:rPr>
              <w:t> </w:t>
            </w:r>
          </w:p>
        </w:tc>
        <w:tc>
          <w:tcPr>
            <w:tcW w:w="172"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201</w:t>
            </w:r>
            <w:r>
              <w:rPr>
                <w:color w:val="000000"/>
              </w:rPr>
              <w:t> </w:t>
            </w:r>
          </w:p>
        </w:tc>
        <w:tc>
          <w:tcPr>
            <w:tcW w:w="109"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58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2550" w:type="dxa"/>
            <w:gridSpan w:val="13"/>
            <w:tcBorders/>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During the second quarter of 2026, we approved a plan to reduce headcount globally. The plan includes approximately 200 net headcount reductions. Total pre-tax charges of $19 million were recorded in the second quarter of 2026, primarily for associate-related and other exit costs.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During the first quarter of 2026, we approved a rationalization plan in EMEA to improve its cost structure as part of actions we expect to take in order to streamline its sales and distribution model and simplify business processes. The plan includes approximately 400 net headcount reductions. In certain countries, relevant portions of the rationalization plan remain subject to consultation with employee representative bodies. Total pre-tax charges are expected to be primarily cash charges between $100 million and $110 million, of which $75 million to $85 million are for associate-related and other exit costs. We expect these actions to be substantially complete in 2028. We have accrued approximately $69 million for this plan at June 30, 2026.</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During the first quarter of 2026, we approved a plan to reduce Selling, Administrative and General Expense ("SAG") headcount globally. The plan includes approximately 100 net headcount reductions. The total pre-tax charges associated with these actions are expected to be approximately $10 million, primarily for associate-related and other exit costs. We have accrued approximately $6 million for this plan at June 30, 2026.</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During the first quarter of 2026, we approved a plan in Americas to consolidate mold operations and close the Tall Timbers mold plant in Findlay, Ohio ("Tall Timbers"). The plan includes approximately 100 net headcount reductions. The total pre-tax charges associated with these actions are expected to be approximately $13 million, primarily for associate-related and other exit costs. We have accrued approximately $2 million for this plan at June 30, 2026.</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remainder of the accrual balance at June 30, 2026 includes $61 million related to the closures of our Fulda, Germany ("Fulda") and our Fürstenwalde, Germany ("Fürstenwalde") tire manufacturing facilities, $13 million related to a rationalization and workforce reorganization plan in EMEA, $8 million for the plan to eliminate commercial tire production at our Danville, Virginia ("Danville") tire manufacturing facility, $7 million related to the plan to reduce headcount in our Fayetteville, North Carolina ("Fayetteville") tire manufacturing facility, $5 million related to the closed Amiens, France tire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299085"/>
                <wp:effectExtent l="0" t="0" r="0" b="0"/>
                <wp:wrapNone/>
                <wp:docPr id="12" name="Frame12"/>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240" w:after="283"/>
        <w:jc w:val="left"/>
        <w:rPr/>
      </w:pPr>
      <w:hyperlink w:anchor="ic6c494b4098947579b1e17aeda6e5d7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manufacturing facility, $4 million related to a global workforce reorganization plan to improve our cost structure, and $1 million related to the closure of our Kariega, South Africa ("Kariega") tire manufacturing facility.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At June 30, 2026 and December 31, 2025, $134 million and $131 million were recorded in Other Current Liabilities in the Consolidated Balance Sheets,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shows net rationalization charges included in Income (Loss) before Income Taxes:</w:t>
      </w:r>
    </w:p>
    <w:tbl>
      <w:tblPr>
        <w:tblW w:w="10205" w:type="dxa"/>
        <w:jc w:val="left"/>
        <w:tblInd w:w="0" w:type="dxa"/>
        <w:tblLayout w:type="fixed"/>
        <w:tblCellMar>
          <w:top w:w="28" w:type="dxa"/>
          <w:left w:w="28" w:type="dxa"/>
          <w:bottom w:w="28" w:type="dxa"/>
          <w:right w:w="28" w:type="dxa"/>
        </w:tblCellMar>
      </w:tblPr>
      <w:tblGrid>
        <w:gridCol w:w="2240"/>
        <w:gridCol w:w="1895"/>
        <w:gridCol w:w="1909"/>
        <w:gridCol w:w="211"/>
        <w:gridCol w:w="406"/>
        <w:gridCol w:w="109"/>
        <w:gridCol w:w="109"/>
        <w:gridCol w:w="109"/>
        <w:gridCol w:w="109"/>
        <w:gridCol w:w="211"/>
        <w:gridCol w:w="376"/>
        <w:gridCol w:w="109"/>
        <w:gridCol w:w="109"/>
        <w:gridCol w:w="109"/>
        <w:gridCol w:w="109"/>
        <w:gridCol w:w="211"/>
        <w:gridCol w:w="481"/>
        <w:gridCol w:w="109"/>
        <w:gridCol w:w="109"/>
        <w:gridCol w:w="109"/>
        <w:gridCol w:w="109"/>
        <w:gridCol w:w="211"/>
        <w:gridCol w:w="481"/>
        <w:gridCol w:w="109"/>
        <w:gridCol w:w="156"/>
      </w:tblGrid>
      <w:tr>
        <w:trPr/>
        <w:tc>
          <w:tcPr>
            <w:tcW w:w="2240" w:type="dxa"/>
            <w:tcBorders/>
            <w:vAlign w:val="center"/>
          </w:tcPr>
          <w:p>
            <w:pPr>
              <w:pStyle w:val="TableContents"/>
              <w:bidi w:val="0"/>
              <w:spacing w:before="0" w:after="283"/>
              <w:jc w:val="left"/>
              <w:rPr>
                <w:sz w:val="4"/>
                <w:szCs w:val="4"/>
              </w:rPr>
            </w:pPr>
            <w:r>
              <w:rPr>
                <w:sz w:val="4"/>
                <w:szCs w:val="4"/>
              </w:rPr>
            </w:r>
          </w:p>
        </w:tc>
        <w:tc>
          <w:tcPr>
            <w:tcW w:w="1895" w:type="dxa"/>
            <w:tcBorders/>
            <w:vAlign w:val="center"/>
          </w:tcPr>
          <w:p>
            <w:pPr>
              <w:pStyle w:val="TableContents"/>
              <w:bidi w:val="0"/>
              <w:spacing w:before="0" w:after="283"/>
              <w:jc w:val="left"/>
              <w:rPr>
                <w:sz w:val="4"/>
                <w:szCs w:val="4"/>
              </w:rPr>
            </w:pPr>
            <w:r>
              <w:rPr>
                <w:sz w:val="4"/>
                <w:szCs w:val="4"/>
              </w:rPr>
            </w:r>
          </w:p>
        </w:tc>
        <w:tc>
          <w:tcPr>
            <w:tcW w:w="19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156" w:type="dxa"/>
            <w:tcBorders/>
            <w:vAlign w:val="center"/>
          </w:tcPr>
          <w:p>
            <w:pPr>
              <w:pStyle w:val="TableContents"/>
              <w:bidi w:val="0"/>
              <w:spacing w:before="0" w:after="283"/>
              <w:jc w:val="left"/>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56" w:type="dxa"/>
            <w:tcBorders/>
            <w:vAlign w:val="center"/>
          </w:tcPr>
          <w:p>
            <w:pPr>
              <w:pStyle w:val="TableContents"/>
              <w:bidi w:val="0"/>
              <w:spacing w:before="0" w:after="283"/>
              <w:jc w:val="left"/>
              <w:rPr>
                <w:sz w:val="4"/>
                <w:szCs w:val="4"/>
              </w:rPr>
            </w:pPr>
            <w:r>
              <w:rPr>
                <w:sz w:val="4"/>
                <w:szCs w:val="4"/>
              </w:rPr>
            </w:r>
          </w:p>
        </w:tc>
      </w:tr>
      <w:tr>
        <w:trPr/>
        <w:tc>
          <w:tcPr>
            <w:tcW w:w="604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Current Year Plans</w:t>
            </w:r>
          </w:p>
        </w:tc>
        <w:tc>
          <w:tcPr>
            <w:tcW w:w="726"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Associate Severance and Other Related Costs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04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Benefit Plan Curtailments/Settlements/Termination Benefits</w:t>
            </w:r>
          </w:p>
        </w:tc>
        <w:tc>
          <w:tcPr>
            <w:tcW w:w="61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Exit Costs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04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Current Year Plans - Net Charges</w:t>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0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20</w:t>
            </w:r>
            <w:r>
              <w:rPr>
                <w:color w:val="000000"/>
              </w:rPr>
              <w:t>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7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34</w:t>
            </w:r>
            <w:r>
              <w:rPr>
                <w:color w:val="000000"/>
              </w:rPr>
              <w:t>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105</w:t>
            </w:r>
            <w:r>
              <w:rPr>
                <w:color w:val="000000"/>
              </w:rPr>
              <w:t>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99</w:t>
            </w:r>
            <w:r>
              <w:rPr>
                <w:color w:val="000000"/>
              </w:rPr>
              <w:t>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04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Prior Year Plans</w:t>
            </w:r>
          </w:p>
        </w:tc>
        <w:tc>
          <w:tcPr>
            <w:tcW w:w="72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Associate Severance and Other Related Costs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04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Exit Costs</w:t>
            </w:r>
          </w:p>
        </w:tc>
        <w:tc>
          <w:tcPr>
            <w:tcW w:w="61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Prior Year Plans - Net Charges</w:t>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0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9</w:t>
            </w:r>
            <w:r>
              <w:rPr>
                <w:color w:val="000000"/>
              </w:rPr>
              <w:t>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7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25</w:t>
            </w:r>
            <w:r>
              <w:rPr>
                <w:color w:val="000000"/>
              </w:rPr>
              <w:t>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28</w:t>
            </w:r>
            <w:r>
              <w:rPr>
                <w:color w:val="000000"/>
              </w:rPr>
              <w:t>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41</w:t>
            </w:r>
            <w:r>
              <w:rPr>
                <w:color w:val="000000"/>
              </w:rPr>
              <w:t>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04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Net Charges</w:t>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0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29</w:t>
            </w:r>
            <w:r>
              <w:rPr>
                <w:color w:val="000000"/>
              </w:rPr>
              <w:t>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7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59</w:t>
            </w:r>
            <w:r>
              <w:rPr>
                <w:color w:val="000000"/>
              </w:rPr>
              <w:t>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133</w:t>
            </w:r>
            <w:r>
              <w:rPr>
                <w:color w:val="000000"/>
              </w:rPr>
              <w:t>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140</w:t>
            </w:r>
            <w:r>
              <w:rPr>
                <w:color w:val="000000"/>
              </w:rPr>
              <w:t>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Asset write-offs (recoveries), accelerated depreciation, and accelerated lease costs, net</w:t>
            </w:r>
          </w:p>
        </w:tc>
        <w:tc>
          <w:tcPr>
            <w:tcW w:w="21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FFFFFF"/>
              <w:bottom w:val="double" w:sz="8"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FFFFFF"/>
              <w:bottom w:val="double" w:sz="8"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Substantially all of the new charges for the three and six months ended June 30, 2026 and 2025 relate to future cash outflows. Net current year plan charges for the three and six months ended June 30, 2026 primarily relate to plans approved during the first and second quarters of 2026 described above. Net current year plan charges for the three months ended June 30, 2025 primarily relate to the elimination of commercial tire production at Danville and the closure of our manufacturing facility in Kariega. Net current year plan charges for the six months ended June 30, 2025 also include a $4 million termination benefits charge for one of our defined benefit pension plans related to headcount reductions at Danville.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Net prior year plan charges for both the three and six months ended June 30, 2026 and 2025 primarily relate to the closures of Fulda and Fürstenwalde.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Asset write-offs (recoveries), accelerated depreciation, and accelerated lease costs for the six months ended June 30, 2026 primarily relate to the announced closures of the Tall Timbers mold plant as well as Fulda and Fürstenwalde.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Asset write-offs (recoveries), accelerated depreciation, and accelerated lease costs for both the three and six months ended June 30, 2025 primarily relate to the closures of Fulda and Fürstenwalde, the elimination of commercial tire production at Danville, and the closure of Kariega.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Ongoing rationalization plans had approximately $950 million in charges incurred prior to 2026 and have approximately $50 million in expected charges to be incurred in future periods.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Approximately 800 associates will be released under plans initiated in 2026, of which approximately 250 were released through June 30, 2026. In the first six months of 2026, approximately 350 associates were released under plans initiated in prior years. Approximately 1,200 associates remain to be released under all ongoing rationalization plans.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299085"/>
                <wp:effectExtent l="0" t="0" r="0" b="0"/>
                <wp:wrapNone/>
                <wp:docPr id="13" name="Frame13"/>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240" w:after="283"/>
        <w:jc w:val="left"/>
        <w:rPr/>
      </w:pPr>
      <w:hyperlink w:anchor="ic6c494b4098947579b1e17aeda6e5d7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u w:val="single"/>
        </w:rPr>
      </w:pPr>
      <w:r>
        <w:rPr>
          <w:rFonts w:ascii="Times New Roman;serif" w:hAnsi="Times New Roman;serif"/>
          <w:b/>
          <w:color w:val="000000"/>
          <w:sz w:val="20"/>
          <w:u w:val="single"/>
        </w:rPr>
        <w:t>NOTE 4. OTHER (INCOME) EXPENSE</w:t>
      </w:r>
    </w:p>
    <w:tbl>
      <w:tblPr>
        <w:tblW w:w="9064" w:type="dxa"/>
        <w:jc w:val="left"/>
        <w:tblInd w:w="0" w:type="dxa"/>
        <w:tblLayout w:type="fixed"/>
        <w:tblCellMar>
          <w:top w:w="28" w:type="dxa"/>
          <w:left w:w="28" w:type="dxa"/>
          <w:bottom w:w="28" w:type="dxa"/>
          <w:right w:w="28" w:type="dxa"/>
        </w:tblCellMar>
      </w:tblPr>
      <w:tblGrid>
        <w:gridCol w:w="1857"/>
        <w:gridCol w:w="1634"/>
        <w:gridCol w:w="1654"/>
        <w:gridCol w:w="211"/>
        <w:gridCol w:w="376"/>
        <w:gridCol w:w="109"/>
        <w:gridCol w:w="109"/>
        <w:gridCol w:w="109"/>
        <w:gridCol w:w="109"/>
        <w:gridCol w:w="211"/>
        <w:gridCol w:w="376"/>
        <w:gridCol w:w="109"/>
        <w:gridCol w:w="109"/>
        <w:gridCol w:w="109"/>
        <w:gridCol w:w="109"/>
        <w:gridCol w:w="211"/>
        <w:gridCol w:w="376"/>
        <w:gridCol w:w="109"/>
        <w:gridCol w:w="109"/>
        <w:gridCol w:w="109"/>
        <w:gridCol w:w="109"/>
        <w:gridCol w:w="211"/>
        <w:gridCol w:w="376"/>
        <w:gridCol w:w="109"/>
        <w:gridCol w:w="154"/>
      </w:tblGrid>
      <w:tr>
        <w:trPr/>
        <w:tc>
          <w:tcPr>
            <w:tcW w:w="1857" w:type="dxa"/>
            <w:tcBorders/>
            <w:vAlign w:val="center"/>
          </w:tcPr>
          <w:p>
            <w:pPr>
              <w:pStyle w:val="TableContents"/>
              <w:bidi w:val="0"/>
              <w:spacing w:before="0" w:after="283"/>
              <w:jc w:val="left"/>
              <w:rPr>
                <w:sz w:val="4"/>
                <w:szCs w:val="4"/>
              </w:rPr>
            </w:pPr>
            <w:r>
              <w:rPr>
                <w:sz w:val="4"/>
                <w:szCs w:val="4"/>
              </w:rPr>
            </w:r>
          </w:p>
        </w:tc>
        <w:tc>
          <w:tcPr>
            <w:tcW w:w="1634" w:type="dxa"/>
            <w:tcBorders/>
            <w:vAlign w:val="center"/>
          </w:tcPr>
          <w:p>
            <w:pPr>
              <w:pStyle w:val="TableContents"/>
              <w:bidi w:val="0"/>
              <w:spacing w:before="0" w:after="283"/>
              <w:jc w:val="left"/>
              <w:rPr>
                <w:sz w:val="4"/>
                <w:szCs w:val="4"/>
              </w:rPr>
            </w:pPr>
            <w:r>
              <w:rPr>
                <w:sz w:val="4"/>
                <w:szCs w:val="4"/>
              </w:rPr>
            </w:r>
          </w:p>
        </w:tc>
        <w:tc>
          <w:tcPr>
            <w:tcW w:w="16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6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5" w:type="dxa"/>
            <w:gridSpan w:val="3"/>
            <w:tcBorders/>
            <w:shd w:fill="CFF0FC"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Non-service related pension and other postretirement benefits </w:t>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Financing fees and financial instruments expense</w:t>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foreign currency exchange (gains) losses</w:t>
            </w:r>
          </w:p>
        </w:tc>
        <w:tc>
          <w:tcPr>
            <w:tcW w:w="5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5" w:type="dxa"/>
            <w:gridSpan w:val="3"/>
            <w:tcBorders/>
            <w:shd w:fill="CFF0FC"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General and product liability expense - discontinued products</w:t>
            </w:r>
          </w:p>
        </w:tc>
        <w:tc>
          <w:tcPr>
            <w:tcW w:w="5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Royalty and other (income)</w:t>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5" w:type="dxa"/>
            <w:gridSpan w:val="3"/>
            <w:tcBorders/>
            <w:shd w:fill="CFF0FC"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Miscellaneous (income) expense</w:t>
            </w:r>
          </w:p>
        </w:tc>
        <w:tc>
          <w:tcPr>
            <w:tcW w:w="5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7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22</w:t>
            </w:r>
            <w:r>
              <w:rPr>
                <w:color w:val="000000"/>
              </w:rPr>
              <w:t> </w:t>
            </w:r>
          </w:p>
        </w:tc>
        <w:tc>
          <w:tcPr>
            <w:tcW w:w="10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7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31</w:t>
            </w:r>
            <w:r>
              <w:rPr>
                <w:color w:val="000000"/>
              </w:rPr>
              <w:t> </w:t>
            </w:r>
          </w:p>
        </w:tc>
        <w:tc>
          <w:tcPr>
            <w:tcW w:w="10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7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31</w:t>
            </w:r>
            <w:r>
              <w:rPr>
                <w:color w:val="000000"/>
              </w:rPr>
              <w:t> </w:t>
            </w:r>
          </w:p>
        </w:tc>
        <w:tc>
          <w:tcPr>
            <w:tcW w:w="10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7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56</w:t>
            </w:r>
            <w:r>
              <w:rPr>
                <w:color w:val="000000"/>
              </w:rPr>
              <w:t> </w:t>
            </w:r>
          </w:p>
        </w:tc>
        <w:tc>
          <w:tcPr>
            <w:tcW w:w="10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Non-service related pension and other postretirement benefits cost consists primarily of the interest cost, expected return on plan assets and amortization components of net periodic cost, as well as curtailments and settlements which are not related to rationalization plans. Pension expense for the six months ended June 30, 2025 includes a pension settlement charge of $4 million resulting from total lump sum payments exceeding annual service and interest cost of the applicable plan. For further information, refer to Note to the Consolidated Financial Statements No. 10, Pension, Savings and Other Postretirement Benefit Plans.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Royalty and other income for the three and six months ended June 30, 2026 includes $14 million and $29 million, respectively, related to royalty income from the OTR license agreement and transition services income related to the sales of the OTR tire business, the Dunlop brand and the chemical business. Royalty and other income for the three and six months ended June 30, 2025 includes $7 million and $12 million, respectively, related to royalty income from the OTR license agreement and transition services income related to the sales of the OTR tire business and the Dunlop brand.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Other (Income) Expense also includes financing fees and financial instruments expense, which consists of commitment fees and charges incurred in connection with financing transactions; net foreign currency exchange (gains) losses, primarily related to the euro and Turkish lira; interest (income); and general and product liability expense - discontinued products, which consists of charges for claims against us related primarily to asbestos personal injury claims, net of probable insurance recoveries; and miscellaneous (income) expense.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u w:val="single"/>
        </w:rPr>
      </w:pPr>
      <w:r>
        <w:rPr>
          <w:rFonts w:ascii="Times New Roman;serif" w:hAnsi="Times New Roman;serif"/>
          <w:b/>
          <w:color w:val="000000"/>
          <w:sz w:val="20"/>
          <w:u w:val="single"/>
        </w:rPr>
        <w:t>NOTE 5. INCOME TAXES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For the second quarter of 2026, we recorded income tax expense of $46 million on loss before income taxes of $161 million. For the first six months of 2026, we recorded income tax expense of $112 million on loss before income taxes of $341 million. Income tax expense for the three and six months ended June 30, 2026 includes net discrete tax expense of $5 million and $25 million, respectively, and is primarily related to an expected settlement of a prior year tax matter in one of our foreign locations.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For the second quarter of 2025, we recorded income tax expense of $24 million on income before income taxes of $305 million. For the first six months of 2025, we recorded income tax expense of $37 million on income before income taxes of $436 million. Income tax expense for the three and six months ended June 30, 2025 includes net discrete tax benefits of $4 million and $5 million, respectively.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record taxes based on overall estimated annual effective tax rates. The difference between our effective tax rate and the U.S. statutory rate of 21% for the three and six months ended June 30, 2026 primarily relates to losses in the U.S. and foreign jurisdictions in which no tax benefits are recorded and the discrete items noted above. The difference between our effective tax rate and the U.S. statutory rate of 21% for the three and six months ended June 30, 2025 was favorably impacted by gains recognized as a result of the sales of the OTR tire business and the Dunlop brand, which included certain associated intellectual property and other intangible assets, in jurisdictions where no taxes are recorded, net of losses in foreign jurisdictions in which no tax benefits are recorded, and the discrete items noted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consider both positive and negative evidence when measuring the need for a valuation allowance. The weight given to the evidence is commensurate with the extent to which it may be objectively verified. Current and cumulative financial reporting results are a source of objectively verifiable information. We give operating results during the most recent three-year period a significant weight in our analysis. We perform scheduling exercises to determine if sufficient taxable income of the appropriate character exists in the periods required in order to realize our deferred tax assets with limited lives (such as tax loss carryforwards and tax credits) prior to their expiration. We also consider prudent tax planning strategies (including an assessment of their feasibility) to accelerate taxable income if required to utilize expiring deferred tax assets. A valuation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299085"/>
                <wp:effectExtent l="0" t="0" r="0" b="0"/>
                <wp:wrapNone/>
                <wp:docPr id="14" name="Frame14"/>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240" w:after="283"/>
        <w:jc w:val="left"/>
        <w:rPr/>
      </w:pPr>
      <w:hyperlink w:anchor="ic6c494b4098947579b1e17aeda6e5d7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allowance is not required to the extent that, in our judgment, positive evidence exists with a magnitude and duration sufficient to result in a conclusion that it is more likely than not that our deferred tax assets will be realized.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At June 30, 2026 and December 31, 2025, we had approximately $1.6 billion and $1.4 billion, respectively, of U.S. federal, state and local net deferred tax assets and related valuation allowances totaling $1.6 billion and $1.4 billion, respectively. At June 30, 2026 and December 31, 2025, we also had foreign net deferred tax assets of approximately $1.6 billion and $1.5 billion, respectively, and related valuation allowances of approximately $1.3 billion. Our foreign valuation allowances include a $1.1 billion full valuation allowance on our net deferred tax assets in Luxembourg. Our losses in the U.S. and various foreign taxing jurisdictions in recent periods represented sufficient negative evidence to require us to maintain a full valuation allowance against certain of these net deferred tax assets. Each reporting period, we assess available positive and negative evidence and estimate if sufficient future taxable income will be generated to utilize these existing deferred tax assets. We do not believe that sufficient positive evidence required to release valuation allowances on our U.S. and foreign deferred tax assets will exist within the next twelve months.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Organisation for Economic Co-operation and Development ("OECD") have published the Pillar Two model rules which adopt a global corporate minimum tax of 15% for multinational enterprises with average revenue in excess of €750 million. Certain jurisdictions in which we operate enacted legislation consistent with one or more of the OECD Pillar Two model rules effective in 2024. The model rules include minimum domestic top-up taxes, income inclusion rules, and undertaxed profit rules all aimed to ensure that multinational corporations pay a minimum effective corporate tax rate of 15% in each jurisdiction in which they operate. We do not expect the Pillar Two model rules to materially impact our annual effective tax rate in 2026. However, we are continuing to evaluate the Pillar Two model rules and related developments, including the side-by-side safe harbor package for U.S.-based multinationals, and their potential impact on future periods.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are open to examination in the United States from 2021 onward and in Germany from 2019 onward. Generally, for our remaining tax jurisdictions, years from 2021 onward are still open to examination.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Following an audit by the Internal Revenue Service ("IRS"), we received a Notice of Proposed Adjustment ("NOPA") during the second quarter of 2025 related to an intercompany sale of certain intellectual property in 2021. The IRS proposed to disallow income recognition totaling $1.5 billion associated with this transaction. The federal tax charge related to that income recognition was fully offset by the utilization of $315 million of then-existing deferred tax assets, including tax loss carryforwards and foreign tax credits.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challenged the proposed adjustment through the established IRS administrative procedures and engaged in settlement discussions with the IRS. On July 29, 2026, we entered into a closing agreement with the IRS resolving all federal income tax consequences related to the 2021 transaction (the "IRS settlement"). As a result of the IRS settlement, in the third quarter of 2026 we expect to write-off approximately $45 million of our deferred tax assets that were previously utilized to offset the related federal and state taxes. However, since our U.S. deferred tax assets are in a full valuation allowance, the write-off of those deferred tax assets will not have a material impact on our operating results or cash flow.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u w:val="single"/>
        </w:rPr>
      </w:pPr>
      <w:r>
        <w:rPr>
          <w:rFonts w:ascii="Times New Roman;serif" w:hAnsi="Times New Roman;serif"/>
          <w:b/>
          <w:color w:val="000000"/>
          <w:sz w:val="20"/>
          <w:u w:val="single"/>
        </w:rPr>
        <w:t>NOTE 6. EARNINGS PER SHARE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Basic earnings per share are computed based on the weighted average number of common shares outstanding. Diluted earnings per share are calculated to reflect the potential dilution that could occur if securities or other contracts were exercised or converted into common stock.</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Basic and diluted earnings per common share are calculated as follows:</w:t>
      </w:r>
    </w:p>
    <w:tbl>
      <w:tblPr>
        <w:tblW w:w="9589" w:type="dxa"/>
        <w:jc w:val="left"/>
        <w:tblInd w:w="0" w:type="dxa"/>
        <w:tblLayout w:type="fixed"/>
        <w:tblCellMar>
          <w:top w:w="28" w:type="dxa"/>
          <w:left w:w="28" w:type="dxa"/>
          <w:bottom w:w="28" w:type="dxa"/>
          <w:right w:w="28" w:type="dxa"/>
        </w:tblCellMar>
      </w:tblPr>
      <w:tblGrid>
        <w:gridCol w:w="1787"/>
        <w:gridCol w:w="1578"/>
        <w:gridCol w:w="1585"/>
        <w:gridCol w:w="211"/>
        <w:gridCol w:w="586"/>
        <w:gridCol w:w="109"/>
        <w:gridCol w:w="109"/>
        <w:gridCol w:w="109"/>
        <w:gridCol w:w="109"/>
        <w:gridCol w:w="211"/>
        <w:gridCol w:w="526"/>
        <w:gridCol w:w="109"/>
        <w:gridCol w:w="109"/>
        <w:gridCol w:w="109"/>
        <w:gridCol w:w="109"/>
        <w:gridCol w:w="211"/>
        <w:gridCol w:w="586"/>
        <w:gridCol w:w="109"/>
        <w:gridCol w:w="109"/>
        <w:gridCol w:w="109"/>
        <w:gridCol w:w="109"/>
        <w:gridCol w:w="211"/>
        <w:gridCol w:w="526"/>
        <w:gridCol w:w="109"/>
        <w:gridCol w:w="154"/>
      </w:tblGrid>
      <w:tr>
        <w:trPr/>
        <w:tc>
          <w:tcPr>
            <w:tcW w:w="1787" w:type="dxa"/>
            <w:tcBorders/>
            <w:vAlign w:val="center"/>
          </w:tcPr>
          <w:p>
            <w:pPr>
              <w:pStyle w:val="TableContents"/>
              <w:bidi w:val="0"/>
              <w:spacing w:before="0" w:after="283"/>
              <w:jc w:val="left"/>
              <w:rPr>
                <w:sz w:val="4"/>
                <w:szCs w:val="4"/>
              </w:rPr>
            </w:pPr>
            <w:r>
              <w:rPr>
                <w:sz w:val="4"/>
                <w:szCs w:val="4"/>
              </w:rPr>
            </w:r>
          </w:p>
        </w:tc>
        <w:tc>
          <w:tcPr>
            <w:tcW w:w="1578"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 except per share amounts)</w:t>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shd w:fill="CFF0FC"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Earnings (loss) per share — basic:</w:t>
            </w:r>
          </w:p>
        </w:tc>
        <w:tc>
          <w:tcPr>
            <w:tcW w:w="906"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Goodyear net income (loss)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w:t>
            </w:r>
          </w:p>
        </w:tc>
        <w:tc>
          <w:tcPr>
            <w:tcW w:w="906" w:type="dxa"/>
            <w:gridSpan w:val="3"/>
            <w:tcBorders>
              <w:top w:val="doub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289</w:t>
            </w:r>
          </w:p>
        </w:tc>
        <w:tc>
          <w:tcPr>
            <w:tcW w:w="327" w:type="dxa"/>
            <w:gridSpan w:val="3"/>
            <w:tcBorders>
              <w:top w:val="double" w:sz="8"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doub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287</w:t>
            </w:r>
          </w:p>
        </w:tc>
        <w:tc>
          <w:tcPr>
            <w:tcW w:w="327" w:type="dxa"/>
            <w:gridSpan w:val="3"/>
            <w:tcBorders>
              <w:top w:val="double" w:sz="8"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289</w:t>
            </w:r>
          </w:p>
        </w:tc>
        <w:tc>
          <w:tcPr>
            <w:tcW w:w="327" w:type="dxa"/>
            <w:gridSpan w:val="3"/>
            <w:tcBorders>
              <w:top w:val="double" w:sz="8"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doub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287</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Earnings (loss) per common share — basic</w:t>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8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(0.71)</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0.88</w:t>
            </w: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8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(1.57)</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1.28</w:t>
            </w: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Earnings (loss) per share — diluted:</w:t>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Goodyear net income (loss)</w:t>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(453)</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w:t>
            </w:r>
          </w:p>
        </w:tc>
        <w:tc>
          <w:tcPr>
            <w:tcW w:w="906"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289</w:t>
            </w:r>
          </w:p>
        </w:tc>
        <w:tc>
          <w:tcPr>
            <w:tcW w:w="327" w:type="dxa"/>
            <w:gridSpan w:val="3"/>
            <w:tcBorders>
              <w:top w:val="double" w:sz="8"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289</w:t>
            </w:r>
          </w:p>
        </w:tc>
        <w:tc>
          <w:tcPr>
            <w:tcW w:w="327" w:type="dxa"/>
            <w:gridSpan w:val="3"/>
            <w:tcBorders>
              <w:top w:val="double" w:sz="8"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287</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effect of stock options and other dilutive securities</w:t>
            </w:r>
          </w:p>
        </w:tc>
        <w:tc>
          <w:tcPr>
            <w:tcW w:w="90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 — diluted</w:t>
            </w:r>
          </w:p>
        </w:tc>
        <w:tc>
          <w:tcPr>
            <w:tcW w:w="906"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289</w:t>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290</w:t>
            </w:r>
          </w:p>
        </w:tc>
        <w:tc>
          <w:tcPr>
            <w:tcW w:w="327" w:type="dxa"/>
            <w:gridSpan w:val="3"/>
            <w:tcBorders>
              <w:top w:val="double" w:sz="8"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289</w:t>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shd w:fill="CFF0FC"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Earnings (loss) per common share — diluted</w:t>
            </w:r>
          </w:p>
        </w:tc>
        <w:tc>
          <w:tcPr>
            <w:tcW w:w="211" w:type="dxa"/>
            <w:tcBorders>
              <w:top w:val="doub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86" w:type="dxa"/>
            <w:tcBorders>
              <w:top w:val="doub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(0.71)</w:t>
            </w:r>
          </w:p>
        </w:tc>
        <w:tc>
          <w:tcPr>
            <w:tcW w:w="109" w:type="dxa"/>
            <w:tcBorders>
              <w:top w:val="doub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FFFFFF"/>
              <w:bottom w:val="double" w:sz="8" w:space="0" w:color="FFFFFF"/>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doub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0.87</w:t>
            </w:r>
            <w:r>
              <w:rPr>
                <w:color w:val="000000"/>
              </w:rPr>
              <w:t> </w:t>
            </w:r>
          </w:p>
        </w:tc>
        <w:tc>
          <w:tcPr>
            <w:tcW w:w="109" w:type="dxa"/>
            <w:tcBorders>
              <w:top w:val="doub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FFFFFF"/>
              <w:bottom w:val="double" w:sz="8" w:space="0" w:color="FFFFFF"/>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86" w:type="dxa"/>
            <w:tcBorders>
              <w:top w:val="doub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(1.57)</w:t>
            </w:r>
          </w:p>
        </w:tc>
        <w:tc>
          <w:tcPr>
            <w:tcW w:w="109" w:type="dxa"/>
            <w:tcBorders>
              <w:top w:val="doub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FFFFFF"/>
              <w:bottom w:val="double" w:sz="8" w:space="0" w:color="FFFFFF"/>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doub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1.27</w:t>
            </w:r>
            <w:r>
              <w:rPr>
                <w:color w:val="000000"/>
              </w:rPr>
              <w:t> </w:t>
            </w:r>
          </w:p>
        </w:tc>
        <w:tc>
          <w:tcPr>
            <w:tcW w:w="109" w:type="dxa"/>
            <w:tcBorders>
              <w:top w:val="doub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299085"/>
                <wp:effectExtent l="0" t="0" r="0" b="0"/>
                <wp:wrapNone/>
                <wp:docPr id="15" name="Frame15"/>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240" w:after="283"/>
        <w:jc w:val="left"/>
        <w:rPr/>
      </w:pPr>
      <w:hyperlink w:anchor="ic6c494b4098947579b1e17aeda6e5d7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Weighted average shares outstanding — diluted for both the three and six months ended June 30, 2026 excludes approximately 2 million equivalent shares, and, for both the three and six months ended June 30, 2025, excludes approximately 1 million equivalent shares and 3 million equivalent shares, respectively, related to options with exercise prices greater than the average market price of our common shares (i.e., "underwater" options). Additionally, weighted average shares outstanding — diluted for both the three and six months ended June 30, 2026 excludes the dilutive effect of approximately 1 million equivalent shares, related primarily to options with exercise prices less than the average market price of our common shares (i.e., "in-the-money" options) and unvested restricted stock units, as their inclusion would have been anti-dilutive due to the Goodyear net loss.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u w:val="single"/>
        </w:rPr>
      </w:pPr>
      <w:r>
        <w:rPr>
          <w:rFonts w:ascii="Times New Roman;serif" w:hAnsi="Times New Roman;serif"/>
          <w:b/>
          <w:color w:val="000000"/>
          <w:sz w:val="20"/>
          <w:u w:val="single"/>
        </w:rPr>
        <w:t>NOTE 7. BUSINESS SEGMENTS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Segment information reflects our strategic business units (“SBUs”), which are organized to meet customer requirements and global competition. For the three and six months ended June 30, 2026, we operated our business through operating segments representing our regional tire businesses: Americas; Europe, Middle East and Africa; and Asia Pacific. Segment information is reported on the basis used for reporting to our Chief Executive Officer. Each of the SBUs is involved in the development, manufacture, distribution and sale of tires. Certain of the SBUs also provide related products and services, which include retreads and automotive and commercial truck maintenance and repair services.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Results of operations are measured based on net sales to unaffiliated customers and segment operating income. Each segment exports tires to other segments. The financial results of each segment exclude sales of tires exported to other segments, but include operating income derived from such transactions. Segment operating income is computed as follows: Net sales less Cost of Goods Sold ("CGS") (excluding asset write-offs and accelerated depreciation charges) and SAG (including certain allocated corporate administrative expenses). Segment operating income also includes certain royalties and equity in earnings of most affiliates. Segment operating income does not include net rationalization charges, asset sales, goodwill and other asset impairment charges, and certain other items.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chief operating decision maker ("CODM") is the Chief Executive Officer. The CODM uses segment operating income to allocate resources (including employees, property, and financial or capital resources) for each segment predominantly in the annual budget and forecasting process. The CODM considers budget-to-actual variances on a monthly basis for the profit measure when making decisions about allocating capital and personnel to the segments. The CODM also uses segment operating income for evaluating product pricing and to assess the performance for each segment by comparing the results and return on assets of each segment with one another.</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segment sales, significant segment expenses and segment operating income (loss), and the reconciliation of segment operating income (loss) to Income (Loss) before Income Taxes: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1484"/>
        <w:gridCol w:w="877"/>
        <w:gridCol w:w="885"/>
        <w:gridCol w:w="259"/>
        <w:gridCol w:w="757"/>
        <w:gridCol w:w="133"/>
        <w:gridCol w:w="133"/>
        <w:gridCol w:w="133"/>
        <w:gridCol w:w="133"/>
        <w:gridCol w:w="466"/>
        <w:gridCol w:w="1362"/>
        <w:gridCol w:w="240"/>
        <w:gridCol w:w="133"/>
        <w:gridCol w:w="133"/>
        <w:gridCol w:w="133"/>
        <w:gridCol w:w="288"/>
        <w:gridCol w:w="637"/>
        <w:gridCol w:w="148"/>
        <w:gridCol w:w="133"/>
        <w:gridCol w:w="133"/>
        <w:gridCol w:w="133"/>
        <w:gridCol w:w="259"/>
        <w:gridCol w:w="757"/>
        <w:gridCol w:w="133"/>
        <w:gridCol w:w="323"/>
      </w:tblGrid>
      <w:tr>
        <w:trPr/>
        <w:tc>
          <w:tcPr>
            <w:tcW w:w="1484"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3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6"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2026</w:t>
            </w:r>
          </w:p>
        </w:tc>
        <w:tc>
          <w:tcPr>
            <w:tcW w:w="323" w:type="dxa"/>
            <w:tcBorders/>
            <w:vAlign w:val="center"/>
          </w:tcPr>
          <w:p>
            <w:pPr>
              <w:pStyle w:val="TableContents"/>
              <w:bidi w:val="0"/>
              <w:spacing w:before="0" w:after="283"/>
              <w:jc w:val="left"/>
              <w:rPr>
                <w:sz w:val="4"/>
                <w:szCs w:val="4"/>
              </w:rPr>
            </w:pPr>
            <w:r>
              <w:rPr>
                <w:sz w:val="4"/>
                <w:szCs w:val="4"/>
              </w:rPr>
            </w:r>
          </w:p>
        </w:tc>
      </w:tr>
      <w:tr>
        <w:trPr/>
        <w:tc>
          <w:tcPr>
            <w:tcW w:w="32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114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Americas</w:t>
            </w:r>
          </w:p>
        </w:tc>
        <w:tc>
          <w:tcPr>
            <w:tcW w:w="3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Europe, Middle East and Africa</w:t>
            </w:r>
          </w:p>
        </w:tc>
        <w:tc>
          <w:tcPr>
            <w:tcW w:w="3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Asia Pacific</w:t>
            </w:r>
          </w:p>
        </w:tc>
        <w:tc>
          <w:tcPr>
            <w:tcW w:w="3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3" w:type="dxa"/>
            <w:tcBorders/>
            <w:vAlign w:val="center"/>
          </w:tcPr>
          <w:p>
            <w:pPr>
              <w:pStyle w:val="TableContents"/>
              <w:bidi w:val="0"/>
              <w:spacing w:before="0" w:after="283"/>
              <w:jc w:val="left"/>
              <w:rPr>
                <w:sz w:val="4"/>
                <w:szCs w:val="4"/>
              </w:rPr>
            </w:pPr>
            <w:r>
              <w:rPr>
                <w:sz w:val="4"/>
                <w:szCs w:val="4"/>
              </w:rPr>
            </w:r>
          </w:p>
        </w:tc>
      </w:tr>
      <w:tr>
        <w:trPr/>
        <w:tc>
          <w:tcPr>
            <w:tcW w:w="324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Sales</w:t>
            </w:r>
          </w:p>
        </w:tc>
        <w:tc>
          <w:tcPr>
            <w:tcW w:w="259"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2,382 </w:t>
            </w:r>
          </w:p>
        </w:tc>
        <w:tc>
          <w:tcPr>
            <w:tcW w:w="133"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2"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1,372 </w:t>
            </w:r>
          </w:p>
        </w:tc>
        <w:tc>
          <w:tcPr>
            <w:tcW w:w="240"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7"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496 </w:t>
            </w:r>
          </w:p>
        </w:tc>
        <w:tc>
          <w:tcPr>
            <w:tcW w:w="148"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4,250 </w:t>
            </w:r>
          </w:p>
        </w:tc>
        <w:tc>
          <w:tcPr>
            <w:tcW w:w="133"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ind w:left="0" w:right="0" w:firstLine="90"/>
              <w:jc w:val="left"/>
              <w:rPr>
                <w:sz w:val="4"/>
                <w:szCs w:val="4"/>
              </w:rPr>
            </w:pPr>
            <w:r>
              <w:rPr>
                <w:sz w:val="4"/>
                <w:szCs w:val="4"/>
              </w:rPr>
            </w:r>
          </w:p>
        </w:tc>
      </w:tr>
      <w:tr>
        <w:trPr/>
        <w:tc>
          <w:tcPr>
            <w:tcW w:w="32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324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101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2,035 </w:t>
            </w:r>
          </w:p>
        </w:tc>
        <w:tc>
          <w:tcPr>
            <w:tcW w:w="13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1,157 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369 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3,561 </w:t>
            </w:r>
          </w:p>
        </w:tc>
        <w:tc>
          <w:tcPr>
            <w:tcW w:w="13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32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Administrative and General Expense</w:t>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3246" w:type="dxa"/>
            <w:gridSpan w:val="3"/>
            <w:tcBorders/>
            <w:shd w:fill="CFF0FC" w:val="clear"/>
            <w:tcMar>
              <w:top w:w="0" w:type="dxa"/>
              <w:left w:w="0" w:type="dxa"/>
              <w:bottom w:w="0" w:type="dxa"/>
              <w:right w:w="0" w:type="dxa"/>
            </w:tcMar>
            <w:vAlign w:val="center"/>
          </w:tcPr>
          <w:p>
            <w:pPr>
              <w:pStyle w:val="TableContents"/>
              <w:bidi w:val="0"/>
              <w:spacing w:lineRule="auto" w:line="288" w:before="0" w:after="0"/>
              <w:ind w:left="0" w:right="0" w:firstLine="180"/>
              <w:jc w:val="left"/>
              <w:rPr/>
            </w:pPr>
            <w:r>
              <w:rPr>
                <w:rFonts w:ascii="Times New Roman;serif" w:hAnsi="Times New Roman;serif"/>
                <w:b w:val="false"/>
                <w:color w:val="000000"/>
                <w:sz w:val="20"/>
              </w:rPr>
              <w:t>Other (income) expense</w:t>
            </w:r>
            <w:r>
              <w:rPr>
                <w:rFonts w:ascii="Times New Roman;serif" w:hAnsi="Times New Roman;serif"/>
                <w:b w:val="false"/>
                <w:color w:val="000000"/>
                <w:sz w:val="13"/>
              </w:rPr>
              <w:t>(1)</w:t>
            </w:r>
          </w:p>
        </w:tc>
        <w:tc>
          <w:tcPr>
            <w:tcW w:w="101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3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3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324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Segment Operating Income (Loss)</w:t>
            </w:r>
          </w:p>
        </w:tc>
        <w:tc>
          <w:tcPr>
            <w:tcW w:w="25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(10)</w:t>
            </w:r>
          </w:p>
        </w:tc>
        <w:tc>
          <w:tcPr>
            <w:tcW w:w="1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36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(17)</w:t>
            </w:r>
          </w:p>
        </w:tc>
        <w:tc>
          <w:tcPr>
            <w:tcW w:w="24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63</w:t>
            </w:r>
            <w:r>
              <w:rPr>
                <w:color w:val="000000"/>
              </w:rPr>
              <w:t> </w:t>
            </w:r>
          </w:p>
        </w:tc>
        <w:tc>
          <w:tcPr>
            <w:tcW w:w="14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36</w:t>
            </w:r>
            <w:r>
              <w:rPr>
                <w:color w:val="000000"/>
              </w:rPr>
              <w:t> </w:t>
            </w:r>
          </w:p>
        </w:tc>
        <w:tc>
          <w:tcPr>
            <w:tcW w:w="1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324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149"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double" w:sz="8"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8"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double" w:sz="8"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double" w:sz="8"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3246"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2068"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324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Rationalizations (Note 3)</w:t>
            </w:r>
          </w:p>
        </w:tc>
        <w:tc>
          <w:tcPr>
            <w:tcW w:w="1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3246" w:type="dxa"/>
            <w:gridSpan w:val="3"/>
            <w:tcBorders/>
            <w:shd w:fill="CFF0FC"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Interest expense </w:t>
            </w:r>
          </w:p>
        </w:tc>
        <w:tc>
          <w:tcPr>
            <w:tcW w:w="114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8"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3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324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(income) expense (Note 4)</w:t>
            </w:r>
          </w:p>
        </w:tc>
        <w:tc>
          <w:tcPr>
            <w:tcW w:w="1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324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(gains) losses on asset sales</w:t>
            </w:r>
          </w:p>
        </w:tc>
        <w:tc>
          <w:tcPr>
            <w:tcW w:w="114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8"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3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3246"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2068"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32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incentive compensation plans</w:t>
            </w:r>
          </w:p>
        </w:tc>
        <w:tc>
          <w:tcPr>
            <w:tcW w:w="1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324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expenses of divested operations</w:t>
            </w:r>
          </w:p>
        </w:tc>
        <w:tc>
          <w:tcPr>
            <w:tcW w:w="114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8"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3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324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Other</w:t>
            </w:r>
            <w:r>
              <w:rPr>
                <w:rFonts w:ascii="Times New Roman;serif" w:hAnsi="Times New Roman;serif"/>
                <w:b w:val="false"/>
                <w:color w:val="000000"/>
                <w:sz w:val="13"/>
              </w:rPr>
              <w:t>(2)</w:t>
            </w:r>
          </w:p>
        </w:tc>
        <w:tc>
          <w:tcPr>
            <w:tcW w:w="1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3246" w:type="dxa"/>
            <w:gridSpan w:val="3"/>
            <w:tcBorders/>
            <w:shd w:fill="CFF0FC"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Income (Loss) before Income Taxes</w:t>
            </w:r>
          </w:p>
        </w:tc>
        <w:tc>
          <w:tcPr>
            <w:tcW w:w="114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8"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7"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(161)</w:t>
            </w:r>
          </w:p>
        </w:tc>
        <w:tc>
          <w:tcPr>
            <w:tcW w:w="133"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9882" w:type="dxa"/>
            <w:gridSpan w:val="24"/>
            <w:tcBorders/>
            <w:tcMar>
              <w:top w:w="0" w:type="dxa"/>
              <w:left w:w="0" w:type="dxa"/>
              <w:bottom w:w="0" w:type="dxa"/>
              <w:right w:w="0" w:type="dxa"/>
            </w:tcMar>
            <w:vAlign w:val="center"/>
          </w:tcPr>
          <w:p>
            <w:pPr>
              <w:pStyle w:val="TableContents"/>
              <w:bidi w:val="0"/>
              <w:spacing w:lineRule="auto" w:line="288" w:before="40" w:after="283"/>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20"/>
              </w:rPr>
              <w:t>Primarily represents OTR license agreement royalty income, in addition to transition services income related to the sales of the OTR tire business, the Dunlop brand and the chemical business.</w:t>
            </w:r>
          </w:p>
        </w:tc>
        <w:tc>
          <w:tcPr>
            <w:tcW w:w="323" w:type="dxa"/>
            <w:tcBorders/>
            <w:vAlign w:val="center"/>
          </w:tcPr>
          <w:p>
            <w:pPr>
              <w:pStyle w:val="TableContents"/>
              <w:bidi w:val="0"/>
              <w:spacing w:before="0" w:after="283"/>
              <w:jc w:val="left"/>
              <w:rPr>
                <w:sz w:val="4"/>
                <w:szCs w:val="4"/>
              </w:rPr>
            </w:pPr>
            <w:r>
              <w:rPr>
                <w:sz w:val="4"/>
                <w:szCs w:val="4"/>
              </w:rPr>
            </w:r>
          </w:p>
        </w:tc>
      </w:tr>
      <w:tr>
        <w:trPr/>
        <w:tc>
          <w:tcPr>
            <w:tcW w:w="9882" w:type="dxa"/>
            <w:gridSpan w:val="24"/>
            <w:tcBorders/>
            <w:shd w:fill="FFFFFF" w:val="clear"/>
            <w:tcMar>
              <w:top w:w="0" w:type="dxa"/>
              <w:left w:w="0" w:type="dxa"/>
              <w:bottom w:w="0" w:type="dxa"/>
              <w:right w:w="0" w:type="dxa"/>
            </w:tcMar>
            <w:vAlign w:val="center"/>
          </w:tcPr>
          <w:p>
            <w:pPr>
              <w:pStyle w:val="TableContents"/>
              <w:bidi w:val="0"/>
              <w:spacing w:lineRule="auto" w:line="288" w:before="40" w:after="283"/>
              <w:ind w:left="0" w:right="0" w:hanging="360"/>
              <w:jc w:val="both"/>
              <w:rPr/>
            </w:pPr>
            <w:r>
              <w:rPr>
                <w:rFonts w:ascii="Times New Roman;serif" w:hAnsi="Times New Roman;serif"/>
                <w:b w:val="false"/>
                <w:color w:val="000000"/>
                <w:sz w:val="13"/>
              </w:rPr>
              <w:t>(2)</w:t>
            </w:r>
            <w:r>
              <w:rPr>
                <w:rFonts w:ascii="Times New Roman;serif" w:hAnsi="Times New Roman;serif"/>
                <w:b w:val="false"/>
                <w:color w:val="000000"/>
                <w:sz w:val="20"/>
              </w:rPr>
              <w:t xml:space="preserve">Primarily represents unallocated corporate costs and the elimination of royalty and other income attributable to the SBUs. </w:t>
            </w:r>
          </w:p>
        </w:tc>
        <w:tc>
          <w:tcPr>
            <w:tcW w:w="32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299085"/>
                <wp:effectExtent l="0" t="0" r="0" b="0"/>
                <wp:wrapNone/>
                <wp:docPr id="16" name="Frame16"/>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240" w:after="283"/>
        <w:jc w:val="left"/>
        <w:rPr/>
      </w:pPr>
      <w:hyperlink w:anchor="ic6c494b4098947579b1e17aeda6e5d76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837"/>
        <w:gridCol w:w="1235"/>
        <w:gridCol w:w="1247"/>
        <w:gridCol w:w="224"/>
        <w:gridCol w:w="655"/>
        <w:gridCol w:w="115"/>
        <w:gridCol w:w="115"/>
        <w:gridCol w:w="115"/>
        <w:gridCol w:w="115"/>
        <w:gridCol w:w="398"/>
        <w:gridCol w:w="1164"/>
        <w:gridCol w:w="205"/>
        <w:gridCol w:w="115"/>
        <w:gridCol w:w="115"/>
        <w:gridCol w:w="115"/>
        <w:gridCol w:w="248"/>
        <w:gridCol w:w="549"/>
        <w:gridCol w:w="128"/>
        <w:gridCol w:w="115"/>
        <w:gridCol w:w="115"/>
        <w:gridCol w:w="115"/>
        <w:gridCol w:w="224"/>
        <w:gridCol w:w="655"/>
        <w:gridCol w:w="115"/>
        <w:gridCol w:w="171"/>
      </w:tblGrid>
      <w:tr>
        <w:trPr/>
        <w:tc>
          <w:tcPr>
            <w:tcW w:w="1837"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2025</w:t>
            </w:r>
          </w:p>
        </w:tc>
        <w:tc>
          <w:tcPr>
            <w:tcW w:w="171"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99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Americas</w:t>
            </w:r>
          </w:p>
        </w:tc>
        <w:tc>
          <w:tcPr>
            <w:tcW w:w="3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Europe, Middle East and Africa</w:t>
            </w:r>
          </w:p>
        </w:tc>
        <w:tc>
          <w:tcPr>
            <w:tcW w:w="3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Asia Pacific</w:t>
            </w:r>
          </w:p>
        </w:tc>
        <w:tc>
          <w:tcPr>
            <w:tcW w:w="3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171"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Sales</w:t>
            </w:r>
          </w:p>
        </w:tc>
        <w:tc>
          <w:tcPr>
            <w:tcW w:w="224"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5"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2,662 </w:t>
            </w:r>
          </w:p>
        </w:tc>
        <w:tc>
          <w:tcPr>
            <w:tcW w:w="115"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4"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1,344 </w:t>
            </w:r>
          </w:p>
        </w:tc>
        <w:tc>
          <w:tcPr>
            <w:tcW w:w="205"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9"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459 </w:t>
            </w:r>
          </w:p>
        </w:tc>
        <w:tc>
          <w:tcPr>
            <w:tcW w:w="128"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5"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4,465 </w:t>
            </w:r>
          </w:p>
        </w:tc>
        <w:tc>
          <w:tcPr>
            <w:tcW w:w="115"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87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2,166 </w:t>
            </w:r>
          </w:p>
        </w:tc>
        <w:tc>
          <w:tcPr>
            <w:tcW w:w="11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1,153 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12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3,669 </w:t>
            </w:r>
          </w:p>
        </w:tc>
        <w:tc>
          <w:tcPr>
            <w:tcW w:w="11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Administrative and General Expense</w:t>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CFF0FC" w:val="clear"/>
            <w:tcMar>
              <w:top w:w="0" w:type="dxa"/>
              <w:left w:w="0" w:type="dxa"/>
              <w:bottom w:w="0" w:type="dxa"/>
              <w:right w:w="0" w:type="dxa"/>
            </w:tcMar>
            <w:vAlign w:val="center"/>
          </w:tcPr>
          <w:p>
            <w:pPr>
              <w:pStyle w:val="TableContents"/>
              <w:bidi w:val="0"/>
              <w:spacing w:lineRule="auto" w:line="288" w:before="0" w:after="0"/>
              <w:ind w:left="0" w:right="0" w:firstLine="180"/>
              <w:jc w:val="left"/>
              <w:rPr/>
            </w:pPr>
            <w:r>
              <w:rPr>
                <w:rFonts w:ascii="Times New Roman;serif" w:hAnsi="Times New Roman;serif"/>
                <w:b w:val="false"/>
                <w:color w:val="000000"/>
                <w:sz w:val="20"/>
              </w:rPr>
              <w:t>Other (income) expense</w:t>
            </w:r>
            <w:r>
              <w:rPr>
                <w:rFonts w:ascii="Times New Roman;serif" w:hAnsi="Times New Roman;serif"/>
                <w:b w:val="false"/>
                <w:color w:val="000000"/>
                <w:sz w:val="13"/>
              </w:rPr>
              <w:t>(1)</w:t>
            </w:r>
          </w:p>
        </w:tc>
        <w:tc>
          <w:tcPr>
            <w:tcW w:w="87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1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2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1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Segment Operating Income (Loss)</w:t>
            </w:r>
          </w:p>
        </w:tc>
        <w:tc>
          <w:tcPr>
            <w:tcW w:w="22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5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141</w:t>
            </w:r>
            <w:r>
              <w:rPr>
                <w:color w:val="000000"/>
              </w:rPr>
              <w:t>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6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(25)</w:t>
            </w:r>
          </w:p>
        </w:tc>
        <w:tc>
          <w:tcPr>
            <w:tcW w:w="20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4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43</w:t>
            </w:r>
            <w:r>
              <w:rPr>
                <w:color w:val="000000"/>
              </w:rPr>
              <w:t> </w:t>
            </w:r>
          </w:p>
        </w:tc>
        <w:tc>
          <w:tcPr>
            <w:tcW w:w="12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5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159</w:t>
            </w:r>
            <w:r>
              <w:rPr>
                <w:color w:val="000000"/>
              </w:rPr>
              <w:t>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994"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double" w:sz="8"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double" w:sz="8"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double" w:sz="8"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767"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Rationalizations (Note 3)</w:t>
            </w:r>
          </w:p>
        </w:tc>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CFF0FC"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Interest expense </w:t>
            </w:r>
          </w:p>
        </w:tc>
        <w:tc>
          <w:tcPr>
            <w:tcW w:w="99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1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(income) expense (Note 4)</w:t>
            </w:r>
          </w:p>
        </w:tc>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(gains) losses on asset sales</w:t>
            </w:r>
          </w:p>
        </w:tc>
        <w:tc>
          <w:tcPr>
            <w:tcW w:w="99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(439)</w:t>
            </w:r>
          </w:p>
        </w:tc>
        <w:tc>
          <w:tcPr>
            <w:tcW w:w="11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Asset write-offs, accelerated depreciation and accelerated lease costs, net (Note 3)</w:t>
            </w:r>
          </w:p>
        </w:tc>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incentive compensation plans</w:t>
            </w:r>
          </w:p>
        </w:tc>
        <w:tc>
          <w:tcPr>
            <w:tcW w:w="99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1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expenses of divested operations</w:t>
            </w:r>
          </w:p>
        </w:tc>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CFF0FC"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Other</w:t>
            </w:r>
            <w:r>
              <w:rPr>
                <w:rFonts w:ascii="Times New Roman;serif" w:hAnsi="Times New Roman;serif"/>
                <w:b w:val="false"/>
                <w:color w:val="000000"/>
                <w:sz w:val="13"/>
              </w:rPr>
              <w:t>(2)</w:t>
            </w:r>
          </w:p>
        </w:tc>
        <w:tc>
          <w:tcPr>
            <w:tcW w:w="99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1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Income (Loss) before Income Taxes</w:t>
            </w:r>
          </w:p>
        </w:tc>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305</w:t>
            </w:r>
            <w:r>
              <w:rPr>
                <w:color w:val="000000"/>
              </w:rPr>
              <w:t> </w:t>
            </w:r>
          </w:p>
        </w:tc>
        <w:tc>
          <w:tcPr>
            <w:tcW w:w="1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10034" w:type="dxa"/>
            <w:gridSpan w:val="24"/>
            <w:tcBorders/>
            <w:tcMar>
              <w:top w:w="0" w:type="dxa"/>
              <w:left w:w="0" w:type="dxa"/>
              <w:bottom w:w="0" w:type="dxa"/>
              <w:right w:w="0" w:type="dxa"/>
            </w:tcMar>
            <w:vAlign w:val="center"/>
          </w:tcPr>
          <w:p>
            <w:pPr>
              <w:pStyle w:val="TableContents"/>
              <w:bidi w:val="0"/>
              <w:spacing w:lineRule="auto" w:line="288" w:before="40" w:after="283"/>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20"/>
              </w:rPr>
              <w:t>Primarily represents OTR transition license agreement royalty income, in addition to transition services income related to the sales of the OTR tire business and the Dunlop brand.</w:t>
            </w:r>
          </w:p>
        </w:tc>
        <w:tc>
          <w:tcPr>
            <w:tcW w:w="171" w:type="dxa"/>
            <w:tcBorders/>
            <w:vAlign w:val="center"/>
          </w:tcPr>
          <w:p>
            <w:pPr>
              <w:pStyle w:val="TableContents"/>
              <w:bidi w:val="0"/>
              <w:spacing w:before="0" w:after="283"/>
              <w:jc w:val="left"/>
              <w:rPr>
                <w:sz w:val="4"/>
                <w:szCs w:val="4"/>
              </w:rPr>
            </w:pPr>
            <w:r>
              <w:rPr>
                <w:sz w:val="4"/>
                <w:szCs w:val="4"/>
              </w:rPr>
            </w:r>
          </w:p>
        </w:tc>
      </w:tr>
      <w:tr>
        <w:trPr/>
        <w:tc>
          <w:tcPr>
            <w:tcW w:w="10034" w:type="dxa"/>
            <w:gridSpan w:val="24"/>
            <w:tcBorders/>
            <w:tcMar>
              <w:top w:w="0" w:type="dxa"/>
              <w:left w:w="0" w:type="dxa"/>
              <w:bottom w:w="0" w:type="dxa"/>
              <w:right w:w="0" w:type="dxa"/>
            </w:tcMar>
            <w:vAlign w:val="center"/>
          </w:tcPr>
          <w:p>
            <w:pPr>
              <w:pStyle w:val="TableContents"/>
              <w:bidi w:val="0"/>
              <w:spacing w:lineRule="auto" w:line="288" w:before="40" w:after="283"/>
              <w:ind w:left="0" w:right="0" w:hanging="360"/>
              <w:jc w:val="both"/>
              <w:rPr/>
            </w:pPr>
            <w:r>
              <w:rPr>
                <w:rFonts w:ascii="Times New Roman;serif" w:hAnsi="Times New Roman;serif"/>
                <w:b w:val="false"/>
                <w:color w:val="000000"/>
                <w:sz w:val="13"/>
              </w:rPr>
              <w:t>(2)</w:t>
            </w:r>
            <w:r>
              <w:rPr>
                <w:rFonts w:ascii="Times New Roman;serif" w:hAnsi="Times New Roman;serif"/>
                <w:b w:val="false"/>
                <w:color w:val="000000"/>
                <w:sz w:val="20"/>
              </w:rPr>
              <w:t>Primarily represents unallocated corporate costs and the elimination of royalty and other income attributable to the SBUs.</w:t>
            </w:r>
          </w:p>
        </w:tc>
        <w:tc>
          <w:tcPr>
            <w:tcW w:w="171"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299085"/>
                <wp:effectExtent l="0" t="0" r="0" b="0"/>
                <wp:wrapNone/>
                <wp:docPr id="17" name="Frame17"/>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240" w:after="283"/>
        <w:jc w:val="left"/>
        <w:rPr/>
      </w:pPr>
      <w:hyperlink w:anchor="ic6c494b4098947579b1e17aeda6e5d76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801"/>
        <w:gridCol w:w="1156"/>
        <w:gridCol w:w="1167"/>
        <w:gridCol w:w="229"/>
        <w:gridCol w:w="669"/>
        <w:gridCol w:w="118"/>
        <w:gridCol w:w="118"/>
        <w:gridCol w:w="118"/>
        <w:gridCol w:w="118"/>
        <w:gridCol w:w="389"/>
        <w:gridCol w:w="1136"/>
        <w:gridCol w:w="200"/>
        <w:gridCol w:w="118"/>
        <w:gridCol w:w="118"/>
        <w:gridCol w:w="118"/>
        <w:gridCol w:w="249"/>
        <w:gridCol w:w="569"/>
        <w:gridCol w:w="128"/>
        <w:gridCol w:w="118"/>
        <w:gridCol w:w="118"/>
        <w:gridCol w:w="118"/>
        <w:gridCol w:w="229"/>
        <w:gridCol w:w="669"/>
        <w:gridCol w:w="118"/>
        <w:gridCol w:w="316"/>
      </w:tblGrid>
      <w:tr>
        <w:trPr/>
        <w:tc>
          <w:tcPr>
            <w:tcW w:w="1801"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5" w:type="dxa"/>
            <w:gridSpan w:val="21"/>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Six Months Ended June 30, 2026</w:t>
            </w:r>
          </w:p>
        </w:tc>
        <w:tc>
          <w:tcPr>
            <w:tcW w:w="316"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101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Americas</w:t>
            </w:r>
          </w:p>
        </w:tc>
        <w:tc>
          <w:tcPr>
            <w:tcW w:w="3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Europe, Middle East and Africa</w:t>
            </w:r>
          </w:p>
        </w:tc>
        <w:tc>
          <w:tcPr>
            <w:tcW w:w="3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Asia Pacific</w:t>
            </w:r>
          </w:p>
        </w:tc>
        <w:tc>
          <w:tcPr>
            <w:tcW w:w="3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16"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Sales</w:t>
            </w:r>
          </w:p>
        </w:tc>
        <w:tc>
          <w:tcPr>
            <w:tcW w:w="229"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9"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4,445 </w:t>
            </w:r>
          </w:p>
        </w:tc>
        <w:tc>
          <w:tcPr>
            <w:tcW w:w="118"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2,735 </w:t>
            </w:r>
          </w:p>
        </w:tc>
        <w:tc>
          <w:tcPr>
            <w:tcW w:w="200"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9"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951 </w:t>
            </w:r>
          </w:p>
        </w:tc>
        <w:tc>
          <w:tcPr>
            <w:tcW w:w="128"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9"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8,131 </w:t>
            </w:r>
          </w:p>
        </w:tc>
        <w:tc>
          <w:tcPr>
            <w:tcW w:w="118"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ind w:left="0" w:right="0" w:firstLine="90"/>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0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412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89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3,727 </w:t>
            </w:r>
          </w:p>
        </w:tc>
        <w:tc>
          <w:tcPr>
            <w:tcW w:w="11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2,306 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707 </w:t>
            </w:r>
          </w:p>
        </w:tc>
        <w:tc>
          <w:tcPr>
            <w:tcW w:w="12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6,740 </w:t>
            </w:r>
          </w:p>
        </w:tc>
        <w:tc>
          <w:tcPr>
            <w:tcW w:w="11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Administrative and General Expense</w:t>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460 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CFF0FC" w:val="clear"/>
            <w:tcMar>
              <w:top w:w="0" w:type="dxa"/>
              <w:left w:w="0" w:type="dxa"/>
              <w:bottom w:w="0" w:type="dxa"/>
              <w:right w:w="0" w:type="dxa"/>
            </w:tcMar>
            <w:vAlign w:val="center"/>
          </w:tcPr>
          <w:p>
            <w:pPr>
              <w:pStyle w:val="TableContents"/>
              <w:bidi w:val="0"/>
              <w:spacing w:lineRule="auto" w:line="288" w:before="0" w:after="0"/>
              <w:ind w:left="0" w:right="0" w:firstLine="180"/>
              <w:jc w:val="left"/>
              <w:rPr/>
            </w:pPr>
            <w:r>
              <w:rPr>
                <w:rFonts w:ascii="Times New Roman;serif" w:hAnsi="Times New Roman;serif"/>
                <w:b w:val="false"/>
                <w:color w:val="000000"/>
                <w:sz w:val="20"/>
              </w:rPr>
              <w:t>Other (income) expense</w:t>
            </w:r>
            <w:r>
              <w:rPr>
                <w:rFonts w:ascii="Times New Roman;serif" w:hAnsi="Times New Roman;serif"/>
                <w:b w:val="false"/>
                <w:color w:val="000000"/>
                <w:sz w:val="13"/>
              </w:rPr>
              <w:t>(1)</w:t>
            </w:r>
          </w:p>
        </w:tc>
        <w:tc>
          <w:tcPr>
            <w:tcW w:w="89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1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2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1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Segment Operating Income (Loss)</w:t>
            </w:r>
          </w:p>
        </w:tc>
        <w:tc>
          <w:tcPr>
            <w:tcW w:w="22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6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27</w:t>
            </w:r>
            <w:r>
              <w:rPr>
                <w:color w:val="000000"/>
              </w:rPr>
              <w:t>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(16)</w:t>
            </w:r>
          </w:p>
        </w:tc>
        <w:tc>
          <w:tcPr>
            <w:tcW w:w="20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6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120</w:t>
            </w:r>
            <w:r>
              <w:rPr>
                <w:color w:val="000000"/>
              </w:rPr>
              <w:t> </w:t>
            </w:r>
          </w:p>
        </w:tc>
        <w:tc>
          <w:tcPr>
            <w:tcW w:w="12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6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131</w:t>
            </w:r>
            <w:r>
              <w:rPr>
                <w:color w:val="000000"/>
              </w:rPr>
              <w:t>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016"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double" w:sz="8"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double" w:sz="8"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double" w:sz="8"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Rationalizations (Note 3)</w:t>
            </w:r>
          </w:p>
        </w:tc>
        <w:tc>
          <w:tcPr>
            <w:tcW w:w="10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CFF0FC"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Interest expense </w:t>
            </w:r>
          </w:p>
        </w:tc>
        <w:tc>
          <w:tcPr>
            <w:tcW w:w="101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1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(income) expense (Note 4)</w:t>
            </w:r>
          </w:p>
        </w:tc>
        <w:tc>
          <w:tcPr>
            <w:tcW w:w="10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(gains) losses on asset sales</w:t>
            </w:r>
          </w:p>
        </w:tc>
        <w:tc>
          <w:tcPr>
            <w:tcW w:w="101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1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Asset write-offs, accelerated depreciation and accelerated lease costs, net (Note 3)</w:t>
            </w:r>
          </w:p>
        </w:tc>
        <w:tc>
          <w:tcPr>
            <w:tcW w:w="10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incentive compensation plans</w:t>
            </w:r>
          </w:p>
        </w:tc>
        <w:tc>
          <w:tcPr>
            <w:tcW w:w="101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1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expenses of divested operations</w:t>
            </w:r>
          </w:p>
        </w:tc>
        <w:tc>
          <w:tcPr>
            <w:tcW w:w="10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CFF0FC"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Other</w:t>
            </w:r>
            <w:r>
              <w:rPr>
                <w:rFonts w:ascii="Times New Roman;serif" w:hAnsi="Times New Roman;serif"/>
                <w:b w:val="false"/>
                <w:color w:val="000000"/>
                <w:sz w:val="13"/>
              </w:rPr>
              <w:t>(2)</w:t>
            </w:r>
          </w:p>
        </w:tc>
        <w:tc>
          <w:tcPr>
            <w:tcW w:w="101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1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Income (Loss) before Income Taxes</w:t>
            </w:r>
          </w:p>
        </w:tc>
        <w:tc>
          <w:tcPr>
            <w:tcW w:w="10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6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(341)</w:t>
            </w:r>
          </w:p>
        </w:tc>
        <w:tc>
          <w:tcPr>
            <w:tcW w:w="1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9889" w:type="dxa"/>
            <w:gridSpan w:val="24"/>
            <w:tcBorders/>
            <w:tcMar>
              <w:top w:w="0" w:type="dxa"/>
              <w:left w:w="0" w:type="dxa"/>
              <w:bottom w:w="0" w:type="dxa"/>
              <w:right w:w="0" w:type="dxa"/>
            </w:tcMar>
            <w:vAlign w:val="center"/>
          </w:tcPr>
          <w:p>
            <w:pPr>
              <w:pStyle w:val="TableContents"/>
              <w:bidi w:val="0"/>
              <w:spacing w:lineRule="auto" w:line="288" w:before="40" w:after="283"/>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20"/>
              </w:rPr>
              <w:t>Primarily represents OTR license agreement royalty income, in addition to transition services income related to the sales of the OTR tire business, the Dunlop brand and the chemical business.</w:t>
            </w:r>
          </w:p>
        </w:tc>
        <w:tc>
          <w:tcPr>
            <w:tcW w:w="316" w:type="dxa"/>
            <w:tcBorders/>
            <w:vAlign w:val="center"/>
          </w:tcPr>
          <w:p>
            <w:pPr>
              <w:pStyle w:val="TableContents"/>
              <w:bidi w:val="0"/>
              <w:spacing w:before="0" w:after="283"/>
              <w:jc w:val="left"/>
              <w:rPr>
                <w:sz w:val="4"/>
                <w:szCs w:val="4"/>
              </w:rPr>
            </w:pPr>
            <w:r>
              <w:rPr>
                <w:sz w:val="4"/>
                <w:szCs w:val="4"/>
              </w:rPr>
            </w:r>
          </w:p>
        </w:tc>
      </w:tr>
      <w:tr>
        <w:trPr/>
        <w:tc>
          <w:tcPr>
            <w:tcW w:w="9889" w:type="dxa"/>
            <w:gridSpan w:val="24"/>
            <w:tcBorders/>
            <w:shd w:fill="FFFFFF" w:val="clear"/>
            <w:tcMar>
              <w:top w:w="0" w:type="dxa"/>
              <w:left w:w="0" w:type="dxa"/>
              <w:bottom w:w="0" w:type="dxa"/>
              <w:right w:w="0" w:type="dxa"/>
            </w:tcMar>
            <w:vAlign w:val="center"/>
          </w:tcPr>
          <w:p>
            <w:pPr>
              <w:pStyle w:val="TableContents"/>
              <w:bidi w:val="0"/>
              <w:spacing w:lineRule="auto" w:line="288" w:before="40" w:after="283"/>
              <w:ind w:left="0" w:right="0" w:hanging="360"/>
              <w:jc w:val="both"/>
              <w:rPr/>
            </w:pPr>
            <w:r>
              <w:rPr>
                <w:rFonts w:ascii="Times New Roman;serif" w:hAnsi="Times New Roman;serif"/>
                <w:b w:val="false"/>
                <w:color w:val="000000"/>
                <w:sz w:val="13"/>
              </w:rPr>
              <w:t>(2)</w:t>
            </w:r>
            <w:r>
              <w:rPr>
                <w:rFonts w:ascii="Times New Roman;serif" w:hAnsi="Times New Roman;serif"/>
                <w:b w:val="false"/>
                <w:color w:val="000000"/>
                <w:sz w:val="20"/>
              </w:rPr>
              <w:t xml:space="preserve">Primarily represents unallocated corporate costs and the elimination of royalty and other income attributable to the SBUs. </w:t>
            </w:r>
          </w:p>
        </w:tc>
        <w:tc>
          <w:tcPr>
            <w:tcW w:w="31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810"/>
        <w:gridCol w:w="1232"/>
        <w:gridCol w:w="1244"/>
        <w:gridCol w:w="218"/>
        <w:gridCol w:w="638"/>
        <w:gridCol w:w="112"/>
        <w:gridCol w:w="112"/>
        <w:gridCol w:w="112"/>
        <w:gridCol w:w="112"/>
        <w:gridCol w:w="393"/>
        <w:gridCol w:w="1148"/>
        <w:gridCol w:w="202"/>
        <w:gridCol w:w="112"/>
        <w:gridCol w:w="112"/>
        <w:gridCol w:w="112"/>
        <w:gridCol w:w="243"/>
        <w:gridCol w:w="537"/>
        <w:gridCol w:w="125"/>
        <w:gridCol w:w="112"/>
        <w:gridCol w:w="112"/>
        <w:gridCol w:w="112"/>
        <w:gridCol w:w="218"/>
        <w:gridCol w:w="638"/>
        <w:gridCol w:w="112"/>
        <w:gridCol w:w="327"/>
      </w:tblGrid>
      <w:tr>
        <w:trPr/>
        <w:tc>
          <w:tcPr>
            <w:tcW w:w="1810"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r>
      <w:tr>
        <w:trPr/>
        <w:tc>
          <w:tcPr>
            <w:tcW w:w="42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2" w:type="dxa"/>
            <w:gridSpan w:val="21"/>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Six Months Ended June 30, 2025</w:t>
            </w:r>
          </w:p>
        </w:tc>
        <w:tc>
          <w:tcPr>
            <w:tcW w:w="327" w:type="dxa"/>
            <w:tcBorders/>
            <w:vAlign w:val="center"/>
          </w:tcPr>
          <w:p>
            <w:pPr>
              <w:pStyle w:val="TableContents"/>
              <w:bidi w:val="0"/>
              <w:spacing w:before="0" w:after="283"/>
              <w:jc w:val="left"/>
              <w:rPr>
                <w:sz w:val="4"/>
                <w:szCs w:val="4"/>
              </w:rPr>
            </w:pPr>
            <w:r>
              <w:rPr>
                <w:sz w:val="4"/>
                <w:szCs w:val="4"/>
              </w:rPr>
            </w:r>
          </w:p>
        </w:tc>
      </w:tr>
      <w:tr>
        <w:trPr/>
        <w:tc>
          <w:tcPr>
            <w:tcW w:w="42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96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Americas</w:t>
            </w:r>
          </w:p>
        </w:tc>
        <w:tc>
          <w:tcPr>
            <w:tcW w:w="3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Europe, Middle East and Africa</w:t>
            </w:r>
          </w:p>
        </w:tc>
        <w:tc>
          <w:tcPr>
            <w:tcW w:w="3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Asia Pacific</w:t>
            </w:r>
          </w:p>
        </w:tc>
        <w:tc>
          <w:tcPr>
            <w:tcW w:w="3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tcBorders/>
            <w:vAlign w:val="center"/>
          </w:tcPr>
          <w:p>
            <w:pPr>
              <w:pStyle w:val="TableContents"/>
              <w:bidi w:val="0"/>
              <w:spacing w:before="0" w:after="283"/>
              <w:jc w:val="left"/>
              <w:rPr>
                <w:sz w:val="4"/>
                <w:szCs w:val="4"/>
              </w:rPr>
            </w:pPr>
            <w:r>
              <w:rPr>
                <w:sz w:val="4"/>
                <w:szCs w:val="4"/>
              </w:rPr>
            </w:r>
          </w:p>
        </w:tc>
      </w:tr>
      <w:tr>
        <w:trPr/>
        <w:tc>
          <w:tcPr>
            <w:tcW w:w="428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Sales</w:t>
            </w:r>
          </w:p>
        </w:tc>
        <w:tc>
          <w:tcPr>
            <w:tcW w:w="218"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8"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5,164 </w:t>
            </w:r>
          </w:p>
        </w:tc>
        <w:tc>
          <w:tcPr>
            <w:tcW w:w="112"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8"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2,621 </w:t>
            </w:r>
          </w:p>
        </w:tc>
        <w:tc>
          <w:tcPr>
            <w:tcW w:w="202"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7"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933 </w:t>
            </w:r>
          </w:p>
        </w:tc>
        <w:tc>
          <w:tcPr>
            <w:tcW w:w="125"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8"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8,718 </w:t>
            </w:r>
          </w:p>
        </w:tc>
        <w:tc>
          <w:tcPr>
            <w:tcW w:w="112"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ind w:left="0" w:right="0" w:firstLine="90"/>
              <w:jc w:val="left"/>
              <w:rPr>
                <w:sz w:val="4"/>
                <w:szCs w:val="4"/>
              </w:rPr>
            </w:pPr>
            <w:r>
              <w:rPr>
                <w:sz w:val="4"/>
                <w:szCs w:val="4"/>
              </w:rPr>
            </w:r>
          </w:p>
        </w:tc>
      </w:tr>
      <w:tr>
        <w:trPr/>
        <w:tc>
          <w:tcPr>
            <w:tcW w:w="42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428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85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4,189 </w:t>
            </w:r>
          </w:p>
        </w:tc>
        <w:tc>
          <w:tcPr>
            <w:tcW w:w="11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2,235 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718 </w:t>
            </w:r>
          </w:p>
        </w:tc>
        <w:tc>
          <w:tcPr>
            <w:tcW w:w="12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7,142 </w:t>
            </w:r>
          </w:p>
        </w:tc>
        <w:tc>
          <w:tcPr>
            <w:tcW w:w="11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42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Administrative and General Expense</w:t>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424 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r>
      <w:tr>
        <w:trPr/>
        <w:tc>
          <w:tcPr>
            <w:tcW w:w="4286" w:type="dxa"/>
            <w:gridSpan w:val="3"/>
            <w:tcBorders/>
            <w:shd w:fill="CFF0FC" w:val="clear"/>
            <w:tcMar>
              <w:top w:w="0" w:type="dxa"/>
              <w:left w:w="0" w:type="dxa"/>
              <w:bottom w:w="0" w:type="dxa"/>
              <w:right w:w="0" w:type="dxa"/>
            </w:tcMar>
            <w:vAlign w:val="center"/>
          </w:tcPr>
          <w:p>
            <w:pPr>
              <w:pStyle w:val="TableContents"/>
              <w:bidi w:val="0"/>
              <w:spacing w:lineRule="auto" w:line="288" w:before="0" w:after="0"/>
              <w:ind w:left="0" w:right="0" w:firstLine="180"/>
              <w:jc w:val="left"/>
              <w:rPr/>
            </w:pPr>
            <w:r>
              <w:rPr>
                <w:rFonts w:ascii="Times New Roman;serif" w:hAnsi="Times New Roman;serif"/>
                <w:b w:val="false"/>
                <w:color w:val="000000"/>
                <w:sz w:val="20"/>
              </w:rPr>
              <w:t>Other (income)</w:t>
            </w:r>
            <w:r>
              <w:rPr>
                <w:color w:val="3051F2"/>
              </w:rPr>
              <w:t xml:space="preserve"> </w:t>
            </w:r>
            <w:r>
              <w:rPr>
                <w:rFonts w:ascii="Times New Roman;serif" w:hAnsi="Times New Roman;serif"/>
                <w:b w:val="false"/>
                <w:color w:val="000000"/>
                <w:sz w:val="20"/>
              </w:rPr>
              <w:t>expense</w:t>
            </w:r>
            <w:r>
              <w:rPr>
                <w:rFonts w:ascii="Times New Roman;serif" w:hAnsi="Times New Roman;serif"/>
                <w:b w:val="false"/>
                <w:color w:val="000000"/>
                <w:sz w:val="13"/>
              </w:rPr>
              <w:t>(1)</w:t>
            </w:r>
          </w:p>
        </w:tc>
        <w:tc>
          <w:tcPr>
            <w:tcW w:w="85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1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2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1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r>
      <w:tr>
        <w:trPr/>
        <w:tc>
          <w:tcPr>
            <w:tcW w:w="428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Segment Operating Income (Loss)</w:t>
            </w:r>
          </w:p>
        </w:tc>
        <w:tc>
          <w:tcPr>
            <w:tcW w:w="21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296</w:t>
            </w:r>
            <w:r>
              <w:rPr>
                <w:color w:val="000000"/>
              </w:rPr>
              <w:t>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4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(30)</w:t>
            </w:r>
          </w:p>
        </w:tc>
        <w:tc>
          <w:tcPr>
            <w:tcW w:w="20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3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88</w:t>
            </w:r>
            <w:r>
              <w:rPr>
                <w:color w:val="000000"/>
              </w:rPr>
              <w:t> </w:t>
            </w:r>
          </w:p>
        </w:tc>
        <w:tc>
          <w:tcPr>
            <w:tcW w:w="1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354</w:t>
            </w:r>
            <w:r>
              <w:rPr>
                <w:color w:val="000000"/>
              </w:rPr>
              <w:t>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r>
      <w:tr>
        <w:trPr/>
        <w:tc>
          <w:tcPr>
            <w:tcW w:w="428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968"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double" w:sz="8"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3"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double" w:sz="8"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double" w:sz="8"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r>
      <w:tr>
        <w:trPr/>
        <w:tc>
          <w:tcPr>
            <w:tcW w:w="4286"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74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r>
      <w:tr>
        <w:trPr/>
        <w:tc>
          <w:tcPr>
            <w:tcW w:w="428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Rationalizations (Note 3)</w:t>
            </w:r>
          </w:p>
        </w:tc>
        <w:tc>
          <w:tcPr>
            <w:tcW w:w="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r>
      <w:tr>
        <w:trPr/>
        <w:tc>
          <w:tcPr>
            <w:tcW w:w="4286" w:type="dxa"/>
            <w:gridSpan w:val="3"/>
            <w:tcBorders/>
            <w:shd w:fill="CFF0FC"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Interest expense </w:t>
            </w:r>
          </w:p>
        </w:tc>
        <w:tc>
          <w:tcPr>
            <w:tcW w:w="968"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11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r>
      <w:tr>
        <w:trPr/>
        <w:tc>
          <w:tcPr>
            <w:tcW w:w="428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(income) expense (Note 4)</w:t>
            </w:r>
          </w:p>
        </w:tc>
        <w:tc>
          <w:tcPr>
            <w:tcW w:w="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r>
      <w:tr>
        <w:trPr/>
        <w:tc>
          <w:tcPr>
            <w:tcW w:w="428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(gains) losses on asset sales</w:t>
            </w:r>
          </w:p>
        </w:tc>
        <w:tc>
          <w:tcPr>
            <w:tcW w:w="968"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(701)</w:t>
            </w:r>
          </w:p>
        </w:tc>
        <w:tc>
          <w:tcPr>
            <w:tcW w:w="11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r>
      <w:tr>
        <w:trPr/>
        <w:tc>
          <w:tcPr>
            <w:tcW w:w="428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Asset write-offs, accelerated depreciation and accelerated lease costs, net (Note 3)</w:t>
            </w:r>
          </w:p>
        </w:tc>
        <w:tc>
          <w:tcPr>
            <w:tcW w:w="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r>
      <w:tr>
        <w:trPr/>
        <w:tc>
          <w:tcPr>
            <w:tcW w:w="428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incentive compensation plans</w:t>
            </w:r>
          </w:p>
        </w:tc>
        <w:tc>
          <w:tcPr>
            <w:tcW w:w="968"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1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r>
      <w:tr>
        <w:trPr/>
        <w:tc>
          <w:tcPr>
            <w:tcW w:w="42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expenses of divested operations</w:t>
            </w:r>
          </w:p>
        </w:tc>
        <w:tc>
          <w:tcPr>
            <w:tcW w:w="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r>
      <w:tr>
        <w:trPr/>
        <w:tc>
          <w:tcPr>
            <w:tcW w:w="4286" w:type="dxa"/>
            <w:gridSpan w:val="3"/>
            <w:tcBorders/>
            <w:shd w:fill="CFF0FC"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Other</w:t>
            </w:r>
            <w:r>
              <w:rPr>
                <w:rFonts w:ascii="Times New Roman;serif" w:hAnsi="Times New Roman;serif"/>
                <w:b w:val="false"/>
                <w:color w:val="000000"/>
                <w:sz w:val="13"/>
              </w:rPr>
              <w:t>(2)</w:t>
            </w:r>
          </w:p>
        </w:tc>
        <w:tc>
          <w:tcPr>
            <w:tcW w:w="968"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1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r>
      <w:tr>
        <w:trPr/>
        <w:tc>
          <w:tcPr>
            <w:tcW w:w="42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Income (Loss) before Income Taxes</w:t>
            </w:r>
          </w:p>
        </w:tc>
        <w:tc>
          <w:tcPr>
            <w:tcW w:w="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436</w:t>
            </w:r>
            <w:r>
              <w:rPr>
                <w:color w:val="000000"/>
              </w:rPr>
              <w:t> </w:t>
            </w:r>
          </w:p>
        </w:tc>
        <w:tc>
          <w:tcPr>
            <w:tcW w:w="1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r>
      <w:tr>
        <w:trPr/>
        <w:tc>
          <w:tcPr>
            <w:tcW w:w="9878" w:type="dxa"/>
            <w:gridSpan w:val="24"/>
            <w:tcBorders/>
            <w:tcMar>
              <w:top w:w="0" w:type="dxa"/>
              <w:left w:w="0" w:type="dxa"/>
              <w:bottom w:w="0" w:type="dxa"/>
              <w:right w:w="0" w:type="dxa"/>
            </w:tcMar>
            <w:vAlign w:val="center"/>
          </w:tcPr>
          <w:p>
            <w:pPr>
              <w:pStyle w:val="TableContents"/>
              <w:bidi w:val="0"/>
              <w:spacing w:lineRule="auto" w:line="288" w:before="40" w:after="283"/>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20"/>
              </w:rPr>
              <w:t>Primarily represents OTR license agreement royalty income, in addition to transition services income related to the sales of the OTR tire business and the Dunlop brand.</w:t>
            </w:r>
          </w:p>
        </w:tc>
        <w:tc>
          <w:tcPr>
            <w:tcW w:w="327" w:type="dxa"/>
            <w:tcBorders/>
            <w:vAlign w:val="center"/>
          </w:tcPr>
          <w:p>
            <w:pPr>
              <w:pStyle w:val="TableContents"/>
              <w:bidi w:val="0"/>
              <w:spacing w:before="0" w:after="283"/>
              <w:jc w:val="left"/>
              <w:rPr>
                <w:sz w:val="4"/>
                <w:szCs w:val="4"/>
              </w:rPr>
            </w:pPr>
            <w:r>
              <w:rPr>
                <w:sz w:val="4"/>
                <w:szCs w:val="4"/>
              </w:rPr>
            </w:r>
          </w:p>
        </w:tc>
      </w:tr>
      <w:tr>
        <w:trPr/>
        <w:tc>
          <w:tcPr>
            <w:tcW w:w="9878" w:type="dxa"/>
            <w:gridSpan w:val="24"/>
            <w:tcBorders/>
            <w:shd w:fill="FFFFFF" w:val="clear"/>
            <w:tcMar>
              <w:top w:w="0" w:type="dxa"/>
              <w:left w:w="0" w:type="dxa"/>
              <w:bottom w:w="0" w:type="dxa"/>
              <w:right w:w="0" w:type="dxa"/>
            </w:tcMar>
            <w:vAlign w:val="center"/>
          </w:tcPr>
          <w:p>
            <w:pPr>
              <w:pStyle w:val="TableContents"/>
              <w:bidi w:val="0"/>
              <w:spacing w:lineRule="auto" w:line="288" w:before="40" w:after="283"/>
              <w:ind w:left="0" w:right="0" w:hanging="360"/>
              <w:jc w:val="both"/>
              <w:rPr/>
            </w:pPr>
            <w:r>
              <w:rPr>
                <w:rFonts w:ascii="Times New Roman;serif" w:hAnsi="Times New Roman;serif"/>
                <w:b w:val="false"/>
                <w:color w:val="000000"/>
                <w:sz w:val="13"/>
              </w:rPr>
              <w:t>(2)</w:t>
            </w:r>
            <w:r>
              <w:rPr>
                <w:rFonts w:ascii="Times New Roman;serif" w:hAnsi="Times New Roman;serif"/>
                <w:b w:val="false"/>
                <w:color w:val="000000"/>
                <w:sz w:val="20"/>
              </w:rPr>
              <w:t xml:space="preserve">Primarily represents unallocated corporate costs and the elimination of royalty income attributable to the SBUs. </w:t>
            </w:r>
          </w:p>
        </w:tc>
        <w:tc>
          <w:tcPr>
            <w:tcW w:w="327"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299085"/>
                <wp:effectExtent l="0" t="0" r="0" b="0"/>
                <wp:wrapNone/>
                <wp:docPr id="18" name="Frame18"/>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240" w:after="283"/>
        <w:jc w:val="left"/>
        <w:rPr/>
      </w:pPr>
      <w:hyperlink w:anchor="ic6c494b4098947579b1e17aeda6e5d7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segment assets:</w:t>
      </w:r>
    </w:p>
    <w:tbl>
      <w:tblPr>
        <w:tblW w:w="5301" w:type="dxa"/>
        <w:jc w:val="left"/>
        <w:tblInd w:w="0" w:type="dxa"/>
        <w:tblLayout w:type="fixed"/>
        <w:tblCellMar>
          <w:top w:w="28" w:type="dxa"/>
          <w:left w:w="28" w:type="dxa"/>
          <w:bottom w:w="28" w:type="dxa"/>
          <w:right w:w="28" w:type="dxa"/>
        </w:tblCellMar>
      </w:tblPr>
      <w:tblGrid>
        <w:gridCol w:w="964"/>
        <w:gridCol w:w="849"/>
        <w:gridCol w:w="857"/>
        <w:gridCol w:w="211"/>
        <w:gridCol w:w="736"/>
        <w:gridCol w:w="109"/>
        <w:gridCol w:w="109"/>
        <w:gridCol w:w="109"/>
        <w:gridCol w:w="109"/>
        <w:gridCol w:w="218"/>
        <w:gridCol w:w="763"/>
        <w:gridCol w:w="113"/>
        <w:gridCol w:w="154"/>
      </w:tblGrid>
      <w:tr>
        <w:trPr/>
        <w:tc>
          <w:tcPr>
            <w:tcW w:w="964"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ind w:left="0" w:right="0" w:hanging="360"/>
              <w:jc w:val="left"/>
              <w:rPr>
                <w:rFonts w:ascii="Times New Roman;serif" w:hAnsi="Times New Roman;serif"/>
                <w:b/>
                <w:color w:val="000000"/>
                <w:sz w:val="20"/>
              </w:rPr>
            </w:pPr>
            <w:r>
              <w:rPr>
                <w:rFonts w:ascii="Times New Roman;serif" w:hAnsi="Times New Roman;serif"/>
                <w:b/>
                <w:color w:val="000000"/>
                <w:sz w:val="20"/>
              </w:rPr>
              <w:t>Assets</w:t>
            </w:r>
          </w:p>
        </w:tc>
        <w:tc>
          <w:tcPr>
            <w:tcW w:w="1056"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1094"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Americas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10,275 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Europe, Middle East and Africa</w:t>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4,899 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4,878 </w:t>
            </w:r>
          </w:p>
        </w:tc>
        <w:tc>
          <w:tcPr>
            <w:tcW w:w="11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Asia Pacific</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Segment Assets</w:t>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17,667</w:t>
            </w:r>
            <w:r>
              <w:rPr>
                <w:color w:val="000000"/>
              </w:rPr>
              <w:t>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3"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17,319</w:t>
            </w:r>
            <w:r>
              <w:rPr>
                <w:color w:val="000000"/>
              </w:rPr>
              <w:t> </w:t>
            </w:r>
          </w:p>
        </w:tc>
        <w:tc>
          <w:tcPr>
            <w:tcW w:w="113"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18,650</w:t>
            </w:r>
            <w:r>
              <w:rPr>
                <w:color w:val="000000"/>
              </w:rPr>
              <w:t> </w:t>
            </w:r>
          </w:p>
        </w:tc>
        <w:tc>
          <w:tcPr>
            <w:tcW w:w="109"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3"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18,208</w:t>
            </w:r>
            <w:r>
              <w:rPr>
                <w:color w:val="000000"/>
              </w:rPr>
              <w:t> </w:t>
            </w:r>
          </w:p>
        </w:tc>
        <w:tc>
          <w:tcPr>
            <w:tcW w:w="113"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575" w:type="dxa"/>
            <w:gridSpan w:val="7"/>
            <w:tcBorders/>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geographic information. Net sales by country were determined based on the location of the selling subsidiary. Long-lived assets consist of property, plant and equipment. For net sales, only the United States and Luxembourg were considered to be significant. For long-lived assets, only the United States and China were considered to be significant.</w:t>
      </w:r>
    </w:p>
    <w:tbl>
      <w:tblPr>
        <w:tblW w:w="6763" w:type="dxa"/>
        <w:jc w:val="left"/>
        <w:tblInd w:w="0" w:type="dxa"/>
        <w:tblLayout w:type="fixed"/>
        <w:tblCellMar>
          <w:top w:w="28" w:type="dxa"/>
          <w:left w:w="28" w:type="dxa"/>
          <w:bottom w:w="28" w:type="dxa"/>
          <w:right w:w="28" w:type="dxa"/>
        </w:tblCellMar>
      </w:tblPr>
      <w:tblGrid>
        <w:gridCol w:w="607"/>
        <w:gridCol w:w="534"/>
        <w:gridCol w:w="539"/>
        <w:gridCol w:w="211"/>
        <w:gridCol w:w="631"/>
        <w:gridCol w:w="109"/>
        <w:gridCol w:w="109"/>
        <w:gridCol w:w="109"/>
        <w:gridCol w:w="109"/>
        <w:gridCol w:w="211"/>
        <w:gridCol w:w="631"/>
        <w:gridCol w:w="109"/>
        <w:gridCol w:w="109"/>
        <w:gridCol w:w="109"/>
        <w:gridCol w:w="109"/>
        <w:gridCol w:w="211"/>
        <w:gridCol w:w="631"/>
        <w:gridCol w:w="109"/>
        <w:gridCol w:w="109"/>
        <w:gridCol w:w="109"/>
        <w:gridCol w:w="109"/>
        <w:gridCol w:w="243"/>
        <w:gridCol w:w="727"/>
        <w:gridCol w:w="125"/>
        <w:gridCol w:w="154"/>
      </w:tblGrid>
      <w:tr>
        <w:trPr/>
        <w:tc>
          <w:tcPr>
            <w:tcW w:w="607"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3"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Sales</w:t>
            </w:r>
          </w:p>
        </w:tc>
        <w:tc>
          <w:tcPr>
            <w:tcW w:w="95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4,286 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Luxembourg</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international</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3,737 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4,250</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4,465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8,131</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8,718</w:t>
            </w:r>
            <w:r>
              <w:rPr>
                <w:color w:val="000000"/>
              </w:rPr>
              <w:t> </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doub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Long-Lived Assets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3,435 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international</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3,763 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7,598</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7,843</w:t>
            </w:r>
            <w:r>
              <w:rPr>
                <w:color w:val="000000"/>
              </w:rPr>
              <w:t> </w:t>
            </w:r>
          </w:p>
        </w:tc>
        <w:tc>
          <w:tcPr>
            <w:tcW w:w="1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Rationalizations, as described in Note to the Consolidated Financial Statements No. 3, Costs Associated with Rationalization Programs; net (gains) losses on asset sales, and asset write-offs, accelerated depreciation and accelerated lease costs were not charged (credited) to the SBUs for performance evaluation purposes but were attributable to the SBUs as follows:</w:t>
      </w:r>
    </w:p>
    <w:tbl>
      <w:tblPr>
        <w:tblW w:w="6918" w:type="dxa"/>
        <w:jc w:val="left"/>
        <w:tblInd w:w="0" w:type="dxa"/>
        <w:tblLayout w:type="fixed"/>
        <w:tblCellMar>
          <w:top w:w="28" w:type="dxa"/>
          <w:left w:w="28" w:type="dxa"/>
          <w:bottom w:w="28" w:type="dxa"/>
          <w:right w:w="28" w:type="dxa"/>
        </w:tblCellMar>
      </w:tblPr>
      <w:tblGrid>
        <w:gridCol w:w="1008"/>
        <w:gridCol w:w="885"/>
        <w:gridCol w:w="896"/>
        <w:gridCol w:w="211"/>
        <w:gridCol w:w="376"/>
        <w:gridCol w:w="109"/>
        <w:gridCol w:w="109"/>
        <w:gridCol w:w="109"/>
        <w:gridCol w:w="109"/>
        <w:gridCol w:w="211"/>
        <w:gridCol w:w="376"/>
        <w:gridCol w:w="109"/>
        <w:gridCol w:w="109"/>
        <w:gridCol w:w="109"/>
        <w:gridCol w:w="109"/>
        <w:gridCol w:w="211"/>
        <w:gridCol w:w="481"/>
        <w:gridCol w:w="109"/>
        <w:gridCol w:w="109"/>
        <w:gridCol w:w="109"/>
        <w:gridCol w:w="109"/>
        <w:gridCol w:w="211"/>
        <w:gridCol w:w="481"/>
        <w:gridCol w:w="109"/>
        <w:gridCol w:w="154"/>
      </w:tblGrid>
      <w:tr>
        <w:trPr/>
        <w:tc>
          <w:tcPr>
            <w:tcW w:w="1008"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6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4"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Rationalizations</w:t>
            </w:r>
          </w:p>
        </w:tc>
        <w:tc>
          <w:tcPr>
            <w:tcW w:w="69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Americas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Europe, Middle East and Africa</w:t>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Asia Pacific</w:t>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Segment Rationalizations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28</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125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128</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58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29</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59</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133</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140</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299085"/>
                <wp:effectExtent l="0" t="0" r="0" b="0"/>
                <wp:wrapNone/>
                <wp:docPr id="19" name="Frame19"/>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240" w:after="283"/>
        <w:jc w:val="left"/>
        <w:rPr/>
      </w:pPr>
      <w:hyperlink w:anchor="ic6c494b4098947579b1e17aeda6e5d76_7">
        <w:r>
          <w:rPr>
            <w:rStyle w:val="InternetLink"/>
            <w:rFonts w:ascii="Times New Roman;serif" w:hAnsi="Times New Roman;serif"/>
            <w:b w:val="false"/>
            <w:color w:val="0000FF"/>
            <w:sz w:val="20"/>
            <w:u w:val="single"/>
          </w:rPr>
          <w:t>Table of Contents</w:t>
        </w:r>
      </w:hyperlink>
    </w:p>
    <w:tbl>
      <w:tblPr>
        <w:tblW w:w="8193" w:type="dxa"/>
        <w:jc w:val="left"/>
        <w:tblInd w:w="0" w:type="dxa"/>
        <w:tblLayout w:type="fixed"/>
        <w:tblCellMar>
          <w:top w:w="28" w:type="dxa"/>
          <w:left w:w="28" w:type="dxa"/>
          <w:bottom w:w="28" w:type="dxa"/>
          <w:right w:w="28" w:type="dxa"/>
        </w:tblCellMar>
      </w:tblPr>
      <w:tblGrid>
        <w:gridCol w:w="1381"/>
        <w:gridCol w:w="1216"/>
        <w:gridCol w:w="1227"/>
        <w:gridCol w:w="211"/>
        <w:gridCol w:w="436"/>
        <w:gridCol w:w="109"/>
        <w:gridCol w:w="109"/>
        <w:gridCol w:w="109"/>
        <w:gridCol w:w="109"/>
        <w:gridCol w:w="211"/>
        <w:gridCol w:w="541"/>
        <w:gridCol w:w="109"/>
        <w:gridCol w:w="109"/>
        <w:gridCol w:w="109"/>
        <w:gridCol w:w="109"/>
        <w:gridCol w:w="211"/>
        <w:gridCol w:w="436"/>
        <w:gridCol w:w="109"/>
        <w:gridCol w:w="109"/>
        <w:gridCol w:w="109"/>
        <w:gridCol w:w="109"/>
        <w:gridCol w:w="211"/>
        <w:gridCol w:w="541"/>
        <w:gridCol w:w="109"/>
        <w:gridCol w:w="154"/>
      </w:tblGrid>
      <w:tr>
        <w:trPr/>
        <w:tc>
          <w:tcPr>
            <w:tcW w:w="1381"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7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4"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(Gains) Losses on Asset Sales</w:t>
            </w:r>
          </w:p>
        </w:tc>
        <w:tc>
          <w:tcPr>
            <w:tcW w:w="75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Americas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Europe, Middle East and Africa</w:t>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Asia Pacific</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Segment (Gains) Losses on Asset Sales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(54)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(56)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64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(385)</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(645)</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(17)</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(439)</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(20)</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(701)</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2256"/>
        <w:gridCol w:w="1984"/>
        <w:gridCol w:w="2014"/>
        <w:gridCol w:w="211"/>
        <w:gridCol w:w="406"/>
        <w:gridCol w:w="109"/>
        <w:gridCol w:w="109"/>
        <w:gridCol w:w="109"/>
        <w:gridCol w:w="109"/>
        <w:gridCol w:w="211"/>
        <w:gridCol w:w="376"/>
        <w:gridCol w:w="109"/>
        <w:gridCol w:w="109"/>
        <w:gridCol w:w="109"/>
        <w:gridCol w:w="109"/>
        <w:gridCol w:w="211"/>
        <w:gridCol w:w="376"/>
        <w:gridCol w:w="109"/>
        <w:gridCol w:w="109"/>
        <w:gridCol w:w="109"/>
        <w:gridCol w:w="109"/>
        <w:gridCol w:w="211"/>
        <w:gridCol w:w="376"/>
        <w:gridCol w:w="109"/>
        <w:gridCol w:w="156"/>
      </w:tblGrid>
      <w:tr>
        <w:trPr/>
        <w:tc>
          <w:tcPr>
            <w:tcW w:w="2256" w:type="dxa"/>
            <w:tcBorders/>
            <w:vAlign w:val="center"/>
          </w:tcPr>
          <w:p>
            <w:pPr>
              <w:pStyle w:val="TableContents"/>
              <w:bidi w:val="0"/>
              <w:spacing w:before="0" w:after="283"/>
              <w:jc w:val="left"/>
              <w:rPr>
                <w:sz w:val="4"/>
                <w:szCs w:val="4"/>
              </w:rPr>
            </w:pPr>
            <w:r>
              <w:rPr>
                <w:sz w:val="4"/>
                <w:szCs w:val="4"/>
              </w:rPr>
            </w:r>
          </w:p>
        </w:tc>
        <w:tc>
          <w:tcPr>
            <w:tcW w:w="1984" w:type="dxa"/>
            <w:tcBorders/>
            <w:vAlign w:val="center"/>
          </w:tcPr>
          <w:p>
            <w:pPr>
              <w:pStyle w:val="TableContents"/>
              <w:bidi w:val="0"/>
              <w:spacing w:before="0" w:after="283"/>
              <w:jc w:val="left"/>
              <w:rPr>
                <w:sz w:val="4"/>
                <w:szCs w:val="4"/>
              </w:rPr>
            </w:pPr>
            <w:r>
              <w:rPr>
                <w:sz w:val="4"/>
                <w:szCs w:val="4"/>
              </w:rPr>
            </w:r>
          </w:p>
        </w:tc>
        <w:tc>
          <w:tcPr>
            <w:tcW w:w="20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156" w:type="dxa"/>
            <w:tcBorders/>
            <w:vAlign w:val="center"/>
          </w:tcPr>
          <w:p>
            <w:pPr>
              <w:pStyle w:val="TableContents"/>
              <w:bidi w:val="0"/>
              <w:spacing w:before="0" w:after="283"/>
              <w:jc w:val="left"/>
              <w:rPr>
                <w:sz w:val="4"/>
                <w:szCs w:val="4"/>
              </w:rPr>
            </w:pPr>
            <w:r>
              <w:rPr>
                <w:sz w:val="4"/>
                <w:szCs w:val="4"/>
              </w:rPr>
            </w:r>
          </w:p>
        </w:tc>
      </w:tr>
      <w:tr>
        <w:trPr/>
        <w:tc>
          <w:tcPr>
            <w:tcW w:w="62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7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4"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56" w:type="dxa"/>
            <w:tcBorders/>
            <w:vAlign w:val="center"/>
          </w:tcPr>
          <w:p>
            <w:pPr>
              <w:pStyle w:val="TableContents"/>
              <w:bidi w:val="0"/>
              <w:spacing w:before="0" w:after="283"/>
              <w:jc w:val="left"/>
              <w:rPr>
                <w:sz w:val="4"/>
                <w:szCs w:val="4"/>
              </w:rPr>
            </w:pPr>
            <w:r>
              <w:rPr>
                <w:sz w:val="4"/>
                <w:szCs w:val="4"/>
              </w:rPr>
            </w:r>
          </w:p>
        </w:tc>
      </w:tr>
      <w:tr>
        <w:trPr/>
        <w:tc>
          <w:tcPr>
            <w:tcW w:w="62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Asset Write-Offs, Accelerated Depreciation, and Accelerated Lease Costs, net</w:t>
            </w:r>
          </w:p>
        </w:tc>
        <w:tc>
          <w:tcPr>
            <w:tcW w:w="72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2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Americas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2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Europe, Middle East and Africa</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2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Asia Pacific</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2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Segment Asset Write-Offs, Accelerated Depreciation, and Accelerated Lease Costs, net</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41</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16</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87</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25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25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segment capital expenditures and depreciation and amortization:</w:t>
      </w:r>
    </w:p>
    <w:tbl>
      <w:tblPr>
        <w:tblW w:w="7533" w:type="dxa"/>
        <w:jc w:val="left"/>
        <w:tblInd w:w="0" w:type="dxa"/>
        <w:tblLayout w:type="fixed"/>
        <w:tblCellMar>
          <w:top w:w="28" w:type="dxa"/>
          <w:left w:w="28" w:type="dxa"/>
          <w:bottom w:w="28" w:type="dxa"/>
          <w:right w:w="28" w:type="dxa"/>
        </w:tblCellMar>
      </w:tblPr>
      <w:tblGrid>
        <w:gridCol w:w="1153"/>
        <w:gridCol w:w="1012"/>
        <w:gridCol w:w="1029"/>
        <w:gridCol w:w="211"/>
        <w:gridCol w:w="481"/>
        <w:gridCol w:w="109"/>
        <w:gridCol w:w="109"/>
        <w:gridCol w:w="109"/>
        <w:gridCol w:w="109"/>
        <w:gridCol w:w="211"/>
        <w:gridCol w:w="481"/>
        <w:gridCol w:w="109"/>
        <w:gridCol w:w="109"/>
        <w:gridCol w:w="109"/>
        <w:gridCol w:w="109"/>
        <w:gridCol w:w="211"/>
        <w:gridCol w:w="481"/>
        <w:gridCol w:w="109"/>
        <w:gridCol w:w="109"/>
        <w:gridCol w:w="109"/>
        <w:gridCol w:w="109"/>
        <w:gridCol w:w="211"/>
        <w:gridCol w:w="481"/>
        <w:gridCol w:w="109"/>
        <w:gridCol w:w="154"/>
      </w:tblGrid>
      <w:tr>
        <w:trPr/>
        <w:tc>
          <w:tcPr>
            <w:tcW w:w="1153"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8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4"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Capital Expenditures</w:t>
            </w:r>
          </w:p>
        </w:tc>
        <w:tc>
          <w:tcPr>
            <w:tcW w:w="80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Americas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Europe, Middle East and Africa</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Asia Pacific</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Segment Capital Expenditures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164</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207</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328</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463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69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167</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207</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342</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466</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8373" w:type="dxa"/>
        <w:jc w:val="left"/>
        <w:tblInd w:w="0" w:type="dxa"/>
        <w:tblLayout w:type="fixed"/>
        <w:tblCellMar>
          <w:top w:w="28" w:type="dxa"/>
          <w:left w:w="28" w:type="dxa"/>
          <w:bottom w:w="28" w:type="dxa"/>
          <w:right w:w="28" w:type="dxa"/>
        </w:tblCellMar>
      </w:tblPr>
      <w:tblGrid>
        <w:gridCol w:w="1456"/>
        <w:gridCol w:w="1279"/>
        <w:gridCol w:w="1299"/>
        <w:gridCol w:w="211"/>
        <w:gridCol w:w="481"/>
        <w:gridCol w:w="109"/>
        <w:gridCol w:w="109"/>
        <w:gridCol w:w="109"/>
        <w:gridCol w:w="109"/>
        <w:gridCol w:w="211"/>
        <w:gridCol w:w="481"/>
        <w:gridCol w:w="109"/>
        <w:gridCol w:w="109"/>
        <w:gridCol w:w="109"/>
        <w:gridCol w:w="109"/>
        <w:gridCol w:w="211"/>
        <w:gridCol w:w="481"/>
        <w:gridCol w:w="109"/>
        <w:gridCol w:w="109"/>
        <w:gridCol w:w="109"/>
        <w:gridCol w:w="109"/>
        <w:gridCol w:w="211"/>
        <w:gridCol w:w="481"/>
        <w:gridCol w:w="109"/>
        <w:gridCol w:w="154"/>
      </w:tblGrid>
      <w:tr>
        <w:trPr/>
        <w:tc>
          <w:tcPr>
            <w:tcW w:w="1456"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8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4"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Depreciation and Amortization</w:t>
            </w:r>
          </w:p>
        </w:tc>
        <w:tc>
          <w:tcPr>
            <w:tcW w:w="80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Americas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Europe, Middle East and Africa</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Asia Pacific</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Segment Depreciation and Amortization</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225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264</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454</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525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69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235</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274</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474</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544</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299085"/>
                <wp:effectExtent l="0" t="0" r="0" b="0"/>
                <wp:wrapNone/>
                <wp:docPr id="20" name="Frame20"/>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240" w:after="283"/>
        <w:jc w:val="left"/>
        <w:rPr/>
      </w:pPr>
      <w:hyperlink w:anchor="ic6c494b4098947579b1e17aeda6e5d7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segment equity in the net (income) loss of investees accounted for by the equity method:</w:t>
      </w:r>
    </w:p>
    <w:tbl>
      <w:tblPr>
        <w:tblW w:w="7264" w:type="dxa"/>
        <w:jc w:val="left"/>
        <w:tblInd w:w="0" w:type="dxa"/>
        <w:tblLayout w:type="fixed"/>
        <w:tblCellMar>
          <w:top w:w="28" w:type="dxa"/>
          <w:left w:w="28" w:type="dxa"/>
          <w:bottom w:w="28" w:type="dxa"/>
          <w:right w:w="28" w:type="dxa"/>
        </w:tblCellMar>
      </w:tblPr>
      <w:tblGrid>
        <w:gridCol w:w="1246"/>
        <w:gridCol w:w="1096"/>
        <w:gridCol w:w="1108"/>
        <w:gridCol w:w="211"/>
        <w:gridCol w:w="376"/>
        <w:gridCol w:w="109"/>
        <w:gridCol w:w="109"/>
        <w:gridCol w:w="109"/>
        <w:gridCol w:w="109"/>
        <w:gridCol w:w="211"/>
        <w:gridCol w:w="271"/>
        <w:gridCol w:w="109"/>
        <w:gridCol w:w="109"/>
        <w:gridCol w:w="109"/>
        <w:gridCol w:w="109"/>
        <w:gridCol w:w="211"/>
        <w:gridCol w:w="376"/>
        <w:gridCol w:w="109"/>
        <w:gridCol w:w="109"/>
        <w:gridCol w:w="109"/>
        <w:gridCol w:w="109"/>
        <w:gridCol w:w="211"/>
        <w:gridCol w:w="376"/>
        <w:gridCol w:w="109"/>
        <w:gridCol w:w="154"/>
      </w:tblGrid>
      <w:tr>
        <w:trPr/>
        <w:tc>
          <w:tcPr>
            <w:tcW w:w="124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6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4"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Equity in (Income) Loss </w:t>
            </w:r>
          </w:p>
        </w:tc>
        <w:tc>
          <w:tcPr>
            <w:tcW w:w="69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Americas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Europe, Middle East and Africa</w:t>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Asia Pacific</w:t>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Total Segment Equity in (Income) Loss </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11</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24</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18</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u w:val="single"/>
        </w:rPr>
      </w:pPr>
      <w:r>
        <w:rPr>
          <w:rFonts w:ascii="Times New Roman;serif" w:hAnsi="Times New Roman;serif"/>
          <w:b/>
          <w:color w:val="000000"/>
          <w:sz w:val="20"/>
          <w:u w:val="single"/>
        </w:rPr>
        <w:t>NOTE 8. FINANCING ARRANGEMENTS AND DERIVATIVE FINANCIAL INSTRUMENTS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At June 30, 2026, we had total credit arrangements of $10,992 million, of which $3,891 million were unused. At that date, approximately 17% of our debt was at variable interest rates averaging 6.62%.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Notes Payable and Overdrafts, Long Term Debt and Finance Leases due Within One Year and Short Term Financing Arrangements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At June 30, 2026, we had short term committed and uncommitted credit arrangements totaling $702 million, of which $326 million were unused. These arrangements are available primarily to certain of our foreign subsidiaries through various banks at quoted market interest rates.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amounts due within one year:</w:t>
      </w:r>
    </w:p>
    <w:tbl>
      <w:tblPr>
        <w:tblW w:w="7743" w:type="dxa"/>
        <w:jc w:val="left"/>
        <w:tblInd w:w="0" w:type="dxa"/>
        <w:tblLayout w:type="fixed"/>
        <w:tblCellMar>
          <w:top w:w="28" w:type="dxa"/>
          <w:left w:w="28" w:type="dxa"/>
          <w:bottom w:w="28" w:type="dxa"/>
          <w:right w:w="28" w:type="dxa"/>
        </w:tblCellMar>
      </w:tblPr>
      <w:tblGrid>
        <w:gridCol w:w="1824"/>
        <w:gridCol w:w="1606"/>
        <w:gridCol w:w="1624"/>
        <w:gridCol w:w="211"/>
        <w:gridCol w:w="631"/>
        <w:gridCol w:w="271"/>
        <w:gridCol w:w="109"/>
        <w:gridCol w:w="109"/>
        <w:gridCol w:w="109"/>
        <w:gridCol w:w="240"/>
        <w:gridCol w:w="547"/>
        <w:gridCol w:w="308"/>
        <w:gridCol w:w="154"/>
      </w:tblGrid>
      <w:tr>
        <w:trPr/>
        <w:tc>
          <w:tcPr>
            <w:tcW w:w="1824"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16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111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Chinese credit facilities</w:t>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7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7"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308"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foreign and domestic debt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464 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Notes Payable and Overdrafts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359</w:t>
            </w:r>
            <w:r>
              <w:rPr>
                <w:color w:val="000000"/>
              </w:rPr>
              <w:t>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506</w:t>
            </w:r>
            <w:r>
              <w:rPr>
                <w:color w:val="000000"/>
              </w:rPr>
              <w:t> </w:t>
            </w:r>
          </w:p>
        </w:tc>
        <w:tc>
          <w:tcPr>
            <w:tcW w:w="30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interest rate</w:t>
            </w:r>
          </w:p>
        </w:tc>
        <w:tc>
          <w:tcPr>
            <w:tcW w:w="84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8.22 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double" w:sz="8"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7.62 </w:t>
            </w:r>
          </w:p>
        </w:tc>
        <w:tc>
          <w:tcPr>
            <w:tcW w:w="30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4.875% Notes due 2027</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7.625% Notes due 2027</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Chinese credit facilities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Mexican credit facility</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foreign and domestic debt (including finance leases)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Long Term Debt and Finance Leases due Within One Year</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1,059</w:t>
            </w:r>
            <w:r>
              <w:rPr>
                <w:color w:val="000000"/>
              </w:rPr>
              <w:t>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364</w:t>
            </w:r>
            <w:r>
              <w:rPr>
                <w:color w:val="000000"/>
              </w:rPr>
              <w:t> </w:t>
            </w:r>
          </w:p>
        </w:tc>
        <w:tc>
          <w:tcPr>
            <w:tcW w:w="30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interest rate</w:t>
            </w:r>
          </w:p>
        </w:tc>
        <w:tc>
          <w:tcPr>
            <w:tcW w:w="84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4.84 </w:t>
            </w:r>
          </w:p>
        </w:tc>
        <w:tc>
          <w:tcPr>
            <w:tcW w:w="2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double" w:sz="8"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5.07 </w:t>
            </w:r>
          </w:p>
        </w:tc>
        <w:tc>
          <w:tcPr>
            <w:tcW w:w="30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obligations due within one year</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1,418</w:t>
            </w:r>
            <w:r>
              <w:rPr>
                <w:color w:val="000000"/>
              </w:rPr>
              <w:t> </w:t>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870</w:t>
            </w:r>
            <w:r>
              <w:rPr>
                <w:color w:val="000000"/>
              </w:rPr>
              <w:t> </w:t>
            </w:r>
          </w:p>
        </w:tc>
        <w:tc>
          <w:tcPr>
            <w:tcW w:w="30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Long Term Debt and Finance Leases and Financing Arrangements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At June 30, 2026, we had long term credit arrangements totaling $10,290 million, of which $3,565 million were unused.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299085"/>
                <wp:effectExtent l="0" t="0" r="0" b="0"/>
                <wp:wrapNone/>
                <wp:docPr id="21" name="Frame21"/>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240" w:after="283"/>
        <w:jc w:val="left"/>
        <w:rPr/>
      </w:pPr>
      <w:hyperlink w:anchor="ic6c494b4098947579b1e17aeda6e5d7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long term debt and finance leases, net of unamortized discounts, and interest rates:</w:t>
      </w:r>
    </w:p>
    <w:tbl>
      <w:tblPr>
        <w:tblW w:w="10205" w:type="dxa"/>
        <w:jc w:val="left"/>
        <w:tblInd w:w="0" w:type="dxa"/>
        <w:tblLayout w:type="fixed"/>
        <w:tblCellMar>
          <w:top w:w="28" w:type="dxa"/>
          <w:left w:w="28" w:type="dxa"/>
          <w:bottom w:w="28" w:type="dxa"/>
          <w:right w:w="28" w:type="dxa"/>
        </w:tblCellMar>
      </w:tblPr>
      <w:tblGrid>
        <w:gridCol w:w="1561"/>
        <w:gridCol w:w="1068"/>
        <w:gridCol w:w="1079"/>
        <w:gridCol w:w="292"/>
        <w:gridCol w:w="874"/>
        <w:gridCol w:w="150"/>
        <w:gridCol w:w="150"/>
        <w:gridCol w:w="150"/>
        <w:gridCol w:w="150"/>
        <w:gridCol w:w="353"/>
        <w:gridCol w:w="354"/>
        <w:gridCol w:w="508"/>
        <w:gridCol w:w="150"/>
        <w:gridCol w:w="150"/>
        <w:gridCol w:w="150"/>
        <w:gridCol w:w="292"/>
        <w:gridCol w:w="874"/>
        <w:gridCol w:w="150"/>
        <w:gridCol w:w="150"/>
        <w:gridCol w:w="150"/>
        <w:gridCol w:w="150"/>
        <w:gridCol w:w="353"/>
        <w:gridCol w:w="354"/>
        <w:gridCol w:w="593"/>
      </w:tblGrid>
      <w:tr>
        <w:trPr/>
        <w:tc>
          <w:tcPr>
            <w:tcW w:w="1561"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3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7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1316"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450"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Interest</w:t>
              <w:br/>
              <w:t>Rate</w:t>
            </w:r>
          </w:p>
        </w:tc>
        <w:tc>
          <w:tcPr>
            <w:tcW w:w="450"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450"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Interest</w:t>
              <w:br/>
              <w:t>Rate</w:t>
            </w:r>
          </w:p>
        </w:tc>
      </w:tr>
      <w:tr>
        <w:trPr/>
        <w:tc>
          <w:tcPr>
            <w:tcW w:w="3708"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Notes:</w:t>
            </w:r>
          </w:p>
        </w:tc>
        <w:tc>
          <w:tcPr>
            <w:tcW w:w="1316"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4.875% due 2027</w:t>
            </w:r>
          </w:p>
        </w:tc>
        <w:tc>
          <w:tcPr>
            <w:tcW w:w="29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8" w:type="dxa"/>
            <w:gridSpan w:val="3"/>
            <w:tcBorders/>
            <w:shd w:fill="CFF0FC"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7.625% due 2027</w:t>
            </w:r>
          </w:p>
        </w:tc>
        <w:tc>
          <w:tcPr>
            <w:tcW w:w="116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7% due 2028</w:t>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8" w:type="dxa"/>
            <w:gridSpan w:val="3"/>
            <w:tcBorders/>
            <w:shd w:fill="CFF0FC"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2.75% Euro Notes due 2028</w:t>
            </w:r>
          </w:p>
        </w:tc>
        <w:tc>
          <w:tcPr>
            <w:tcW w:w="116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456 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470 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 due 2029</w:t>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8" w:type="dxa"/>
            <w:gridSpan w:val="3"/>
            <w:tcBorders/>
            <w:shd w:fill="CFF0FC"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6.625% due 2030</w:t>
            </w:r>
          </w:p>
        </w:tc>
        <w:tc>
          <w:tcPr>
            <w:tcW w:w="116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5.25% due April 2031</w:t>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8" w:type="dxa"/>
            <w:gridSpan w:val="3"/>
            <w:tcBorders/>
            <w:shd w:fill="CFF0FC"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5.25% due July 2031</w:t>
            </w:r>
          </w:p>
        </w:tc>
        <w:tc>
          <w:tcPr>
            <w:tcW w:w="116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8.875% due 2032</w:t>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8" w:type="dxa"/>
            <w:gridSpan w:val="3"/>
            <w:tcBorders/>
            <w:shd w:fill="CFF0FC"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5.625% due 2033</w:t>
            </w:r>
          </w:p>
        </w:tc>
        <w:tc>
          <w:tcPr>
            <w:tcW w:w="116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Credit Facilities:</w:t>
            </w:r>
          </w:p>
        </w:tc>
        <w:tc>
          <w:tcPr>
            <w:tcW w:w="13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8" w:type="dxa"/>
            <w:gridSpan w:val="3"/>
            <w:tcBorders/>
            <w:shd w:fill="CFF0FC"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First lien revolving credit facility due 2030</w:t>
            </w:r>
          </w:p>
        </w:tc>
        <w:tc>
          <w:tcPr>
            <w:tcW w:w="116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4.89 </w:t>
            </w:r>
          </w:p>
        </w:tc>
        <w:tc>
          <w:tcPr>
            <w:tcW w:w="508"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5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European revolving credit facility due 2028</w:t>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3.79 </w:t>
            </w:r>
          </w:p>
        </w:tc>
        <w:tc>
          <w:tcPr>
            <w:tcW w:w="50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8"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Pan-European accounts receivable facility</w:t>
            </w:r>
          </w:p>
        </w:tc>
        <w:tc>
          <w:tcPr>
            <w:tcW w:w="116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4.14 </w:t>
            </w:r>
          </w:p>
        </w:tc>
        <w:tc>
          <w:tcPr>
            <w:tcW w:w="508"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5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292 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3.86 </w:t>
            </w:r>
          </w:p>
        </w:tc>
        <w:tc>
          <w:tcPr>
            <w:tcW w:w="593"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Mexican credit facility</w:t>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0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5.99 </w:t>
            </w:r>
          </w:p>
        </w:tc>
        <w:tc>
          <w:tcPr>
            <w:tcW w:w="59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08"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Chinese credit facilities</w:t>
            </w:r>
          </w:p>
        </w:tc>
        <w:tc>
          <w:tcPr>
            <w:tcW w:w="116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508"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5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593"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0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Other foreign and domestic debt</w:t>
            </w:r>
            <w:r>
              <w:rPr>
                <w:rFonts w:ascii="Times New Roman;serif" w:hAnsi="Times New Roman;serif"/>
                <w:b w:val="false"/>
                <w:color w:val="000000"/>
                <w:sz w:val="13"/>
              </w:rPr>
              <w:t>(1)</w:t>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421 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8.31 </w:t>
            </w:r>
          </w:p>
        </w:tc>
        <w:tc>
          <w:tcPr>
            <w:tcW w:w="50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424 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8.32 </w:t>
            </w:r>
          </w:p>
        </w:tc>
        <w:tc>
          <w:tcPr>
            <w:tcW w:w="59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08"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6,611 </w:t>
            </w:r>
          </w:p>
        </w:tc>
        <w:tc>
          <w:tcPr>
            <w:tcW w:w="150"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5,457 </w:t>
            </w:r>
          </w:p>
        </w:tc>
        <w:tc>
          <w:tcPr>
            <w:tcW w:w="150"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deferred financing fees</w:t>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8"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6,575 </w:t>
            </w:r>
          </w:p>
        </w:tc>
        <w:tc>
          <w:tcPr>
            <w:tcW w:w="150"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5,431 </w:t>
            </w:r>
          </w:p>
        </w:tc>
        <w:tc>
          <w:tcPr>
            <w:tcW w:w="150"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Finance lease obligations</w:t>
            </w:r>
            <w:r>
              <w:rPr>
                <w:rFonts w:ascii="Times New Roman;serif" w:hAnsi="Times New Roman;serif"/>
                <w:b w:val="false"/>
                <w:color w:val="000000"/>
                <w:sz w:val="13"/>
              </w:rPr>
              <w:t>(2)</w:t>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8"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6,831 </w:t>
            </w:r>
          </w:p>
        </w:tc>
        <w:tc>
          <w:tcPr>
            <w:tcW w:w="150"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5,692 </w:t>
            </w:r>
          </w:p>
        </w:tc>
        <w:tc>
          <w:tcPr>
            <w:tcW w:w="150"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portion due within one year</w:t>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(1,059)</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(364)</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8"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4"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5,772</w:t>
            </w:r>
            <w:r>
              <w:rPr>
                <w:color w:val="000000"/>
              </w:rPr>
              <w:t> </w:t>
            </w:r>
          </w:p>
        </w:tc>
        <w:tc>
          <w:tcPr>
            <w:tcW w:w="150"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4"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5,328</w:t>
            </w:r>
            <w:r>
              <w:rPr>
                <w:color w:val="000000"/>
              </w:rPr>
              <w:t> </w:t>
            </w:r>
          </w:p>
        </w:tc>
        <w:tc>
          <w:tcPr>
            <w:tcW w:w="150"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double" w:sz="8"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double" w:sz="8"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88" w:before="0" w:after="0"/>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20"/>
              </w:rPr>
              <w:t>Interest rates are weighted average interest rates primarily related to various foreign credit facilities with customary terms and conditions.</w:t>
            </w:r>
          </w:p>
          <w:p>
            <w:pPr>
              <w:pStyle w:val="TableContents"/>
              <w:bidi w:val="0"/>
              <w:spacing w:lineRule="auto" w:line="288" w:before="0" w:after="0"/>
              <w:ind w:left="0" w:right="0" w:hanging="360"/>
              <w:jc w:val="both"/>
              <w:rPr/>
            </w:pPr>
            <w:r>
              <w:rPr>
                <w:rFonts w:ascii="Times New Roman;serif" w:hAnsi="Times New Roman;serif"/>
                <w:b w:val="false"/>
                <w:color w:val="000000"/>
                <w:sz w:val="13"/>
              </w:rPr>
              <w:t>(2)</w:t>
            </w:r>
            <w:r>
              <w:rPr>
                <w:rFonts w:ascii="Times New Roman;serif" w:hAnsi="Times New Roman;serif"/>
                <w:b w:val="false"/>
                <w:color w:val="000000"/>
                <w:sz w:val="20"/>
              </w:rPr>
              <w:t>Includes $2 million non-cash financing additions during the six months ended June 30, 2026 and $2 million of non-cash financing additions during the twelve months ended December 31, 2025.</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NOTES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At June 30, 2026, we had $5,425 million of outstanding notes, compared to $4,391 million at December 31, 2025.</w:t>
      </w:r>
    </w:p>
    <w:p>
      <w:pPr>
        <w:pStyle w:val="TextBody"/>
        <w:bidi w:val="0"/>
        <w:spacing w:lineRule="auto" w:line="288" w:before="12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$1,050 million 8.875% Senior Notes due 2032</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June 4, 2026, we issued $1,050 million in aggregate principal amount of 8.875% senior notes due 2032. These notes were sold at 100% of the principal amount and will mature on July 15, 2032. These notes are unsecured senior obligations and are guaranteed by our U.S. and Canadian subsidiaries that also guarantee our obligations under our U.S. first lien revolving credit facility described below.</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have the option to redeem these notes, in whole or in part, at any time on or after July 15, 2029 at a redemption price of 104.438%, 102.219% and 100% during the 12-month periods commencing on July 15, 2029, 2030 and 2031 and thereafter, respectively, plus accrued and unpaid interest to the redemption date. Prior to July 15, 2029, we may redeem these notes, in whole or in part, at a redemption price equal to 100% of the principal amount plus a make-whole premium and accrued and unpaid interest to the redemption date. In addition, prior to July 15, 2029, we may redeem up to 35% of the original aggregate principal amount of these notes from the net cash proceeds of certain equity offerings at a redemption price equal to 108.875% of the principal amount plus accrued and unpaid interest to the redemption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299085"/>
                <wp:effectExtent l="0" t="0" r="0" b="0"/>
                <wp:wrapNone/>
                <wp:docPr id="22" name="Frame22"/>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240" w:after="283"/>
        <w:jc w:val="left"/>
        <w:rPr/>
      </w:pPr>
      <w:hyperlink w:anchor="ic6c494b4098947579b1e17aeda6e5d7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terms of the indenture for these notes, among other things, limit our ability and the ability of certain of our subsidiaries to (i) incur certain liens, (ii) engage in sale and leaseback transactions, and (iii) consolidate, merge, sell or otherwise dispose of all or substantially all of our assets. These covenants are subject to significant exceptions and qualifications.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CREDIT FACILITIES</w:t>
      </w:r>
    </w:p>
    <w:p>
      <w:pPr>
        <w:pStyle w:val="TextBody"/>
        <w:bidi w:val="0"/>
        <w:spacing w:lineRule="auto" w:line="288" w:before="12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$2.75 billion Amended and Restated First Lien Revolving Credit Facility due 2030</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amended and restated first lien revolving credit facility matures on May 19, 2030 and is available in the form of loans or letters of credit. Up to $800 million in letters of credit and $50 million of swingline loans are available for issuance under the facility. Subject to the consent of the lenders whose commitments are to be increased, we may request that the facility be increased by up to $250 million.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obligations under the facility are guaranteed by most of our wholly-owned U.S. and Canadian subsidiaries. Our obligations under the facility and our subsidiaries' obligations under the related guarantees are secured by first priority security interests in a variety of collateral. Availability under the facility is subject to a borrowing base, which is based on (i) eligible accounts receivable and inventory of The Goodyear Tire &amp; Rubber Company and certain of its U.S. and Canadian subsidiaries, (ii) the greater of 50% of the appraised value, if any, of our principal trademarks or $400 million, (iii) the value of eligible machinery and equipment, and (iv) certain cash in an amount not to exceed $275 million. To the extent that our eligible accounts receivable, inventory and other components of the borrowing base decline in value, our borrowing base will decrease and the availability under the facility may decrease below $2.75 billion. As of June 30, 2026, our borrowing base, and therefore our availability under this facility, was $354 million below the facility's stated amount of $2.75 billion.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facility has customary representations and warranties including, as a condition to borrowing, that all such representations and warranties are true and correct, in all material respects, on the date of the borrowing, including representations as to no material adverse change in our business or financial condition since December 31, 2024. The facility also has customary defaults, including a cross-default to material indebtedness of Goodyear and our subsidiaries.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If Available Cash (as defined in the facility) plus the average quarterly availability under the facility is greater than 25% of the total commitments under the facility, amounts drawn under the facility will bear interest, at our option, at (i) 125 basis points over SOFR or (ii) 25 basis points over an alternate base rate (the higher of (a) the prime rate, (b) the federal funds effective rate or the overnight bank funding rate plus 50 basis points or (c) SOFR plus 100 basis points). If Available Cash plus the average quarterly availability under the facility is equal to or less than 25% of the total commitments under the facility, then amounts drawn under the facility will bear interest, at our option, at (i) 150 basis points over SOFR or (ii) 50 basis points over an alternate base rate. Based on our current liquidity, amounts drawn under this facility bear interest at SOFR plus 125 basis points. Undrawn amounts under the facility are subject to an annual commitment fee of 25 basis points.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At June 30, 2026, we had $157 million of borrowings and $1 million of letters of credit issued under the revolving credit facility. At December 31, 2025, we had no borrowings and $1 million of letters of credit issued under the revolving credit facility.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color w:val="000000"/>
          <w:u w:val="single"/>
        </w:rPr>
      </w:pPr>
      <w:r>
        <w:rPr>
          <w:color w:val="000000"/>
          <w:u w:val="single"/>
        </w:rPr>
        <w:t>€</w:t>
      </w:r>
      <w:r>
        <w:rPr>
          <w:rFonts w:ascii="Times New Roman;serif" w:hAnsi="Times New Roman;serif"/>
          <w:b w:val="false"/>
          <w:i/>
          <w:color w:val="000000"/>
          <w:sz w:val="20"/>
          <w:u w:val="single"/>
        </w:rPr>
        <w:t>800 million Amended and Restated Senior Secured European Revolving Credit Facility due 2028</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European revolving credit facility matures on January 14, 2028 and consists of (i) a €180 million German tranche that is available only to Goodyear Germany GmbH and (ii) a €620 million all-borrower tranche that is available to Goodyear Europe B.V. ("GEBV"), Goodyear Germany and Goodyear Operations S.A. Up to €175 million of swingline loans and €75 million in letters of credit are available for issuance under the all-borrower tranche. Subject to the consent of the lenders whose commitments are to be increased, we may request that the facility be increased by up to €200 million. Amounts drawn under this facility will bear interest at SOFR plus 150 basis points for loans denominated in U.S. dollars, EURIBOR plus 150 basis points for loans denominated in euros, and SONIA plus 150 basis points for loans denominated in pounds sterling. Undrawn amounts under the facility are subject to an annual commitment fee of 25 basis points.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GEBV and certain of its subsidiaries in the United Kingdom, Luxembourg, France and Germany provide guarantees to support the facility. The German guarantors secure the German tranche on a first-lien basis and the all-borrower tranche on a second-lien basis. GEBV and its other subsidiaries that provide guarantees secure the all-borrower tranche on a first-lien basis and generally do not provide collateral support for the German tranche. The Company and its U.S. and Canadian subsidiaries that guarantee our U.S. first lien revolving credit facility described above also provide unsecured guarantees in support of the facility.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facility has customary representations and warranties including, as a condition to borrowing, that all such representations and warranties are true and correct, in all material respects, on the date of the borrowing, including representations as to no material adverse change in our business or financial condition since December 31, 2021. The facility also has customary defaults, including a cross-default to material indebtedness of Goodyear and our subsidiaries.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299085"/>
                <wp:effectExtent l="0" t="0" r="0" b="0"/>
                <wp:wrapNone/>
                <wp:docPr id="23" name="Frame23"/>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240" w:after="283"/>
        <w:jc w:val="left"/>
        <w:rPr/>
      </w:pPr>
      <w:hyperlink w:anchor="ic6c494b4098947579b1e17aeda6e5d7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At June 30, 2026, there were $205 million (€180 million) of borrowings outstanding under the German tranche, no borrowings outstanding under the all-borrower tranche, and no letters of credit outstanding under the European revolving credit facility. At December 31, 2025, we had no borrowings and no letters of credit outstanding under the European revolving credit facility.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Accounts Receivable Securitization Facilities (On-Balance Sheet)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GEBV and certain other of our European subsidiaries are parties to a pan-European accounts receivable securitization facility that expires in 2032. The terms of the facility provide the flexibility to designate annually the maximum amount of funding available under the facility in an amount of not less than €30 million and not more than €450 million. For the period from October 2025 through October 2027, the designated maximum amount of the facility is €300 million.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facility involves an ongoing daily sale of substantially all of the trade accounts receivable of certain GEBV subsidiaries. These subsidiaries retain servicing responsibilities. Utilization under this facility is based on eligible receivable balances.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funding commitments under the facility will expire upon the earliest to occur of: (a) October 18, 2032, (b) the non-renewal and expiration (without substitution) of all of the back-up liquidity commitments, (c) the early termination of the facility according to its terms (generally upon an Early Amortisation Event (as defined in the facility), which includes, among other things, events similar to the events of default under our first lien revolving credit facility; certain tax law changes; or certain changes to law, regulation or accounting standards), or (d) our request for early termination of the facility. The facility’s current back-up liquidity commitments will expire in October 2027.</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facility has customary representations, warranties, covenants and Early Amortisation Events. In addition, it is an Early Amortisation Event under the facility if GEBV’s ratio of Consolidated Net GEBV Indebtedness to Consolidated GEBV EBITDA for a period of four consecutive fiscal quarters is greater than 3.0 to 1.0 at the end of any fiscal quarter. This financial covenant is substantially similar to the covenant included in our European revolving credit facility.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At June 30, 2026, the amounts available and utilized under this program totaled $244 million (€214 million). At December 31, 2025, the amounts available and utilized under this program totaled $292 million (€249 million). The program does not qualify for sale accounting, and accordingly, these amounts are included in Long Term Debt and Finance Leases.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For a description of the collateral securing the credit facilities described above as well as the covenants applicable to them, refer to Note to the Consolidated Financial Statements No. 16, Financing Arrangements and Derivative Financial Instruments, in our 2025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Accounts Receivable Factoring Facilities (Off-Balance Sheet)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have sold certain of our accounts receivables under off-balance sheet programs. For these programs, we have concluded that there is generally no risk of loss to us from non-payment of the sold receivables. At June 30, 2026, the gross amount of receivables sold was $830 million, compared to $892 million at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Supplier Financing</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have entered into supplier finance programs with several financial institutions. Under these programs, the financial institutions act as our paying agents with respect to accounts payable due to our suppliers. We agree to pay the financial institutions the stated amount of the confirmed invoices from the designated suppliers on the original due dates of the invoices. Invoice payment terms can be up to 120 days based on industry norms for the specific item purchased. We do not pay any fees to the financial institutions, and we do not pledge any assets as security or provide other forms of guarantees for these programs. These programs allow our suppliers to sell their receivables to the financial institutions at the sole discretion of the suppliers and the financial institutions on terms that are negotiated among them. We are not always notified when our suppliers sell receivables under these programs. Our obligations to our suppliers, including the amounts due and scheduled payment dates, are not impacted by our suppliers’ decisions to sell their receivables under these programs. The amounts available under these programs were $881 million and $876 million at June 30, 2026 and December 31, 2025, respectively. The amounts confirmed to the financial institutions were $550 million and $551 million at June 30, 2026 and December 31, 2025, respectively, and are included in Accounts Payable — Trade in our Consolidated Balance Sheets. All activity related to these obligations is presented within operating activities on the Consolidated Statements of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Other Foreign Credit Facilities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 Mexican subsidiary and a U.S. subsidiary have a revolving credit facility in Mexico. At June 30, 2026, we have $200 million available and no borrowings outstanding under this facility. At December 31, 2025, the amounts available and utilized under the facility were $200 million. The facility matures on November 22, 2026, has covenants relating to the Mexican and U.S. subsidiaries and has customary representations and warranties and defaults relating to the Mexican and U.S. subsidiaries' ability to perform their respective obligations under the facility.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Chinese subsidiaries have several financing arrangements in China. These facilities contain covenants relating to these Chinese subsidiaries and have customary representations and warranties and defaults relating to these Chinese subsidiaries'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299085"/>
                <wp:effectExtent l="0" t="0" r="0" b="0"/>
                <wp:wrapNone/>
                <wp:docPr id="24" name="Frame24"/>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240" w:after="283"/>
        <w:jc w:val="left"/>
        <w:rPr/>
      </w:pPr>
      <w:hyperlink w:anchor="ic6c494b4098947579b1e17aeda6e5d7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ability to perform their respective obligations under these facilities. These facilities are also available for other off-balance sheet utilization, such as letters of credit and bank acceptances.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total amounts available and utilized under the Chinese financing arrangements:</w:t>
      </w:r>
    </w:p>
    <w:tbl>
      <w:tblPr>
        <w:tblW w:w="7002" w:type="dxa"/>
        <w:jc w:val="left"/>
        <w:tblInd w:w="0" w:type="dxa"/>
        <w:tblLayout w:type="fixed"/>
        <w:tblCellMar>
          <w:top w:w="28" w:type="dxa"/>
          <w:left w:w="28" w:type="dxa"/>
          <w:bottom w:w="28" w:type="dxa"/>
          <w:right w:w="28" w:type="dxa"/>
        </w:tblCellMar>
      </w:tblPr>
      <w:tblGrid>
        <w:gridCol w:w="1668"/>
        <w:gridCol w:w="1471"/>
        <w:gridCol w:w="1481"/>
        <w:gridCol w:w="241"/>
        <w:gridCol w:w="550"/>
        <w:gridCol w:w="124"/>
        <w:gridCol w:w="109"/>
        <w:gridCol w:w="109"/>
        <w:gridCol w:w="109"/>
        <w:gridCol w:w="284"/>
        <w:gridCol w:w="648"/>
        <w:gridCol w:w="208"/>
      </w:tblGrid>
      <w:tr>
        <w:trPr/>
        <w:tc>
          <w:tcPr>
            <w:tcW w:w="1668"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462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available</w:t>
            </w:r>
          </w:p>
        </w:tc>
        <w:tc>
          <w:tcPr>
            <w:tcW w:w="24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50"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789</w:t>
            </w:r>
            <w:r>
              <w:rPr>
                <w:color w:val="000000"/>
              </w:rPr>
              <w:t> </w:t>
            </w:r>
          </w:p>
        </w:tc>
        <w:tc>
          <w:tcPr>
            <w:tcW w:w="124"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48"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854</w:t>
            </w:r>
            <w:r>
              <w:rPr>
                <w:color w:val="000000"/>
              </w:rPr>
              <w:t> </w:t>
            </w:r>
          </w:p>
        </w:tc>
        <w:tc>
          <w:tcPr>
            <w:tcW w:w="208"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Amounts utilized:</w:t>
            </w:r>
          </w:p>
        </w:tc>
        <w:tc>
          <w:tcPr>
            <w:tcW w:w="9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Notes Payable and Overdrafts</w:t>
            </w:r>
          </w:p>
        </w:tc>
        <w:tc>
          <w:tcPr>
            <w:tcW w:w="24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0"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2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8"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 Term Debt due Within One Year</w:t>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 Term Debt</w:t>
            </w:r>
          </w:p>
        </w:tc>
        <w:tc>
          <w:tcPr>
            <w:tcW w:w="79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2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Letters of credit, bank acceptances and other utilization</w:t>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utilized</w:t>
            </w:r>
          </w:p>
        </w:tc>
        <w:tc>
          <w:tcPr>
            <w:tcW w:w="24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50"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284</w:t>
            </w:r>
            <w:r>
              <w:rPr>
                <w:color w:val="000000"/>
              </w:rPr>
              <w:t> </w:t>
            </w:r>
          </w:p>
        </w:tc>
        <w:tc>
          <w:tcPr>
            <w:tcW w:w="124"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48"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323</w:t>
            </w:r>
            <w:r>
              <w:rPr>
                <w:color w:val="000000"/>
              </w:rPr>
              <w:t> </w:t>
            </w:r>
          </w:p>
        </w:tc>
        <w:tc>
          <w:tcPr>
            <w:tcW w:w="208"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Maturities</w:t>
            </w:r>
          </w:p>
        </w:tc>
        <w:tc>
          <w:tcPr>
            <w:tcW w:w="915" w:type="dxa"/>
            <w:gridSpan w:val="3"/>
            <w:tcBorders/>
            <w:shd w:fill="CFF0FC"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7/26-6/29</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FF0FC"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1/26-7/27</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DERIVATIVE FINANCIAL INSTRUMENTS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utilize derivative financial instrument contracts and nonderivative instruments to manage interest rate, foreign exchange and commodity price risks. We have established a control environment that includes policies and procedures for risk assessment and the approval, reporting and monitoring of derivative financial instrument activities. We do not hold or issue derivative financial instruments for trading purposes.</w:t>
      </w:r>
    </w:p>
    <w:p>
      <w:pPr>
        <w:pStyle w:val="TextBody"/>
        <w:bidi w:val="0"/>
        <w:spacing w:lineRule="auto" w:line="288" w:before="12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Foreign Currency Contracts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enter into foreign currency contracts in order to manage the impact of changes in foreign exchange rates on our consolidated results of operations and future foreign currency-denominated cash flows. These contracts may be used to reduce exposure to currency movements affecting existing foreign currency-denominated assets, liabilities, firm commitments and forecasted transactions resulting primarily from trade purchases and sales, equipment acquisitions, intercompany loans and royalty agreements. Contracts hedging short term trade receivables and payables normally have no hedging designation.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fair values for foreign currency hedge contracts that do not meet the criteria to be accounted for as cash flow hedging instruments:</w:t>
      </w:r>
    </w:p>
    <w:tbl>
      <w:tblPr>
        <w:tblW w:w="5606" w:type="dxa"/>
        <w:jc w:val="left"/>
        <w:tblInd w:w="0" w:type="dxa"/>
        <w:tblLayout w:type="fixed"/>
        <w:tblCellMar>
          <w:top w:w="28" w:type="dxa"/>
          <w:left w:w="28" w:type="dxa"/>
          <w:bottom w:w="28" w:type="dxa"/>
          <w:right w:w="28" w:type="dxa"/>
        </w:tblCellMar>
      </w:tblPr>
      <w:tblGrid>
        <w:gridCol w:w="1234"/>
        <w:gridCol w:w="1086"/>
        <w:gridCol w:w="1099"/>
        <w:gridCol w:w="223"/>
        <w:gridCol w:w="382"/>
        <w:gridCol w:w="115"/>
        <w:gridCol w:w="109"/>
        <w:gridCol w:w="109"/>
        <w:gridCol w:w="109"/>
        <w:gridCol w:w="386"/>
        <w:gridCol w:w="470"/>
        <w:gridCol w:w="284"/>
      </w:tblGrid>
      <w:tr>
        <w:trPr/>
        <w:tc>
          <w:tcPr>
            <w:tcW w:w="1234"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7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341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Fair Values — Current asset (liability):</w:t>
            </w:r>
          </w:p>
        </w:tc>
        <w:tc>
          <w:tcPr>
            <w:tcW w:w="720"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22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60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1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At June 30, 2026 and December 31, 2025, these outstanding foreign currency derivatives had notional amounts of $1,897 million and $1,942 million, respectively, and were primarily related to intercompany loans. Other (Income) Expense included net transaction gains on derivatives of $11 million and $24 million for the three and six months ended June 30, 2026, respectively, and net transaction losses on derivatives of $91 million and $106 million for the three and six months ended June 30, 2025, respectively. These amounts were substantially offset in Other (Income) Expense by the effect of changing exchange rates on the underlying currency exposures.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enter into master netting agreements with counterparties. The amounts eligible for offset under the master netting agreements are not material and we have elected a gross presentation of foreign currency contracts in the Consolidated Balance Sheets.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counterparties to our foreign currency contracts were considered by us to be substantial and creditworthy financial institutions that were recognized market makers at the time we entered into those contracts. We seek to control our credit exposure to these counterparties by diversifying across multiple counterparties, by setting counterparty credit limits based on long term credit ratings and other indicators of counterparty credit risk such as credit default swap spreads and default probabilities, and by monitoring the financial strength of these counterparties on a regular basis. We also enter into master netting agreements with counterparties when possible. By controlling and monitoring exposure to counterparties in this manner, we believe that we effectively manage the risk of loss due to nonperformance by a counterparty. However, the inability of a counterparty to fulfill its contractual obligations to us could have a material adverse effect on our liquidity, financial position or results of operations in the period in which it occurs.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299085"/>
                <wp:effectExtent l="0" t="0" r="0" b="0"/>
                <wp:wrapNone/>
                <wp:docPr id="25" name="Frame25"/>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240" w:after="283"/>
        <w:jc w:val="left"/>
        <w:rPr/>
      </w:pPr>
      <w:hyperlink w:anchor="ic6c494b4098947579b1e17aeda6e5d7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u w:val="single"/>
        </w:rPr>
      </w:pPr>
      <w:r>
        <w:rPr>
          <w:rFonts w:ascii="Times New Roman;serif" w:hAnsi="Times New Roman;serif"/>
          <w:b/>
          <w:color w:val="000000"/>
          <w:sz w:val="20"/>
          <w:u w:val="single"/>
        </w:rPr>
        <w:t>NOTE 9. FAIR VALUE MEASUREMENTS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information about assets and liabilities recorded at fair value on the Consolidated Balance Sheets at June 30, 2026 and December 31, 2025:</w:t>
      </w:r>
    </w:p>
    <w:tbl>
      <w:tblPr>
        <w:tblW w:w="10205" w:type="dxa"/>
        <w:jc w:val="left"/>
        <w:tblInd w:w="0" w:type="dxa"/>
        <w:tblLayout w:type="fixed"/>
        <w:tblCellMar>
          <w:top w:w="28" w:type="dxa"/>
          <w:left w:w="28" w:type="dxa"/>
          <w:bottom w:w="28" w:type="dxa"/>
          <w:right w:w="28" w:type="dxa"/>
        </w:tblCellMar>
      </w:tblPr>
      <w:tblGrid>
        <w:gridCol w:w="721"/>
        <w:gridCol w:w="633"/>
        <w:gridCol w:w="640"/>
        <w:gridCol w:w="211"/>
        <w:gridCol w:w="376"/>
        <w:gridCol w:w="109"/>
        <w:gridCol w:w="109"/>
        <w:gridCol w:w="109"/>
        <w:gridCol w:w="109"/>
        <w:gridCol w:w="211"/>
        <w:gridCol w:w="376"/>
        <w:gridCol w:w="109"/>
        <w:gridCol w:w="109"/>
        <w:gridCol w:w="109"/>
        <w:gridCol w:w="109"/>
        <w:gridCol w:w="213"/>
        <w:gridCol w:w="410"/>
        <w:gridCol w:w="110"/>
        <w:gridCol w:w="110"/>
        <w:gridCol w:w="110"/>
        <w:gridCol w:w="110"/>
        <w:gridCol w:w="213"/>
        <w:gridCol w:w="410"/>
        <w:gridCol w:w="110"/>
        <w:gridCol w:w="109"/>
        <w:gridCol w:w="109"/>
        <w:gridCol w:w="109"/>
        <w:gridCol w:w="211"/>
        <w:gridCol w:w="406"/>
        <w:gridCol w:w="109"/>
        <w:gridCol w:w="109"/>
        <w:gridCol w:w="109"/>
        <w:gridCol w:w="109"/>
        <w:gridCol w:w="211"/>
        <w:gridCol w:w="406"/>
        <w:gridCol w:w="109"/>
        <w:gridCol w:w="109"/>
        <w:gridCol w:w="109"/>
        <w:gridCol w:w="109"/>
        <w:gridCol w:w="211"/>
        <w:gridCol w:w="406"/>
        <w:gridCol w:w="109"/>
        <w:gridCol w:w="109"/>
        <w:gridCol w:w="109"/>
        <w:gridCol w:w="109"/>
        <w:gridCol w:w="211"/>
        <w:gridCol w:w="406"/>
        <w:gridCol w:w="109"/>
        <w:gridCol w:w="157"/>
      </w:tblGrid>
      <w:tr>
        <w:trPr/>
        <w:tc>
          <w:tcPr>
            <w:tcW w:w="721"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 Carrying Value</w:t>
              <w:br/>
              <w:t>in the</w:t>
              <w:br/>
              <w:t>Consolidated</w:t>
              <w:br/>
              <w:t>Balance Sheets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Quoted Prices in Active</w:t>
              <w:br/>
              <w:t>Markets for Identical</w:t>
              <w:br/>
              <w:t>Assets/Liabilities</w:t>
              <w:b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Significant Other</w:t>
              <w:br/>
              <w:t>Observable Inputs</w:t>
              <w:b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Significant</w:t>
              <w:br/>
              <w:t>Unobservable</w:t>
              <w:br/>
              <w:t>Inputs</w:t>
              <w:br/>
              <w:t>(Level 3)</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696"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0"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696"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Contracts</w:t>
            </w:r>
          </w:p>
        </w:tc>
        <w:tc>
          <w:tcPr>
            <w:tcW w:w="5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Assets at Fair Value</w:t>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7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51</w:t>
            </w:r>
            <w:r>
              <w:rPr>
                <w:color w:val="000000"/>
              </w:rPr>
              <w:t>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7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19</w:t>
            </w:r>
            <w:r>
              <w:rPr>
                <w:color w:val="000000"/>
              </w:rPr>
              <w:t>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10"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13</w:t>
            </w:r>
            <w:r>
              <w:rPr>
                <w:color w:val="000000"/>
              </w:rPr>
              <w:t> </w:t>
            </w:r>
          </w:p>
        </w:tc>
        <w:tc>
          <w:tcPr>
            <w:tcW w:w="110"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10"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13</w:t>
            </w:r>
            <w:r>
              <w:rPr>
                <w:color w:val="000000"/>
              </w:rPr>
              <w:t> </w:t>
            </w:r>
          </w:p>
        </w:tc>
        <w:tc>
          <w:tcPr>
            <w:tcW w:w="110"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0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38</w:t>
            </w:r>
            <w:r>
              <w:rPr>
                <w:color w:val="000000"/>
              </w:rPr>
              <w:t>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0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w:t>
            </w:r>
            <w:r>
              <w:rPr>
                <w:color w:val="000000"/>
              </w:rPr>
              <w:t>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0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0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Contracts</w:t>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0"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0"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Liabilities at Fair Value</w:t>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7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16</w:t>
            </w:r>
            <w:r>
              <w:rPr>
                <w:color w:val="000000"/>
              </w:rPr>
              <w:t> </w:t>
            </w:r>
          </w:p>
        </w:tc>
        <w:tc>
          <w:tcPr>
            <w:tcW w:w="10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7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30</w:t>
            </w:r>
            <w:r>
              <w:rPr>
                <w:color w:val="000000"/>
              </w:rPr>
              <w:t> </w:t>
            </w:r>
          </w:p>
        </w:tc>
        <w:tc>
          <w:tcPr>
            <w:tcW w:w="10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10"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10"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0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16</w:t>
            </w:r>
            <w:r>
              <w:rPr>
                <w:color w:val="000000"/>
              </w:rPr>
              <w:t> </w:t>
            </w:r>
          </w:p>
        </w:tc>
        <w:tc>
          <w:tcPr>
            <w:tcW w:w="10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0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30</w:t>
            </w:r>
            <w:r>
              <w:rPr>
                <w:color w:val="000000"/>
              </w:rPr>
              <w:t> </w:t>
            </w:r>
          </w:p>
        </w:tc>
        <w:tc>
          <w:tcPr>
            <w:tcW w:w="10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0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0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supplemental fair value information about long term fixed rate and variable rate debt, excluding finance leases, at June 30, 2026 and December 31, 2025:</w:t>
      </w:r>
    </w:p>
    <w:tbl>
      <w:tblPr>
        <w:tblW w:w="10205" w:type="dxa"/>
        <w:jc w:val="left"/>
        <w:tblInd w:w="0" w:type="dxa"/>
        <w:tblLayout w:type="fixed"/>
        <w:tblCellMar>
          <w:top w:w="28" w:type="dxa"/>
          <w:left w:w="28" w:type="dxa"/>
          <w:bottom w:w="28" w:type="dxa"/>
          <w:right w:w="28" w:type="dxa"/>
        </w:tblCellMar>
      </w:tblPr>
      <w:tblGrid>
        <w:gridCol w:w="1853"/>
        <w:gridCol w:w="1389"/>
        <w:gridCol w:w="1403"/>
        <w:gridCol w:w="494"/>
        <w:gridCol w:w="1443"/>
        <w:gridCol w:w="255"/>
        <w:gridCol w:w="255"/>
        <w:gridCol w:w="255"/>
        <w:gridCol w:w="255"/>
        <w:gridCol w:w="551"/>
        <w:gridCol w:w="1610"/>
        <w:gridCol w:w="283"/>
        <w:gridCol w:w="159"/>
      </w:tblGrid>
      <w:tr>
        <w:trPr/>
        <w:tc>
          <w:tcPr>
            <w:tcW w:w="1853"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6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21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c>
          <w:tcPr>
            <w:tcW w:w="159" w:type="dxa"/>
            <w:tcBorders/>
            <w:vAlign w:val="center"/>
          </w:tcPr>
          <w:p>
            <w:pPr>
              <w:pStyle w:val="TableContents"/>
              <w:bidi w:val="0"/>
              <w:spacing w:before="0" w:after="283"/>
              <w:jc w:val="left"/>
              <w:rPr>
                <w:sz w:val="4"/>
                <w:szCs w:val="4"/>
              </w:rPr>
            </w:pPr>
            <w:r>
              <w:rPr>
                <w:sz w:val="4"/>
                <w:szCs w:val="4"/>
              </w:rPr>
            </w:r>
          </w:p>
        </w:tc>
      </w:tr>
      <w:tr>
        <w:trPr/>
        <w:tc>
          <w:tcPr>
            <w:tcW w:w="4645" w:type="dxa"/>
            <w:gridSpan w:val="3"/>
            <w:tcBorders/>
            <w:shd w:fill="CFF0FC"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Fixed Rate Debt:</w:t>
            </w:r>
            <w:r>
              <w:rPr>
                <w:rFonts w:ascii="Times New Roman;serif" w:hAnsi="Times New Roman;serif"/>
                <w:b/>
                <w:color w:val="000000"/>
                <w:sz w:val="13"/>
              </w:rPr>
              <w:t>(1)</w:t>
            </w:r>
          </w:p>
        </w:tc>
        <w:tc>
          <w:tcPr>
            <w:tcW w:w="2192"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6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Carrying amount — liability</w:t>
            </w:r>
          </w:p>
        </w:tc>
        <w:tc>
          <w:tcPr>
            <w:tcW w:w="49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4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5,516 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1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4,496 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64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 liability</w:t>
            </w:r>
          </w:p>
        </w:tc>
        <w:tc>
          <w:tcPr>
            <w:tcW w:w="19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5,293 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4,422 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645" w:type="dxa"/>
            <w:gridSpan w:val="3"/>
            <w:tcBorders/>
            <w:shd w:fill="CFF0FC"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Variable Rate Debt:</w:t>
            </w:r>
            <w:r>
              <w:rPr>
                <w:rFonts w:ascii="Times New Roman;serif" w:hAnsi="Times New Roman;serif"/>
                <w:b/>
                <w:color w:val="000000"/>
                <w:sz w:val="13"/>
              </w:rPr>
              <w:t>(1)</w:t>
            </w:r>
          </w:p>
        </w:tc>
        <w:tc>
          <w:tcPr>
            <w:tcW w:w="219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6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Carrying amount — liability</w:t>
            </w:r>
          </w:p>
        </w:tc>
        <w:tc>
          <w:tcPr>
            <w:tcW w:w="49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4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1,059 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1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935 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64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 liability</w:t>
            </w:r>
          </w:p>
        </w:tc>
        <w:tc>
          <w:tcPr>
            <w:tcW w:w="19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1,037 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935 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0046" w:type="dxa"/>
            <w:gridSpan w:val="12"/>
            <w:tcBorders/>
            <w:shd w:fill="FFFFFF" w:val="clear"/>
            <w:tcMar>
              <w:top w:w="0" w:type="dxa"/>
              <w:left w:w="0" w:type="dxa"/>
              <w:bottom w:w="0" w:type="dxa"/>
              <w:right w:w="0" w:type="dxa"/>
            </w:tcMar>
            <w:vAlign w:val="center"/>
          </w:tcPr>
          <w:p>
            <w:pPr>
              <w:pStyle w:val="TableContents"/>
              <w:bidi w:val="0"/>
              <w:spacing w:lineRule="auto" w:line="288" w:before="40" w:after="283"/>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20"/>
              </w:rPr>
              <w:t>Excludes Notes Payable and Overdrafts of $359 million and $506 million at June 30, 2026 and December 31, 2025, respectively, of which $186 million and $216 million, respectively, are at fixed rates and $173 million and $290 million, respectively, are at variable rates. The carrying value of Notes Payable and Overdrafts approximates fair value due to the short term nature of the facilities.</w:t>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Long term debt with fair values of $5,167 million and $4,291 million at June 30, 2026 and December 31, 2025, respectively, were estimated using quoted Level 1 market prices. The carrying value of the remaining long term debt approximates fair value since the terms of the financing arrangements are similar to terms that could be obtained under current lending market conditions.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u w:val="single"/>
        </w:rPr>
      </w:pPr>
      <w:r>
        <w:rPr>
          <w:rFonts w:ascii="Times New Roman;serif" w:hAnsi="Times New Roman;serif"/>
          <w:b/>
          <w:color w:val="000000"/>
          <w:sz w:val="20"/>
          <w:u w:val="single"/>
        </w:rPr>
        <w:t>NOTE 10. PENSION, SAVINGS AND OTHER POSTRETIREMENT BENEFIT PLANS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provide employees with defined benefit pension or defined contribution savings plans.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Defined benefit pension cost follows:</w:t>
      </w:r>
    </w:p>
    <w:tbl>
      <w:tblPr>
        <w:tblW w:w="8043" w:type="dxa"/>
        <w:jc w:val="left"/>
        <w:tblInd w:w="0" w:type="dxa"/>
        <w:tblLayout w:type="fixed"/>
        <w:tblCellMar>
          <w:top w:w="28" w:type="dxa"/>
          <w:left w:w="28" w:type="dxa"/>
          <w:bottom w:w="28" w:type="dxa"/>
          <w:right w:w="28" w:type="dxa"/>
        </w:tblCellMar>
      </w:tblPr>
      <w:tblGrid>
        <w:gridCol w:w="1488"/>
        <w:gridCol w:w="1312"/>
        <w:gridCol w:w="1324"/>
        <w:gridCol w:w="211"/>
        <w:gridCol w:w="376"/>
        <w:gridCol w:w="109"/>
        <w:gridCol w:w="109"/>
        <w:gridCol w:w="109"/>
        <w:gridCol w:w="109"/>
        <w:gridCol w:w="211"/>
        <w:gridCol w:w="376"/>
        <w:gridCol w:w="109"/>
        <w:gridCol w:w="109"/>
        <w:gridCol w:w="109"/>
        <w:gridCol w:w="109"/>
        <w:gridCol w:w="211"/>
        <w:gridCol w:w="376"/>
        <w:gridCol w:w="109"/>
        <w:gridCol w:w="109"/>
        <w:gridCol w:w="109"/>
        <w:gridCol w:w="109"/>
        <w:gridCol w:w="211"/>
        <w:gridCol w:w="376"/>
        <w:gridCol w:w="109"/>
        <w:gridCol w:w="154"/>
      </w:tblGrid>
      <w:tr>
        <w:trPr/>
        <w:tc>
          <w:tcPr>
            <w:tcW w:w="1488"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9"/>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9"/>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9"/>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9"/>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6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Service cost</w:t>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cost</w:t>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return on plan assets</w:t>
            </w:r>
          </w:p>
        </w:tc>
        <w:tc>
          <w:tcPr>
            <w:tcW w:w="5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net losses</w:t>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periodic pension cost</w:t>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7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11</w:t>
            </w:r>
            <w:r>
              <w:rPr>
                <w:color w:val="000000"/>
              </w:rPr>
              <w:t>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7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15</w:t>
            </w:r>
            <w:r>
              <w:rPr>
                <w:color w:val="000000"/>
              </w:rPr>
              <w:t>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7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23</w:t>
            </w:r>
            <w:r>
              <w:rPr>
                <w:color w:val="000000"/>
              </w:rPr>
              <w:t>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7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30</w:t>
            </w:r>
            <w:r>
              <w:rPr>
                <w:color w:val="000000"/>
              </w:rPr>
              <w:t>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curtailments/settlements/termination benefits</w:t>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defined benefit pension cost</w:t>
            </w:r>
          </w:p>
        </w:tc>
        <w:tc>
          <w:tcPr>
            <w:tcW w:w="211"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76"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11</w:t>
            </w:r>
            <w:r>
              <w:rPr>
                <w:color w:val="000000"/>
              </w:rPr>
              <w:t> </w:t>
            </w:r>
          </w:p>
        </w:tc>
        <w:tc>
          <w:tcPr>
            <w:tcW w:w="109"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76"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15</w:t>
            </w:r>
            <w:r>
              <w:rPr>
                <w:color w:val="000000"/>
              </w:rPr>
              <w:t> </w:t>
            </w:r>
          </w:p>
        </w:tc>
        <w:tc>
          <w:tcPr>
            <w:tcW w:w="109"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76"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23</w:t>
            </w:r>
            <w:r>
              <w:rPr>
                <w:color w:val="000000"/>
              </w:rPr>
              <w:t> </w:t>
            </w:r>
          </w:p>
        </w:tc>
        <w:tc>
          <w:tcPr>
            <w:tcW w:w="109"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76"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38</w:t>
            </w:r>
            <w:r>
              <w:rPr>
                <w:color w:val="000000"/>
              </w:rPr>
              <w:t> </w:t>
            </w:r>
          </w:p>
        </w:tc>
        <w:tc>
          <w:tcPr>
            <w:tcW w:w="109"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299085"/>
                <wp:effectExtent l="0" t="0" r="0" b="0"/>
                <wp:wrapNone/>
                <wp:docPr id="26" name="Frame26"/>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240" w:after="283"/>
        <w:jc w:val="left"/>
        <w:rPr/>
      </w:pPr>
      <w:hyperlink w:anchor="ic6c494b4098947579b1e17aeda6e5d76_7">
        <w:r>
          <w:rPr>
            <w:rStyle w:val="InternetLink"/>
            <w:rFonts w:ascii="Times New Roman;serif" w:hAnsi="Times New Roman;serif"/>
            <w:b w:val="false"/>
            <w:color w:val="0000FF"/>
            <w:sz w:val="20"/>
            <w:u w:val="single"/>
          </w:rPr>
          <w:t>Table of Contents</w:t>
        </w:r>
      </w:hyperlink>
    </w:p>
    <w:tbl>
      <w:tblPr>
        <w:tblW w:w="8043" w:type="dxa"/>
        <w:jc w:val="left"/>
        <w:tblInd w:w="0" w:type="dxa"/>
        <w:tblLayout w:type="fixed"/>
        <w:tblCellMar>
          <w:top w:w="28" w:type="dxa"/>
          <w:left w:w="28" w:type="dxa"/>
          <w:bottom w:w="28" w:type="dxa"/>
          <w:right w:w="28" w:type="dxa"/>
        </w:tblCellMar>
      </w:tblPr>
      <w:tblGrid>
        <w:gridCol w:w="1488"/>
        <w:gridCol w:w="1312"/>
        <w:gridCol w:w="1324"/>
        <w:gridCol w:w="211"/>
        <w:gridCol w:w="376"/>
        <w:gridCol w:w="109"/>
        <w:gridCol w:w="109"/>
        <w:gridCol w:w="109"/>
        <w:gridCol w:w="109"/>
        <w:gridCol w:w="211"/>
        <w:gridCol w:w="376"/>
        <w:gridCol w:w="109"/>
        <w:gridCol w:w="109"/>
        <w:gridCol w:w="109"/>
        <w:gridCol w:w="109"/>
        <w:gridCol w:w="211"/>
        <w:gridCol w:w="376"/>
        <w:gridCol w:w="109"/>
        <w:gridCol w:w="109"/>
        <w:gridCol w:w="109"/>
        <w:gridCol w:w="109"/>
        <w:gridCol w:w="211"/>
        <w:gridCol w:w="376"/>
        <w:gridCol w:w="109"/>
        <w:gridCol w:w="154"/>
      </w:tblGrid>
      <w:tr>
        <w:trPr/>
        <w:tc>
          <w:tcPr>
            <w:tcW w:w="1488"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9"/>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Non-U.S.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9"/>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Non-U.S.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9"/>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op w:val="single" w:sz="4"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9"/>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6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Service cost</w:t>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cost</w:t>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return on plan assets</w:t>
            </w:r>
          </w:p>
        </w:tc>
        <w:tc>
          <w:tcPr>
            <w:tcW w:w="5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prior service cost</w:t>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net losses</w:t>
            </w:r>
          </w:p>
        </w:tc>
        <w:tc>
          <w:tcPr>
            <w:tcW w:w="5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periodic pension cost</w:t>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7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12</w:t>
            </w:r>
            <w:r>
              <w:rPr>
                <w:color w:val="000000"/>
              </w:rPr>
              <w:t>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7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12</w:t>
            </w:r>
            <w:r>
              <w:rPr>
                <w:color w:val="000000"/>
              </w:rPr>
              <w:t>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7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24</w:t>
            </w:r>
            <w:r>
              <w:rPr>
                <w:color w:val="000000"/>
              </w:rPr>
              <w:t>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7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23</w:t>
            </w:r>
            <w:r>
              <w:rPr>
                <w:color w:val="000000"/>
              </w:rPr>
              <w:t>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curtailments/settlements/termination benefits</w:t>
            </w:r>
          </w:p>
        </w:tc>
        <w:tc>
          <w:tcPr>
            <w:tcW w:w="5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defined benefit pension cost</w:t>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7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12</w:t>
            </w:r>
            <w:r>
              <w:rPr>
                <w:color w:val="000000"/>
              </w:rPr>
              <w:t> </w:t>
            </w:r>
          </w:p>
        </w:tc>
        <w:tc>
          <w:tcPr>
            <w:tcW w:w="10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7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12</w:t>
            </w:r>
            <w:r>
              <w:rPr>
                <w:color w:val="000000"/>
              </w:rPr>
              <w:t> </w:t>
            </w:r>
          </w:p>
        </w:tc>
        <w:tc>
          <w:tcPr>
            <w:tcW w:w="10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7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24</w:t>
            </w:r>
            <w:r>
              <w:rPr>
                <w:color w:val="000000"/>
              </w:rPr>
              <w:t> </w:t>
            </w:r>
          </w:p>
        </w:tc>
        <w:tc>
          <w:tcPr>
            <w:tcW w:w="10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7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24</w:t>
            </w:r>
            <w:r>
              <w:rPr>
                <w:color w:val="000000"/>
              </w:rPr>
              <w:t> </w:t>
            </w:r>
          </w:p>
        </w:tc>
        <w:tc>
          <w:tcPr>
            <w:tcW w:w="10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Service cost is recorded in CGS or SAG. Other components of net periodic pension cost are recorded in Other (Income) Expense. Net curtailments, settlements and termination benefits, if any, are recorded in Other (Income) Expense or Rationalizations if related to a rationalization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the first six months of 2025, a pension settlement charge of $4 million was recorded in Other (Income) Expense. The settlement charge resulted from total lump sum payments exceeding annual service and interest cost of the applicable plan. In addition, pension termination benefits charges of $4 million and $1 million were recorded related to the exit of employees under an approved rationalization plan and the sale of the OTR tire business,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also provide certain U.S. employees and employees at certain non-U.S. subsidiaries with health care benefits or life insurance benefits upon retirement. There was no net other postretirement benefits expense for the three and six months ended June 30, 2026 and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expect to contribute approximately $25 million to our funded non-U.S. pension plans in 2026. For the three and six months ended June 30, 2026, we contributed $6 million and $9 million, respectively, to our non-U.S. plans.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expense recognized for our contributions to defined contribution savings plans for the three months ended June 30, 2026 and 2025 was $28 million and $30 million, respectively, and for the six months ended June 30, 2026 and 2025 was $57 million and $62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u w:val="single"/>
        </w:rPr>
      </w:pPr>
      <w:r>
        <w:rPr>
          <w:rFonts w:ascii="Times New Roman;serif" w:hAnsi="Times New Roman;serif"/>
          <w:b/>
          <w:color w:val="000000"/>
          <w:sz w:val="20"/>
          <w:u w:val="single"/>
        </w:rPr>
        <w:t>NOTE 11. STOCK COMPENSATION PLANS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Board of Directors granted 2.1 million restricted stock units and 0.7 million performance share units during the six months ended June 30, 2026 under our stock compensation plans. We measure the fair value of grants of restricted stock units and performance share units based primarily on the closing market price of a share of our common stock on the date of the grant, modified as appropriate to take into account the features of such grants. The weighted average fair value per share was $8.45 for restricted stock units and $8.30 for performance share units granted during the six months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recognized stock-based compensation expense of $4 million and $12 million during the three and six months ended June 30, 2026, respectively. At June 30, 2026, unearned compensation cost related to the unvested portion of all stock-based awards was approximately $27 million and is expected to be recognized over the remaining vesting period of the respective grants, through the second quarter of 2029. We recognized stock-based compensation expense of $5 million and $11 million during the three and six months ended June 30,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u w:val="single"/>
        </w:rPr>
      </w:pPr>
      <w:r>
        <w:rPr>
          <w:rFonts w:ascii="Times New Roman;serif" w:hAnsi="Times New Roman;serif"/>
          <w:b/>
          <w:color w:val="000000"/>
          <w:sz w:val="20"/>
          <w:u w:val="single"/>
        </w:rPr>
        <w:t>NOTE 12. COMMITMENTS AND CONTINGENT LIABILITIES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Environmental Matters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have recorded liabilities totaling $76 million and $79 million at June 30, 2026 and December 31, 2025, respectively, for anticipated costs related to various environmental matters, primarily the remediation of numerous waste disposal sites and certain properties sold by us. Of these amounts, $22 million was included in Other Current Liabilities at both June 30, 2026 and December 31, 2025. The costs include legal and consulting fees, site studies, the design and implementation of remediation plans, post-remediation monitoring and related activities, and will be paid over several years. The amount of our ultimate liability in respect of these matters may be affected by several uncertainties, primarily the ultimate cost of required remediation and the extent to which other responsible parties contribute. We have limited potential insurance coverage for future environmental claims.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Since many of the remediation activities related to environmental matters vary substantially in duration and cost from site to site and the associated costs for each vary depending on the mix of unique site characteristics, in some cases we cannot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299085"/>
                <wp:effectExtent l="0" t="0" r="0" b="0"/>
                <wp:wrapNone/>
                <wp:docPr id="27" name="Frame27"/>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240" w:after="283"/>
        <w:jc w:val="left"/>
        <w:rPr/>
      </w:pPr>
      <w:hyperlink w:anchor="ic6c494b4098947579b1e17aeda6e5d7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reasonably estimate a range of possible losses. Although it is not possible to estimate with certainty the outcome of all of our environmental matters, management believes that potential losses in excess of current reserves for environmental matters, individually and in the aggregate, will not have a material adverse effect on our financial position, cash flows or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Workers’ Compensation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have recorded liabilities, on a discounted basis, totaling $156 million and $145 million for anticipated costs related to workers’ compensation at June 30, 2026 and December 31, 2025, respectively. Of these amounts, $30 million and $28 million were included in Other Current Liabilities as part of Compensation and Benefits at June 30, 2026 and December 31, 2025, respectively. The costs include an estimate of expected settlements on pending claims, defense costs and a provision for claims incurred but not reported. These estimates are based on our assessment of potential liability using an analysis of available information with respect to pending claims, historical experience and current cost trends. The amount of our ultimate liability in respect of these matters may differ from these estimates. We periodically, and at least annually, update our loss development factors based on actuarial analyses. At June 30, 2026 and December 31, 2025, the liability was discounted using a risk-free rate of return. At June 30, 2026, we estimate that it is reasonably possible that the liability could exceed our recorded amounts by approximately $25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General and Product Liability and Other Litigation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have recorded liabilities for both asserted and unasserted claims totaling $470 million and $417 million, including related legal fees expected to be incurred, for potential product liability and other tort claims, including asbestos claims, at June 30, 2026 and December 31, 2025, respectively. Of these amounts, $111 million and $66 million were included in Other Current Liabilities at June 30, 2026 and December 31, 2025, respectively. The amounts recorded were estimated based on an assessment of potential liability using an analysis of available information with respect to pending claims, historical experience and, where available, recent and current trends. Based upon that assessment, at June 30, 2026, we do not believe that estimated reasonably possible losses associated with general and product liability claims in excess of the amounts recorded will have a material adverse effect on our financial position, cash flows or results of operations. However, the amount of our ultimate liability in respect of these matters may differ from these estimates.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maintain insurance coverage for certain general and product liability exposures. After consideration of the terms of applicable policies, the financial condition of the insurers and other relevant factors, we record a receivable for recoveries that are considered probable and reasonably estimable. At June 30, 2026, we recorded an insurance receivable related to general and product liability claims of approximately $20 million, which is included in Current Assets as part of Accounts Receivable.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have recorded an indemnification asset within Accounts Receivable of $2 million and within Other Assets of $1 million for Sumitomo Rubber Industries, Ltd. ("SRI's") obligation to indemnify us for certain product liability claims related to products manufactured by a formerly consolidated joint venture entity, subject to certain caps and restrictions. </w:t>
      </w:r>
    </w:p>
    <w:p>
      <w:pPr>
        <w:pStyle w:val="TextBody"/>
        <w:bidi w:val="0"/>
        <w:spacing w:lineRule="auto" w:line="288" w:before="120" w:after="283"/>
        <w:jc w:val="both"/>
        <w:rPr/>
      </w:pPr>
      <w:r>
        <w:rPr>
          <w:rFonts w:ascii="Times New Roman;serif" w:hAnsi="Times New Roman;serif"/>
          <w:b/>
          <w:color w:val="000000"/>
          <w:sz w:val="20"/>
        </w:rPr>
        <w:t>Asbestos.</w:t>
      </w:r>
      <w:r>
        <w:rPr>
          <w:color w:val="000000"/>
        </w:rPr>
        <w:t xml:space="preserve"> </w:t>
      </w:r>
      <w:r>
        <w:rPr>
          <w:rFonts w:ascii="Times New Roman;serif" w:hAnsi="Times New Roman;serif"/>
          <w:b w:val="false"/>
          <w:color w:val="000000"/>
          <w:sz w:val="20"/>
        </w:rPr>
        <w:t>We are a defendant in numerous lawsuits alleging various asbestos-related personal injuries purported to result from alleged exposure to asbestos in certain products manufactured by us or present in certain of our facilities. Typically, these lawsuits have been brought against multiple defendants in state and federal courts. To date, we have disposed of approximately 169,500 claims by defending, obtaining the dismissal thereof, or entering into a settlement. The sum of our accrued asbestos-related liability and gross payments to date, including legal costs, by us and our insurers totaled $610 million through June 30, 2026 and $597 million through December 31, 2025.</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 summary of recent approximate asbestos claims activity follows. Because claims are often filed and disposed of by settlement or dismissal in large numbers, the amount and timing of filings, settlements and dismissals and the number of open claims during a particular period can fluctuate significantly.</w:t>
      </w:r>
    </w:p>
    <w:tbl>
      <w:tblPr>
        <w:tblW w:w="10205" w:type="dxa"/>
        <w:jc w:val="left"/>
        <w:tblInd w:w="0" w:type="dxa"/>
        <w:tblLayout w:type="fixed"/>
        <w:tblCellMar>
          <w:top w:w="28" w:type="dxa"/>
          <w:left w:w="28" w:type="dxa"/>
          <w:bottom w:w="28" w:type="dxa"/>
          <w:right w:w="28" w:type="dxa"/>
        </w:tblCellMar>
      </w:tblPr>
      <w:tblGrid>
        <w:gridCol w:w="1539"/>
        <w:gridCol w:w="1344"/>
        <w:gridCol w:w="1350"/>
        <w:gridCol w:w="1191"/>
        <w:gridCol w:w="1521"/>
        <w:gridCol w:w="615"/>
        <w:gridCol w:w="149"/>
        <w:gridCol w:w="149"/>
        <w:gridCol w:w="149"/>
        <w:gridCol w:w="618"/>
        <w:gridCol w:w="1103"/>
        <w:gridCol w:w="319"/>
        <w:gridCol w:w="158"/>
      </w:tblGrid>
      <w:tr>
        <w:trPr/>
        <w:tc>
          <w:tcPr>
            <w:tcW w:w="1539"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521"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2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millions)</w:t>
            </w:r>
          </w:p>
        </w:tc>
        <w:tc>
          <w:tcPr>
            <w:tcW w:w="3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2026</w:t>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Year Ended</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158" w:type="dxa"/>
            <w:tcBorders/>
            <w:vAlign w:val="center"/>
          </w:tcPr>
          <w:p>
            <w:pPr>
              <w:pStyle w:val="TableContents"/>
              <w:bidi w:val="0"/>
              <w:spacing w:before="0" w:after="283"/>
              <w:jc w:val="left"/>
              <w:rPr>
                <w:sz w:val="4"/>
                <w:szCs w:val="4"/>
              </w:rPr>
            </w:pPr>
            <w:r>
              <w:rPr>
                <w:sz w:val="4"/>
                <w:szCs w:val="4"/>
              </w:rPr>
            </w:r>
          </w:p>
        </w:tc>
      </w:tr>
      <w:tr>
        <w:trPr/>
        <w:tc>
          <w:tcPr>
            <w:tcW w:w="4233"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Pending claims, beginning of period</w:t>
            </w:r>
          </w:p>
        </w:tc>
        <w:tc>
          <w:tcPr>
            <w:tcW w:w="2712"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30,400</w:t>
            </w:r>
            <w:r>
              <w:rPr>
                <w:color w:val="000000"/>
              </w:rPr>
              <w:t> </w:t>
            </w:r>
          </w:p>
        </w:tc>
        <w:tc>
          <w:tcPr>
            <w:tcW w:w="615"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35,400</w:t>
            </w:r>
            <w:r>
              <w:rPr>
                <w:color w:val="000000"/>
              </w:rPr>
              <w:t> </w:t>
            </w:r>
          </w:p>
        </w:tc>
        <w:tc>
          <w:tcPr>
            <w:tcW w:w="31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2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New claims filed</w:t>
            </w:r>
          </w:p>
        </w:tc>
        <w:tc>
          <w:tcPr>
            <w:tcW w:w="27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800 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233"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Claims settled/dismissed</w:t>
            </w:r>
          </w:p>
        </w:tc>
        <w:tc>
          <w:tcPr>
            <w:tcW w:w="271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(2,500)</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(5,800)</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2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Pending claims, end of period</w:t>
            </w:r>
          </w:p>
        </w:tc>
        <w:tc>
          <w:tcPr>
            <w:tcW w:w="271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28,500</w:t>
            </w:r>
            <w:r>
              <w:rPr>
                <w:color w:val="000000"/>
              </w:rPr>
              <w:t> </w:t>
            </w:r>
          </w:p>
        </w:tc>
        <w:tc>
          <w:tcPr>
            <w:tcW w:w="615"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30,400</w:t>
            </w:r>
            <w:r>
              <w:rPr>
                <w:color w:val="000000"/>
              </w:rPr>
              <w:t> </w:t>
            </w:r>
          </w:p>
        </w:tc>
        <w:tc>
          <w:tcPr>
            <w:tcW w:w="31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233" w:type="dxa"/>
            <w:gridSpan w:val="3"/>
            <w:tcBorders/>
            <w:shd w:fill="CFF0FC"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Payments</w:t>
            </w:r>
            <w:r>
              <w:rPr>
                <w:rFonts w:ascii="Times New Roman;serif" w:hAnsi="Times New Roman;serif"/>
                <w:b w:val="false"/>
                <w:color w:val="000000"/>
                <w:sz w:val="13"/>
              </w:rPr>
              <w:t>(1)</w:t>
            </w:r>
          </w:p>
        </w:tc>
        <w:tc>
          <w:tcPr>
            <w:tcW w:w="1191" w:type="dxa"/>
            <w:tcBorders>
              <w:top w:val="doub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521" w:type="dxa"/>
            <w:tcBorders>
              <w:top w:val="doub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8</w:t>
            </w:r>
            <w:r>
              <w:rPr>
                <w:color w:val="000000"/>
              </w:rPr>
              <w:t> </w:t>
            </w:r>
          </w:p>
        </w:tc>
        <w:tc>
          <w:tcPr>
            <w:tcW w:w="615" w:type="dxa"/>
            <w:tcBorders>
              <w:top w:val="doub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op w:val="double" w:sz="8"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tcBorders>
              <w:top w:val="doub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03" w:type="dxa"/>
            <w:tcBorders>
              <w:top w:val="doub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16</w:t>
            </w:r>
            <w:r>
              <w:rPr>
                <w:color w:val="000000"/>
              </w:rPr>
              <w:t> </w:t>
            </w:r>
          </w:p>
        </w:tc>
        <w:tc>
          <w:tcPr>
            <w:tcW w:w="319" w:type="dxa"/>
            <w:tcBorders>
              <w:top w:val="doub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0047" w:type="dxa"/>
            <w:gridSpan w:val="12"/>
            <w:tcBorders/>
            <w:shd w:fill="FFFFFF" w:val="clear"/>
            <w:tcMar>
              <w:top w:w="0" w:type="dxa"/>
              <w:left w:w="0" w:type="dxa"/>
              <w:bottom w:w="0" w:type="dxa"/>
              <w:right w:w="0" w:type="dxa"/>
            </w:tcMar>
            <w:vAlign w:val="center"/>
          </w:tcPr>
          <w:p>
            <w:pPr>
              <w:pStyle w:val="TableContents"/>
              <w:bidi w:val="0"/>
              <w:spacing w:lineRule="auto" w:line="288" w:before="40" w:after="283"/>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20"/>
              </w:rPr>
              <w:t>Represents cash payments made during the period by us and our insurers for asbestos litigation defense and claim resolution.</w:t>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periodically, and at least annually, review our existing reserves for pending claims, including a reasonable estimate of the liability associated with unasserted asbestos claims, and estimate our receivables from probable insurance recoveries. We recorded gross liabilities for both asserted and unasserted claims, inclusive of defense costs, totaling $112 million and $107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299085"/>
                <wp:effectExtent l="0" t="0" r="0" b="0"/>
                <wp:wrapNone/>
                <wp:docPr id="28" name="Frame28"/>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240" w:after="283"/>
        <w:jc w:val="left"/>
        <w:rPr/>
      </w:pPr>
      <w:hyperlink w:anchor="ic6c494b4098947579b1e17aeda6e5d7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million at June 30, 2026 and December 31, 2025, respectively. In determining the estimate of our asbestos liability, we evaluated claims over the next ten-year period. Due to the difficulties in making these estimates, analysis based on new data and/or a change in circumstances arising in the future may result in an increase in the recorded obligation, and that increase could be significant.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maintain certain primary and excess insurance coverage under coverage-in-place agreements, and also have additional excess liability insurance with respect to asbestos liabilities. After consultation with our outside legal counsel and giving consideration to agreements with certain of our insurance carriers, the financial viability and legal obligations of our insurance carriers and other relevant factors, we determine an amount we expect is probable of recovery from such carriers. We record a receivable with respect to such policies when we determine that recovery is probable and we can reasonably estimate the amount of a particular recovery.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recorded an insurance receivable related to asbestos claims of $58 million and $57 million at June 30, 2026 and December 31, 2025, respectively. We expect that approximately 50% of asbestos claim related losses would be recoverable through insurance during the ten-year period covered by the estimated liability. Of these amounts, $10 million was included in Current Assets as part of Accounts Receivable at both June 30, 2026 and December 31, 2025. The recorded receivable consists of an amount we expect to collect under coverage-in-place agreements with certain primary and excess insurance carriers, as well as an amount we believe is probable of recovery from certain of our other excess insurance carriers.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believe that, at December 31, 2025, we had approximately $510 million in excess level policy limits applicable to indemnity and defense costs for asbestos products claims under coverage-in-place agreements. We also had additional unsettled excess level policy limits potentially applicable to such costs. In addition, we had coverage under certain primary policies for indemnity and defense costs for asbestos products claims under remaining aggregate limits pursuant to a coverage-in-place agreement, as well as coverage for indemnity and defense costs for asbestos premises claims pursuant to coverage-in-place agreements.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With respect to both asserted and unasserted claims, it is reasonably possible that we may incur a material amount of cost in excess of the current reserve; however, such amounts cannot be reasonably estimated. Coverage under insurance policies is subject to varying characteristics of asbestos claims including, but not limited to, the type of claim (premise vs. product exposure), alleged date of first exposure to our products or premises and disease alleged. Recoveries may also be limited by insurer insolvencies or financial difficulties. Depending upon the nature of these characteristics or events, as well as the resolution of certain legal issues, some portion of the insurance may not be accessible by 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Other Actions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are currently a party to various claims, indirect tax assessments and legal proceedings in addition to those noted above. If management believes that a loss arising from these matters is probable and can reasonably be estimated, we record the amount of the loss, or the minimum estimated liability when the loss is estimated using a range and no point within the range is more probable than another. As additional information becomes available, any potential liability related to these matters is assessed and the estimates are revised, if necessary. Based on currently available information, management believes that the ultimate outcome of these matters, individually and in the aggregate, will not have a material adverse effect on our financial position or overall trends in results of operations.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recorded liabilities and estimates of reasonably possible losses for the contingent liabilities described above are based on our assessment of potential liability using the information available to us at the time and, where applicable, any past experience and recent and current trends with respect to similar matters. Our contingent liabilities are subject to inherent uncertainties, and unfavorable judicial or administrative decisions could occur which we did not anticipate. Such an unfavorable decision could include monetary damages, fines or other penalties or an injunction prohibiting us from taking certain actions or selling certain products. If such an unfavorable decision were to occur, it could result in a material adverse impact on our financial position and results of operations in the period in which the decision occurs or in future periods.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Income Tax Matters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calculation of our tax liabilities involves dealing with uncertainties in the application of complex tax regulations. We recognize liabilities for anticipated tax audit issues based on our estimate of whether, and the extent to which, additional taxes will be due. If we ultimately determine that payment of these amounts is unnecessary, we reverse the liability and recognize a tax benefit during the period in which we determine that the liability is no longer necessary. We also recognize income tax benefits to the extent that it is more likely than not that our positions will be sustained when challenged by the taxing authorities. We derecognize income tax benefits when based on new information we determine that it is no longer more likely than not that our position will be sustained. To the extent we prevail in matters for which liabilities have been established, or determine we need to derecognize tax benefits recorded in prior periods, our results of operations and effective tax rate in a given period could be materially affected. An unfavorable tax settlement would require use of our cash, and lead to recognition of expense to the extent the settlement amount exceeds recorded liabilities and, in the case of an income tax settlement, result in an increase in our effective tax rate in the period of resolution. A favorable tax settlement would be recognized as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299085"/>
                <wp:effectExtent l="0" t="0" r="0" b="0"/>
                <wp:wrapNone/>
                <wp:docPr id="29" name="Frame29"/>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240" w:after="283"/>
        <w:jc w:val="left"/>
        <w:rPr/>
      </w:pPr>
      <w:hyperlink w:anchor="ic6c494b4098947579b1e17aeda6e5d7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reduction of expense to the extent the settlement amount is lower than recorded liabilities and, in the case of an income tax settlement, would result in a reduction in our effective tax rate in the period of resolution.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Following an audit by the IRS, we received a Notice of Proposed Adjustment ("NOPA") during the second quarter of 2025 related to an intercompany sale of certain intellectual property in 2021. The IRS proposed to disallow income recognition totaling $1.5 billion associated with this transaction. The federal tax charge related to that income recognition was fully offset by the utilization of $315 million of then-existing deferred tax assets, including tax loss carryforwards and foreign tax credits.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challenged the proposed adjustment through the established IRS administrative procedures and engaged in settlement discussions with the IRS. On July 29, 2026, we entered into a closing agreement with the IRS resolving all federal income tax consequences related to the 2021 transaction (the "IRS settlement"). As a result of the IRS settlement, in the third quarter of 2026 we expect to write-off approximately $45 million of our deferred tax assets that were previously utilized to offset the related federal and state taxes. However, since our U.S. deferred tax assets are in a full valuation allowance, the write-off of those deferred tax assets will not have a material impact on our operating results or cash flow.</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While the Company applies consistent transfer pricing policies and practices globally, supports transfer prices through economic studies, seeks advance pricing agreements and joint audits to the extent possible and believes its transfer prices to be appropriate, such transfer prices, and related interpretations of tax laws, are occasionally challenged by various taxing authorities globally. We have received various tax assessments challenging our interpretations of applicable tax laws in various jurisdictions. Although we believe we have complied with applicable tax laws, have strong positions and defenses and have historically been successful in defending such claims, our results of operations could be materially adversely affected in the case we are unsuccessful in the defense of existing or future claims.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Binding Commitments and Guarantees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have off-balance sheet financial guarantees and other commitments totaling $15 million at both June 30, 2026 and December 31, 2025. We issue guarantees to financial institutions or other entities on behalf of certain of our affiliates, lessors or customers. We generally do not require collateral in connection with the issuance of these guarantees.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2015, as a result of the dissolution of the global alliance with SRI, we issued a guarantee of $46 million to an insurance company related to SRI's obligation to pay certain outstanding workers' compensation claims of a formerly consolidated joint venture entity. As of June 30, 2026, this guarantee amount has been reduced to $15 million. We have concluded the probability of our performance to be remote and, therefore, have not recorded a liability for this guarantee. While there is no fixed duration of this guarantee, we expect the amount of this guarantee to continue to decrease over time as the formerly consolidated joint venture entity pays its outstanding claims.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If our performance under these guarantees is triggered by non-payment or another specified event, we would be obligated to make payment to the financial institution or the other entity, and would typically have recourse to the affiliate, lessor, customer or SRI, as applicable. We are unable to estimate the extent to which our lessors’, customers’ or SRI's assets would be adequate to recover any payments made by us under the related guarantees.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have an agreement to provide a revolving loan commitment to TireHub, LLC. During the first quarter of 2026, the revolving loan commitment decreased from $130 million to $100 million. The carrying value of our net investment in TireHub was $33 million and $44 million, which includes an outstanding loan receivable of $88 million and $103 million, including $1 million and $2 million of interest, at June 30, 2026 and December 31, 2025, respectively, and was included in Other Assets on our Consolidated Balance Sheets. Our investment in TireHub is accounted for under the equity method of accounting and, as such, includes our 50% share of the net income (losses) of TireHub.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u w:val="single"/>
        </w:rPr>
      </w:pPr>
      <w:r>
        <w:rPr>
          <w:rFonts w:ascii="Times New Roman;serif" w:hAnsi="Times New Roman;serif"/>
          <w:b/>
          <w:color w:val="000000"/>
          <w:sz w:val="20"/>
          <w:u w:val="single"/>
        </w:rPr>
        <w:t>NOTE 13. CAPITAL STOCK</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Common Stock Repurchases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may repurchase shares delivered to us by employees as payment for the exercise price of stock options and the withholding taxes due upon the exercise of stock options or the vesting or payment of stock awards. During the first six months of 2026, we did not repurchase any shares from employees.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299085"/>
                <wp:effectExtent l="0" t="0" r="0" b="0"/>
                <wp:wrapNone/>
                <wp:docPr id="30" name="Frame30"/>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240" w:after="283"/>
        <w:jc w:val="left"/>
        <w:rPr/>
      </w:pPr>
      <w:hyperlink w:anchor="ic6c494b4098947579b1e17aeda6e5d7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u w:val="single"/>
        </w:rPr>
      </w:pPr>
      <w:r>
        <w:rPr>
          <w:rFonts w:ascii="Times New Roman;serif" w:hAnsi="Times New Roman;serif"/>
          <w:b/>
          <w:color w:val="000000"/>
          <w:sz w:val="20"/>
          <w:u w:val="single"/>
        </w:rPr>
        <w:t>NOTE 14. ACCUMULATED OTHER COMPREHENSIVE LOSS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changes in AOCL, by component, for the six months ended June 30, 2026 and 2025, after tax and minority interest.</w:t>
      </w:r>
    </w:p>
    <w:tbl>
      <w:tblPr>
        <w:tblW w:w="10205" w:type="dxa"/>
        <w:jc w:val="left"/>
        <w:tblInd w:w="0" w:type="dxa"/>
        <w:tblLayout w:type="fixed"/>
        <w:tblCellMar>
          <w:top w:w="28" w:type="dxa"/>
          <w:left w:w="28" w:type="dxa"/>
          <w:bottom w:w="28" w:type="dxa"/>
          <w:right w:w="28" w:type="dxa"/>
        </w:tblCellMar>
      </w:tblPr>
      <w:tblGrid>
        <w:gridCol w:w="1601"/>
        <w:gridCol w:w="1094"/>
        <w:gridCol w:w="1104"/>
        <w:gridCol w:w="211"/>
        <w:gridCol w:w="660"/>
        <w:gridCol w:w="109"/>
        <w:gridCol w:w="109"/>
        <w:gridCol w:w="109"/>
        <w:gridCol w:w="109"/>
        <w:gridCol w:w="711"/>
        <w:gridCol w:w="913"/>
        <w:gridCol w:w="368"/>
        <w:gridCol w:w="109"/>
        <w:gridCol w:w="109"/>
        <w:gridCol w:w="109"/>
        <w:gridCol w:w="243"/>
        <w:gridCol w:w="727"/>
        <w:gridCol w:w="126"/>
        <w:gridCol w:w="109"/>
        <w:gridCol w:w="109"/>
        <w:gridCol w:w="109"/>
        <w:gridCol w:w="109"/>
        <w:gridCol w:w="109"/>
        <w:gridCol w:w="211"/>
        <w:gridCol w:w="660"/>
        <w:gridCol w:w="109"/>
        <w:gridCol w:w="159"/>
      </w:tblGrid>
      <w:tr>
        <w:trPr/>
        <w:tc>
          <w:tcPr>
            <w:tcW w:w="1601"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 Income (Loss)</w:t>
            </w:r>
          </w:p>
        </w:tc>
        <w:tc>
          <w:tcPr>
            <w:tcW w:w="9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Foreign</w:t>
              <w:br/>
              <w:t>Currency</w:t>
              <w:br/>
              <w:t>Translation</w:t>
              <w:br/>
              <w:t>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Unrealized Gains (Losses) from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Unrecognized</w:t>
              <w:br/>
              <w:t>Net Actuarial</w:t>
              <w:br/>
              <w:t>Losses and</w:t>
              <w:br/>
              <w:t>Prior Service</w:t>
              <w:br/>
              <w:t>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159" w:type="dxa"/>
            <w:tcBorders/>
            <w:vAlign w:val="center"/>
          </w:tcPr>
          <w:p>
            <w:pPr>
              <w:pStyle w:val="TableContents"/>
              <w:bidi w:val="0"/>
              <w:spacing w:before="0" w:after="283"/>
              <w:jc w:val="left"/>
              <w:rPr>
                <w:sz w:val="4"/>
                <w:szCs w:val="4"/>
              </w:rPr>
            </w:pPr>
            <w:r>
              <w:rPr>
                <w:sz w:val="4"/>
                <w:szCs w:val="4"/>
              </w:rPr>
            </w:r>
          </w:p>
        </w:tc>
      </w:tr>
      <w:tr>
        <w:trPr/>
        <w:tc>
          <w:tcPr>
            <w:tcW w:w="37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at December 31, 2025</w:t>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60"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(1,662)</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13"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w:t>
            </w:r>
            <w:r>
              <w:rPr>
                <w:color w:val="000000"/>
              </w:rPr>
              <w:t> </w:t>
            </w:r>
          </w:p>
        </w:tc>
        <w:tc>
          <w:tcPr>
            <w:tcW w:w="368"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7"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(1,927)</w:t>
            </w:r>
          </w:p>
        </w:tc>
        <w:tc>
          <w:tcPr>
            <w:tcW w:w="12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60"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(3,588)</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before reclassifications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9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Amounts reclassified from accumulated other comprehensive income (loss)</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at June 30, 2026</w:t>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60"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(1,656)</w:t>
            </w:r>
          </w:p>
        </w:tc>
        <w:tc>
          <w:tcPr>
            <w:tcW w:w="10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13"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w:t>
            </w:r>
            <w:r>
              <w:rPr>
                <w:color w:val="000000"/>
              </w:rPr>
              <w:t> </w:t>
            </w:r>
          </w:p>
        </w:tc>
        <w:tc>
          <w:tcPr>
            <w:tcW w:w="368"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7"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(1,879)</w:t>
            </w:r>
          </w:p>
        </w:tc>
        <w:tc>
          <w:tcPr>
            <w:tcW w:w="12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60"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(3,534)</w:t>
            </w:r>
          </w:p>
        </w:tc>
        <w:tc>
          <w:tcPr>
            <w:tcW w:w="10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601"/>
        <w:gridCol w:w="1094"/>
        <w:gridCol w:w="1104"/>
        <w:gridCol w:w="211"/>
        <w:gridCol w:w="660"/>
        <w:gridCol w:w="109"/>
        <w:gridCol w:w="109"/>
        <w:gridCol w:w="109"/>
        <w:gridCol w:w="109"/>
        <w:gridCol w:w="711"/>
        <w:gridCol w:w="913"/>
        <w:gridCol w:w="368"/>
        <w:gridCol w:w="109"/>
        <w:gridCol w:w="109"/>
        <w:gridCol w:w="109"/>
        <w:gridCol w:w="243"/>
        <w:gridCol w:w="727"/>
        <w:gridCol w:w="126"/>
        <w:gridCol w:w="109"/>
        <w:gridCol w:w="109"/>
        <w:gridCol w:w="109"/>
        <w:gridCol w:w="109"/>
        <w:gridCol w:w="109"/>
        <w:gridCol w:w="211"/>
        <w:gridCol w:w="660"/>
        <w:gridCol w:w="109"/>
        <w:gridCol w:w="159"/>
      </w:tblGrid>
      <w:tr>
        <w:trPr/>
        <w:tc>
          <w:tcPr>
            <w:tcW w:w="1601"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 Income (Loss)</w:t>
            </w:r>
          </w:p>
        </w:tc>
        <w:tc>
          <w:tcPr>
            <w:tcW w:w="9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Foreign</w:t>
              <w:br/>
              <w:t>Currency</w:t>
              <w:br/>
              <w:t>Translation</w:t>
              <w:br/>
              <w:t>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Unrealized Gains (Losses) from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Unrecognized</w:t>
              <w:br/>
              <w:t>Net Actuarial</w:t>
              <w:br/>
              <w:t>Losses and</w:t>
              <w:br/>
              <w:t>Prior Service</w:t>
              <w:br/>
              <w:t>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159" w:type="dxa"/>
            <w:tcBorders/>
            <w:vAlign w:val="center"/>
          </w:tcPr>
          <w:p>
            <w:pPr>
              <w:pStyle w:val="TableContents"/>
              <w:bidi w:val="0"/>
              <w:spacing w:before="0" w:after="283"/>
              <w:jc w:val="left"/>
              <w:rPr>
                <w:sz w:val="4"/>
                <w:szCs w:val="4"/>
              </w:rPr>
            </w:pPr>
            <w:r>
              <w:rPr>
                <w:sz w:val="4"/>
                <w:szCs w:val="4"/>
              </w:rPr>
            </w:r>
          </w:p>
        </w:tc>
      </w:tr>
      <w:tr>
        <w:trPr/>
        <w:tc>
          <w:tcPr>
            <w:tcW w:w="379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at December 31, 2024</w:t>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60"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(1,705)</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13"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w:t>
            </w:r>
            <w:r>
              <w:rPr>
                <w:color w:val="000000"/>
              </w:rPr>
              <w:t> </w:t>
            </w:r>
          </w:p>
        </w:tc>
        <w:tc>
          <w:tcPr>
            <w:tcW w:w="368"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7"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(2,140)</w:t>
            </w:r>
          </w:p>
        </w:tc>
        <w:tc>
          <w:tcPr>
            <w:tcW w:w="126"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60"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(3,844)</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before reclassifications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99" w:type="dxa"/>
            <w:gridSpan w:val="3"/>
            <w:tcBorders/>
            <w:shd w:fill="CFF0FC"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Amounts reclassified from accumulated other comprehensive income (loss)</w:t>
            </w:r>
          </w:p>
        </w:tc>
        <w:tc>
          <w:tcPr>
            <w:tcW w:w="87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2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at June 30, 2025</w:t>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60"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(1,693)</w:t>
            </w:r>
          </w:p>
        </w:tc>
        <w:tc>
          <w:tcPr>
            <w:tcW w:w="10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13"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w:t>
            </w:r>
            <w:r>
              <w:rPr>
                <w:color w:val="000000"/>
              </w:rPr>
              <w:t> </w:t>
            </w:r>
          </w:p>
        </w:tc>
        <w:tc>
          <w:tcPr>
            <w:tcW w:w="368"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7"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(2,092)</w:t>
            </w:r>
          </w:p>
        </w:tc>
        <w:tc>
          <w:tcPr>
            <w:tcW w:w="12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60"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(3,784)</w:t>
            </w:r>
          </w:p>
        </w:tc>
        <w:tc>
          <w:tcPr>
            <w:tcW w:w="10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reclassifications out of AOCL:</w:t>
      </w:r>
    </w:p>
    <w:tbl>
      <w:tblPr>
        <w:tblW w:w="10205" w:type="dxa"/>
        <w:jc w:val="left"/>
        <w:tblInd w:w="0" w:type="dxa"/>
        <w:tblLayout w:type="fixed"/>
        <w:tblCellMar>
          <w:top w:w="28" w:type="dxa"/>
          <w:left w:w="28" w:type="dxa"/>
          <w:bottom w:w="28" w:type="dxa"/>
          <w:right w:w="28" w:type="dxa"/>
        </w:tblCellMar>
      </w:tblPr>
      <w:tblGrid>
        <w:gridCol w:w="1882"/>
        <w:gridCol w:w="1188"/>
        <w:gridCol w:w="1200"/>
        <w:gridCol w:w="211"/>
        <w:gridCol w:w="406"/>
        <w:gridCol w:w="109"/>
        <w:gridCol w:w="109"/>
        <w:gridCol w:w="109"/>
        <w:gridCol w:w="109"/>
        <w:gridCol w:w="211"/>
        <w:gridCol w:w="376"/>
        <w:gridCol w:w="109"/>
        <w:gridCol w:w="109"/>
        <w:gridCol w:w="109"/>
        <w:gridCol w:w="109"/>
        <w:gridCol w:w="211"/>
        <w:gridCol w:w="406"/>
        <w:gridCol w:w="109"/>
        <w:gridCol w:w="109"/>
        <w:gridCol w:w="109"/>
        <w:gridCol w:w="109"/>
        <w:gridCol w:w="211"/>
        <w:gridCol w:w="376"/>
        <w:gridCol w:w="109"/>
        <w:gridCol w:w="109"/>
        <w:gridCol w:w="109"/>
        <w:gridCol w:w="109"/>
        <w:gridCol w:w="541"/>
        <w:gridCol w:w="541"/>
        <w:gridCol w:w="543"/>
        <w:gridCol w:w="158"/>
      </w:tblGrid>
      <w:tr>
        <w:trPr/>
        <w:tc>
          <w:tcPr>
            <w:tcW w:w="1882"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bottom w:val="single" w:sz="4"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bottom w:val="single" w:sz="4"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2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 (Income) Expense</w:t>
            </w:r>
          </w:p>
        </w:tc>
        <w:tc>
          <w:tcPr>
            <w:tcW w:w="1749" w:type="dxa"/>
            <w:gridSpan w:val="9"/>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 Reclassified</w:t>
              <w:br/>
              <w:t>from AOCL</w:t>
            </w:r>
          </w:p>
        </w:tc>
        <w:tc>
          <w:tcPr>
            <w:tcW w:w="327" w:type="dxa"/>
            <w:gridSpan w:val="3"/>
            <w:tcBorders>
              <w:top w:val="single" w:sz="4"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9"/>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 Reclassified</w:t>
              <w:br/>
              <w:t>from AOCL</w:t>
            </w:r>
          </w:p>
        </w:tc>
        <w:tc>
          <w:tcPr>
            <w:tcW w:w="327" w:type="dxa"/>
            <w:gridSpan w:val="3"/>
            <w:tcBorders>
              <w:top w:val="single" w:sz="4"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Affected Line Item in the Consolidated</w:t>
              <w:br/>
              <w:t>Statements of Operations</w:t>
            </w:r>
          </w:p>
        </w:tc>
        <w:tc>
          <w:tcPr>
            <w:tcW w:w="158" w:type="dxa"/>
            <w:tcBorders/>
            <w:vAlign w:val="center"/>
          </w:tcPr>
          <w:p>
            <w:pPr>
              <w:pStyle w:val="TableContents"/>
              <w:bidi w:val="0"/>
              <w:spacing w:before="0" w:after="283"/>
              <w:jc w:val="left"/>
              <w:rPr>
                <w:sz w:val="4"/>
                <w:szCs w:val="4"/>
              </w:rPr>
            </w:pPr>
            <w:r>
              <w:rPr>
                <w:sz w:val="4"/>
                <w:szCs w:val="4"/>
              </w:rPr>
            </w:r>
          </w:p>
        </w:tc>
      </w:tr>
      <w:tr>
        <w:trPr/>
        <w:tc>
          <w:tcPr>
            <w:tcW w:w="42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Component of AOCL</w:t>
            </w:r>
          </w:p>
        </w:tc>
        <w:tc>
          <w:tcPr>
            <w:tcW w:w="1749" w:type="dxa"/>
            <w:gridSpan w:val="9"/>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9"/>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3"/>
            <w:vMerge w:val="continue"/>
            <w:tcBorders/>
            <w:tcMar>
              <w:top w:w="0" w:type="dxa"/>
              <w:left w:w="0" w:type="dxa"/>
              <w:bottom w:w="0" w:type="dxa"/>
              <w:right w:w="0" w:type="dxa"/>
            </w:tcMar>
            <w:vAlign w:val="center"/>
          </w:tcPr>
          <w:p>
            <w:pPr>
              <w:pStyle w:val="Normal"/>
              <w:bidi w:val="0"/>
              <w:jc w:val="left"/>
              <w:rPr/>
            </w:pPr>
            <w:r>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270"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 before tax</w:t>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(Gain) Loss on Asset Sales</w:t>
            </w:r>
          </w:p>
        </w:tc>
        <w:tc>
          <w:tcPr>
            <w:tcW w:w="158" w:type="dxa"/>
            <w:tcBorders/>
            <w:vAlign w:val="center"/>
          </w:tcPr>
          <w:p>
            <w:pPr>
              <w:pStyle w:val="TableContents"/>
              <w:bidi w:val="0"/>
              <w:spacing w:before="0" w:after="283"/>
              <w:jc w:val="left"/>
              <w:rPr>
                <w:sz w:val="4"/>
                <w:szCs w:val="4"/>
              </w:rPr>
            </w:pPr>
            <w:r>
              <w:rPr>
                <w:sz w:val="4"/>
                <w:szCs w:val="4"/>
              </w:rPr>
            </w:r>
          </w:p>
        </w:tc>
      </w:tr>
      <w:tr>
        <w:trPr/>
        <w:tc>
          <w:tcPr>
            <w:tcW w:w="42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Tax effect</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United States and Foreign Taxes</w:t>
            </w:r>
          </w:p>
        </w:tc>
        <w:tc>
          <w:tcPr>
            <w:tcW w:w="158" w:type="dxa"/>
            <w:tcBorders/>
            <w:vAlign w:val="center"/>
          </w:tcPr>
          <w:p>
            <w:pPr>
              <w:pStyle w:val="TableContents"/>
              <w:bidi w:val="0"/>
              <w:spacing w:before="0" w:after="283"/>
              <w:jc w:val="left"/>
              <w:rPr>
                <w:sz w:val="4"/>
                <w:szCs w:val="4"/>
              </w:rPr>
            </w:pPr>
            <w:r>
              <w:rPr>
                <w:sz w:val="4"/>
                <w:szCs w:val="4"/>
              </w:rPr>
            </w:r>
          </w:p>
        </w:tc>
      </w:tr>
      <w:tr>
        <w:trPr/>
        <w:tc>
          <w:tcPr>
            <w:tcW w:w="427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of tax</w:t>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Goodyear Net Income (Loss)</w:t>
            </w:r>
          </w:p>
        </w:tc>
        <w:tc>
          <w:tcPr>
            <w:tcW w:w="158" w:type="dxa"/>
            <w:tcBorders/>
            <w:vAlign w:val="center"/>
          </w:tcPr>
          <w:p>
            <w:pPr>
              <w:pStyle w:val="TableContents"/>
              <w:bidi w:val="0"/>
              <w:spacing w:before="0" w:after="283"/>
              <w:jc w:val="left"/>
              <w:rPr>
                <w:sz w:val="4"/>
                <w:szCs w:val="4"/>
              </w:rPr>
            </w:pPr>
            <w:r>
              <w:rPr>
                <w:sz w:val="4"/>
                <w:szCs w:val="4"/>
              </w:rPr>
            </w:r>
          </w:p>
        </w:tc>
      </w:tr>
      <w:tr>
        <w:trPr/>
        <w:tc>
          <w:tcPr>
            <w:tcW w:w="42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27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prior service cost and unrecognized gains and losses</w:t>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58" w:type="dxa"/>
            <w:tcBorders/>
            <w:vAlign w:val="center"/>
          </w:tcPr>
          <w:p>
            <w:pPr>
              <w:pStyle w:val="TableContents"/>
              <w:bidi w:val="0"/>
              <w:spacing w:before="0" w:after="283"/>
              <w:jc w:val="left"/>
              <w:rPr>
                <w:sz w:val="4"/>
                <w:szCs w:val="4"/>
              </w:rPr>
            </w:pPr>
            <w:r>
              <w:rPr>
                <w:sz w:val="4"/>
                <w:szCs w:val="4"/>
              </w:rPr>
            </w:r>
          </w:p>
        </w:tc>
      </w:tr>
      <w:tr>
        <w:trPr/>
        <w:tc>
          <w:tcPr>
            <w:tcW w:w="42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Immediate recognition of prior service cost and unrecognized gains and losses due to curtailments, settlements and divestitures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58" w:type="dxa"/>
            <w:tcBorders/>
            <w:vAlign w:val="center"/>
          </w:tcPr>
          <w:p>
            <w:pPr>
              <w:pStyle w:val="TableContents"/>
              <w:bidi w:val="0"/>
              <w:spacing w:before="0" w:after="283"/>
              <w:jc w:val="left"/>
              <w:rPr>
                <w:sz w:val="4"/>
                <w:szCs w:val="4"/>
              </w:rPr>
            </w:pPr>
            <w:r>
              <w:rPr>
                <w:sz w:val="4"/>
                <w:szCs w:val="4"/>
              </w:rPr>
            </w:r>
          </w:p>
        </w:tc>
      </w:tr>
      <w:tr>
        <w:trPr/>
        <w:tc>
          <w:tcPr>
            <w:tcW w:w="427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Unrecognized net actuarial losses and </w:t>
              <w:br/>
              <w:t>prior service costs, before tax</w:t>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2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Tax effect</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and Foreign Taxes</w:t>
            </w:r>
          </w:p>
        </w:tc>
        <w:tc>
          <w:tcPr>
            <w:tcW w:w="158" w:type="dxa"/>
            <w:tcBorders/>
            <w:vAlign w:val="center"/>
          </w:tcPr>
          <w:p>
            <w:pPr>
              <w:pStyle w:val="TableContents"/>
              <w:bidi w:val="0"/>
              <w:spacing w:before="0" w:after="283"/>
              <w:jc w:val="left"/>
              <w:rPr>
                <w:sz w:val="4"/>
                <w:szCs w:val="4"/>
              </w:rPr>
            </w:pPr>
            <w:r>
              <w:rPr>
                <w:sz w:val="4"/>
                <w:szCs w:val="4"/>
              </w:rPr>
            </w:r>
          </w:p>
        </w:tc>
      </w:tr>
      <w:tr>
        <w:trPr/>
        <w:tc>
          <w:tcPr>
            <w:tcW w:w="427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5"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27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of tax</w:t>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Goodyear Net Income (Loss)</w:t>
            </w:r>
          </w:p>
        </w:tc>
        <w:tc>
          <w:tcPr>
            <w:tcW w:w="158" w:type="dxa"/>
            <w:tcBorders/>
            <w:vAlign w:val="center"/>
          </w:tcPr>
          <w:p>
            <w:pPr>
              <w:pStyle w:val="TableContents"/>
              <w:bidi w:val="0"/>
              <w:spacing w:before="0" w:after="283"/>
              <w:jc w:val="left"/>
              <w:rPr>
                <w:sz w:val="4"/>
                <w:szCs w:val="4"/>
              </w:rPr>
            </w:pPr>
            <w:r>
              <w:rPr>
                <w:sz w:val="4"/>
                <w:szCs w:val="4"/>
              </w:rPr>
            </w:r>
          </w:p>
        </w:tc>
      </w:tr>
      <w:tr>
        <w:trPr/>
        <w:tc>
          <w:tcPr>
            <w:tcW w:w="42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27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5"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27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5"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27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5"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27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reclassifications</w:t>
            </w:r>
          </w:p>
        </w:tc>
        <w:tc>
          <w:tcPr>
            <w:tcW w:w="21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06"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23</w:t>
            </w:r>
            <w:r>
              <w:rPr>
                <w:color w:val="000000"/>
              </w:rPr>
              <w:t> </w:t>
            </w:r>
          </w:p>
        </w:tc>
        <w:tc>
          <w:tcPr>
            <w:tcW w:w="109"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76"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17</w:t>
            </w:r>
            <w:r>
              <w:rPr>
                <w:color w:val="000000"/>
              </w:rPr>
              <w:t> </w:t>
            </w:r>
          </w:p>
        </w:tc>
        <w:tc>
          <w:tcPr>
            <w:tcW w:w="109"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FFFFFF"/>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06"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46</w:t>
            </w:r>
            <w:r>
              <w:rPr>
                <w:color w:val="000000"/>
              </w:rPr>
              <w:t> </w:t>
            </w:r>
          </w:p>
        </w:tc>
        <w:tc>
          <w:tcPr>
            <w:tcW w:w="109"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76"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48</w:t>
            </w:r>
            <w:r>
              <w:rPr>
                <w:color w:val="000000"/>
              </w:rPr>
              <w:t> </w:t>
            </w:r>
          </w:p>
        </w:tc>
        <w:tc>
          <w:tcPr>
            <w:tcW w:w="109"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FFFFFF"/>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Goodyear Net Income (Loss)</w:t>
            </w:r>
          </w:p>
        </w:tc>
        <w:tc>
          <w:tcPr>
            <w:tcW w:w="158"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299085"/>
                <wp:effectExtent l="0" t="0" r="0" b="0"/>
                <wp:wrapNone/>
                <wp:docPr id="31" name="Frame31"/>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240" w:after="283"/>
        <w:jc w:val="left"/>
        <w:rPr/>
      </w:pPr>
      <w:hyperlink w:anchor="ic6c494b4098947579b1e17aeda6e5d7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details of comprehensive income (loss) attributable to minority shareholders:</w:t>
      </w:r>
    </w:p>
    <w:tbl>
      <w:tblPr>
        <w:tblW w:w="9844" w:type="dxa"/>
        <w:jc w:val="left"/>
        <w:tblInd w:w="0" w:type="dxa"/>
        <w:tblLayout w:type="fixed"/>
        <w:tblCellMar>
          <w:top w:w="28" w:type="dxa"/>
          <w:left w:w="28" w:type="dxa"/>
          <w:bottom w:w="28" w:type="dxa"/>
          <w:right w:w="28" w:type="dxa"/>
        </w:tblCellMar>
      </w:tblPr>
      <w:tblGrid>
        <w:gridCol w:w="2146"/>
        <w:gridCol w:w="1887"/>
        <w:gridCol w:w="1907"/>
        <w:gridCol w:w="211"/>
        <w:gridCol w:w="331"/>
        <w:gridCol w:w="109"/>
        <w:gridCol w:w="109"/>
        <w:gridCol w:w="109"/>
        <w:gridCol w:w="109"/>
        <w:gridCol w:w="211"/>
        <w:gridCol w:w="376"/>
        <w:gridCol w:w="109"/>
        <w:gridCol w:w="109"/>
        <w:gridCol w:w="109"/>
        <w:gridCol w:w="109"/>
        <w:gridCol w:w="211"/>
        <w:gridCol w:w="406"/>
        <w:gridCol w:w="109"/>
        <w:gridCol w:w="109"/>
        <w:gridCol w:w="109"/>
        <w:gridCol w:w="109"/>
        <w:gridCol w:w="211"/>
        <w:gridCol w:w="376"/>
        <w:gridCol w:w="109"/>
        <w:gridCol w:w="154"/>
      </w:tblGrid>
      <w:tr>
        <w:trPr/>
        <w:tc>
          <w:tcPr>
            <w:tcW w:w="2146" w:type="dxa"/>
            <w:tcBorders/>
            <w:vAlign w:val="center"/>
          </w:tcPr>
          <w:p>
            <w:pPr>
              <w:pStyle w:val="TableContents"/>
              <w:bidi w:val="0"/>
              <w:spacing w:before="0" w:after="283"/>
              <w:jc w:val="left"/>
              <w:rPr>
                <w:sz w:val="4"/>
                <w:szCs w:val="4"/>
              </w:rPr>
            </w:pPr>
            <w:r>
              <w:rPr>
                <w:sz w:val="4"/>
                <w:szCs w:val="4"/>
              </w:rPr>
            </w:r>
          </w:p>
        </w:tc>
        <w:tc>
          <w:tcPr>
            <w:tcW w:w="1887" w:type="dxa"/>
            <w:tcBorders/>
            <w:vAlign w:val="center"/>
          </w:tcPr>
          <w:p>
            <w:pPr>
              <w:pStyle w:val="TableContents"/>
              <w:bidi w:val="0"/>
              <w:spacing w:before="0" w:after="283"/>
              <w:jc w:val="left"/>
              <w:rPr>
                <w:sz w:val="4"/>
                <w:szCs w:val="4"/>
              </w:rPr>
            </w:pPr>
            <w:r>
              <w:rPr>
                <w:sz w:val="4"/>
                <w:szCs w:val="4"/>
              </w:rPr>
            </w:r>
          </w:p>
        </w:tc>
        <w:tc>
          <w:tcPr>
            <w:tcW w:w="19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6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940" w:type="dxa"/>
            <w:gridSpan w:val="3"/>
            <w:tcBorders/>
            <w:shd w:fill="CFF0FC"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Minority Shareholders</w:t>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3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4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w:t>
            </w:r>
          </w:p>
        </w:tc>
        <w:tc>
          <w:tcPr>
            <w:tcW w:w="54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40"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Other Comprehensive Income (Loss)</w:t>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3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7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w:t>
            </w:r>
            <w:r>
              <w:rPr>
                <w:color w:val="000000"/>
              </w:rPr>
              <w:t>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0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(4)</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7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8</w:t>
            </w:r>
            <w:r>
              <w:rPr>
                <w:color w:val="000000"/>
              </w:rPr>
              <w:t>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40" w:type="dxa"/>
            <w:gridSpan w:val="3"/>
            <w:tcBorders/>
            <w:shd w:fill="CFF0FC"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Comprehensive Income (Loss) Attributable to Minority Shareholders</w:t>
            </w:r>
          </w:p>
        </w:tc>
        <w:tc>
          <w:tcPr>
            <w:tcW w:w="211"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31"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(4)</w:t>
            </w:r>
          </w:p>
        </w:tc>
        <w:tc>
          <w:tcPr>
            <w:tcW w:w="109"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76"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32</w:t>
            </w:r>
            <w:r>
              <w:rPr>
                <w:color w:val="000000"/>
              </w:rPr>
              <w:t> </w:t>
            </w:r>
          </w:p>
        </w:tc>
        <w:tc>
          <w:tcPr>
            <w:tcW w:w="109"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FFFFFF"/>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06"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(4)</w:t>
            </w:r>
          </w:p>
        </w:tc>
        <w:tc>
          <w:tcPr>
            <w:tcW w:w="109"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bottom w:val="double" w:sz="8" w:space="0" w:color="FFFFFF"/>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76"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38</w:t>
            </w:r>
            <w:r>
              <w:rPr>
                <w:color w:val="000000"/>
              </w:rPr>
              <w:t> </w:t>
            </w:r>
          </w:p>
        </w:tc>
        <w:tc>
          <w:tcPr>
            <w:tcW w:w="109" w:type="dxa"/>
            <w:tcBorders>
              <w:top w:val="single" w:sz="4"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u w:val="single"/>
        </w:rPr>
      </w:pPr>
      <w:r>
        <w:rPr>
          <w:rFonts w:ascii="Times New Roman;serif" w:hAnsi="Times New Roman;serif"/>
          <w:b/>
          <w:color w:val="000000"/>
          <w:sz w:val="20"/>
          <w:u w:val="single"/>
        </w:rPr>
        <w:t>NOTE 15. SUBSEQUENT EVENT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July 16, 2026, we reached an agreement with the United Steelworkers and approved a plan to permanently close our Fayetteville, North Carolina tire manufacturing facility to reduce our production capacity and production cost per tire in Americas. The plan includes approximately 1,750 job reductions. We expect to substantially complete this rationalization plan by the end of 2027 and estimate the total pre-tax charges associated with this action to be between $535 million and $565 million, of which $190 million to $210 million are expected to be cash charges primarily for associate-related and other exit costs, and the remaining costs are expected to be non-cash charges primarily for accelerated depreciation and other asset-related charges ($290 million to $310 million) and pension special termination benefits ($40 million to $50 million). We expect to record approximately $205 million to $225 million of pre-tax charges in the third quarter of 2026 and approximately $65 million to $85 million of pre-tax charges during the remainder of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299085"/>
                <wp:effectExtent l="0" t="0" r="0" b="0"/>
                <wp:wrapNone/>
                <wp:docPr id="32" name="Frame32"/>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240" w:after="283"/>
        <w:jc w:val="left"/>
        <w:rPr/>
      </w:pPr>
      <w:hyperlink w:anchor="ic6c494b4098947579b1e17aeda6e5d7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All per share amounts are diluted and refer to Goodyear net income (loss).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u w:val="single"/>
        </w:rPr>
      </w:pPr>
      <w:r>
        <w:rPr>
          <w:rFonts w:ascii="Times New Roman;serif" w:hAnsi="Times New Roman;serif"/>
          <w:b/>
          <w:color w:val="000000"/>
          <w:sz w:val="20"/>
          <w:u w:val="single"/>
        </w:rPr>
        <w:t>OVERVIEW</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Goodyear Tire &amp; Rubber Company (the "Company," "Goodyear," "we," "us" or "our") is one of the world’s leading manufacturers of tires, with one of the most recognizable brand names in the world and operations in most regions of the world. We have a broad global footprint with 48 manufacturing facilities in 19 countries, including the United States. We operate our business through three operating segments representing our regional tire businesses: Americas; Europe, Middle East and Africa (“EMEA”); and Asia Pacific.</w:t>
      </w:r>
    </w:p>
    <w:p>
      <w:pPr>
        <w:pStyle w:val="TextBody"/>
        <w:bidi w:val="0"/>
        <w:spacing w:lineRule="auto" w:line="288" w:before="12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Results of Operations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results for the second quarter of 2026 include a 4.0% decrease in tire unit shipments compared to 2025 driven by planned rationalization of lower-tier product offerings, weakness in the replacement industry and increased competitiveness. In the second quarter of 2026, we also experienced approximately $53 million of inflationary cost pressures.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Net sales in the second quarter of 2026 were $4,250 million, compared to $4,465 million in the second quarter of 2025. Net sales decreased in 2026 primarily due to lower tire volume and the impacts of our divestitures. These decreases were partially offset by favorable price and product mix and the positive impact of changes in foreign exchange rates.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the second quarter of 2026, Goodyear net loss was $204 million, or $0.71 per share, compared to Goodyear net income of $254 million, or $0.87 per share, in the second quarter of 2025. The change in Goodyear net income (loss) was primarily due to a gain on the sale of the Dunlop brand in 2025, lower segment operating income and higher U.S. and Foreign tax expense, partially offset by lower rationalization charges.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Total segment operating income for the second quarter of 2026 was $36 million, compared to $159 million in the second quarter of 2025. The $123 million decrease was primarily due to increased conversion costs of $165 million, driven by the effect of lower tire production on fixed cost absorption and inflation, the impact of our divestitures, including $32 million related to the sale of the chemical business and $17 million related to the sale of the Dunlop brand, excluding the favorable impact of the Dunlop offtake supply agreement of $5 million, lower tire volume of $34 million, higher tariff costs of $32 million and higher Selling, Administrative and General Expense ("SAG") of $28 million. These decreases were partially offset by benefits from our Goodyear Forward transformation plan ("Goodyear Forward") of $95 million and lower raw material costs of $91 million. Refer to "Results of Operations — Segment Information" for additional information.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Net sales in the first six months of 2026 were $8,131 million, compared to $8,718 million in the first six months of 2025. Net sales decreased in 2026 primarily due to lower tire volume and the impacts of our divestitures. These decreases were partially offset by the positive impact of changes in foreign exchange rates and favorable price and product mix.</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the first six months of 2026, Goodyear net loss was $453 million, or $1.57 per share, compared to Goodyear net income of $369 million, or $1.27 per share, in the first six months of 2025. The change in Goodyear net income (loss) was primarily due to a gain on the sale of the Dunlop brand and off-the-road ("OTR") tire business in 2025, lower segment operating income and higher U.S. and Foreign tax expense, partially offset by lower interest expense.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Total segment operating income for the first six months of 2026 was $131 million, compared to $354 million in the first six months of 2025. The $223 million decrease was primarily due to increased conversion costs of $320 million, driven by the effect of lower tire production on fixed cost absorption and inflation, lower tire volume of $121 million, the impact of our divestitures, including $62 million related to the sale of the chemical business and $30 million related to the sale of the Dunlop brand, excluding the favorable impact of the Dunlop offtake supply agreement of $11 million, higher SAG of $45 million and higher tariff costs of $90 million, offset by an estimated tariff refund of $46 million. These decreases were partially offset by benefits from the Goodyear Forward plan of $202 million and lower raw material costs of $179 million. Refer to "Results of Operations —Segment Information" for additional information.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July 16, 2026, we reached an agreement with the United Steelworkers and approved a plan to permanently close our Fayetteville, North Carolina tire manufacturing facility to reduce our production capacity and production cost per tire in Americas. The plan includes approximately 1,750 job reductions. We expect to substantially complete this rationalization plan by the end of 2027 and estimate the total pre-tax charges associated with this action to be between $535 million and $565 million, of which $190 million to $210 million are expected to be cash charges primarily for associate-related and other exit costs, and the remaining costs are expected to be non-cash charges primarily for accelerated depreciation and other asset-related charges ($290 million to $310 million) and pension special termination benefits ($40 million to $50 million). We expect to record approximately $205 million to $225 million of pre-tax charges in the third quarter of 2026 and approximately $65 million to $85 million of pre-tax charges during the remainder of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299085"/>
                <wp:effectExtent l="0" t="0" r="0" b="0"/>
                <wp:wrapNone/>
                <wp:docPr id="33" name="Frame33"/>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240" w:after="283"/>
        <w:jc w:val="left"/>
        <w:rPr/>
      </w:pPr>
      <w:hyperlink w:anchor="ic6c494b4098947579b1e17aeda6e5d7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July 30, 2026, we reached a tentative agreement with the United Steelworkers ("USW") on a new master labor contract that will remain in effect through April 28, 2029, covering nearly 2,400 workers at three plants in the United States. The tentative agreement is subject to a ratification vote by USW members at the plants covered by the contract.</w:t>
      </w:r>
    </w:p>
    <w:p>
      <w:pPr>
        <w:pStyle w:val="TextBody"/>
        <w:bidi w:val="0"/>
        <w:spacing w:lineRule="auto" w:line="288" w:before="12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Liquidity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June 4, 2026, we issued $1,050 million in aggregate principal amount of 8.875% senior notes due 2032. We intend to use the net proceeds from this offering to repay, redeem or repurchase our 4.875% senior notes due 2027 and our 7.625% senior notes due 2027 at or prior to their respective maturity. Pending such repayment, redemption or repurchase, we temporarily applied the proceeds to repay outstanding balances under certain revolving credit facilities.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At June 30, 2026, we had $861 million in cash and cash equivalents as well as $3,891 million of unused availability under our various credit agreements, compared to $801 million and $4,421 million, respectively, at December 31, 2025. For the six months ended June 30, 2026, net cash used for operating activities was $620 million, reflecting our cash used for working capital of $620 million. Net cash used for investing activities was $339 million, primarily representing capital expenditures of $342 million. Net cash provided by financing activities was $1,020 million, primarily due to net borrowings of $1,029 million, including the issuance of $1,050 million of new senior notes. Refer to "Liquidity and Capital Resources" for additional information. </w:t>
      </w:r>
    </w:p>
    <w:p>
      <w:pPr>
        <w:pStyle w:val="TextBody"/>
        <w:bidi w:val="0"/>
        <w:spacing w:lineRule="auto" w:line="288" w:before="12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Outlook</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Despite macroeconomic, regulatory and geopolitical uncertainties, we expect global unit volumes in the third quarter of 2026 to be roughly flat versus the third quarter of 2025 due to new assortment wins, stabilization of the consumer replacement market in Americas and normalization of channel inventories. Given our production levels in the second quarter of 2026, we expect unabsorbed overhead to be approximately $70 million in the third quarter of 2026.</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expect our Goodyear Forward plan to deliver approximately $70 million of incremental savings in the third quarter of 2026 compared to the third quarter of 2025.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Based on current spot prices, we expect raw material costs to be unfavorable by approximately $20 million in the third quarter of 2026 compared to the third quarter of 2025. Natural and synthetic rubber prices and other commodity prices historically have been volatile, and our raw material costs could change based on future price fluctuations and changes in foreign exchange rates. We continue to focus on price and product mix, to substitute lower cost materials where possible, to work to identify additional substitution opportunities, and to reduce the amount of material required in each tire to minimize the impact of higher raw material costs.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expect inflation and other costs will increase approximately $95 million in the third quarter of 2026 compared to the third quarter of 2025.</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Refer also to “Liquidity and Capital Resources” for commentary regarding our outlook on 2026 cash flow; “Forward-Looking Information – Safe Harbor Statement” for a discussion of our use of forward-looking statements; and “Item 1A. Risk Factors” in our 2025 Form 10-K for a discussion of the risk factors that may impact our business, results of operations, financial condition or liquidity.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u w:val="single"/>
        </w:rPr>
      </w:pPr>
      <w:r>
        <w:rPr>
          <w:rFonts w:ascii="Times New Roman;serif" w:hAnsi="Times New Roman;serif"/>
          <w:b/>
          <w:color w:val="000000"/>
          <w:sz w:val="20"/>
          <w:u w:val="single"/>
        </w:rPr>
        <w:t>RESULTS OF OPERATIONS</w:t>
      </w:r>
    </w:p>
    <w:p>
      <w:pPr>
        <w:pStyle w:val="TextBody"/>
        <w:bidi w:val="0"/>
        <w:spacing w:lineRule="auto" w:line="288" w:before="0" w:after="0"/>
        <w:jc w:val="both"/>
        <w:rPr>
          <w:rFonts w:ascii="Times New Roman;serif" w:hAnsi="Times New Roman;serif"/>
          <w:b/>
          <w:color w:val="000000"/>
          <w:sz w:val="20"/>
          <w:u w:val="single"/>
        </w:rPr>
      </w:pPr>
      <w:r>
        <w:rPr>
          <w:rFonts w:ascii="Times New Roman;serif" w:hAnsi="Times New Roman;serif"/>
          <w:b/>
          <w:color w:val="000000"/>
          <w:sz w:val="20"/>
          <w:u w:val="single"/>
        </w:rPr>
        <w:t>CONSOLIDATED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Three Months Ended June 30, 2026 and 2025</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Net sales in the second quarter of 2026 were $4,250 million, decreasing $215 million, or 4.8%, from $4,465 million in the second quarter of 2025. Goodyear net loss was $204 million, or $0.71 per share, in the second quarter of 2026, compared to Goodyear net income of $254 million, or $0.87 per share, in the second quarter of 2025.</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Net sales decreased in the second quarter of 2026 primarily due to lower tire volume of $177 million and the impacts of our divestitures, including $119 million related to the sale of the chemical business and $87 million related to the sale of the Dunlop brand, excluding the favorable impact of the Dunlop offtake supply agreement of $53 million. These decreases were partially offset by favorable price and product mix of $70 million and the positive impact of changes in foreign exchange rates of $57 million.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Worldwide tire unit sales in the second quarter of 2026 were 36.5 million units, decreasing 1.4 million units, or 4.0%, from 37.9 million units in the second quarter of 2025 due to planned rationalization of lower-tier product offerings, weakness in the replacement industry and increased competitiveness. Replacement tire volume decreased globally by 2.3 million units, or 8.6%. OE tire volume increased by 0.9 million units, or 7.0%, driven by Americas and EMEA.</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Cost of Goods Sold ("CGS") in the second quarter of 2026 was $3,569 million, decreasing $136 million, or 3.7%, from $3,705 million in the second quarter of 2025. CGS decreased primarily due to lower tire volume of $143 million, impacts related to divestitures, including $82 million related to the sale of the chemical business and $70 million related to the sale of the Dunlop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299085"/>
                <wp:effectExtent l="0" t="0" r="0" b="0"/>
                <wp:wrapNone/>
                <wp:docPr id="34" name="Frame34"/>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240" w:after="283"/>
        <w:jc w:val="left"/>
        <w:rPr/>
      </w:pPr>
      <w:hyperlink w:anchor="ic6c494b4098947579b1e17aeda6e5d7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brand, excluding increased offtake supply agreement costs of $48 million, lower raw material costs of $91 million, savings related to the Goodyear Forward plan of $81 million, and a decrease in asset write-offs, accelerated depreciation and accelerated lease charges of $40 million. These decreases were partially offset by higher conversion costs of $165 million, an increase in other costs of $48 million, primarily related to inflation, foreign currency translation of $43 million, unfavorable product mix of $38 million, higher tariff costs of $32 million and the negative impacts of a national strike in Colombia of $7 million ($7 million after-tax and minority).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CGS in the second quarter of 2026 and 2025 included pension expense of $3 million and $4 million, respectively. CGS was 84.0% of sales in the second quarter of 2026, compared to 83.0% in the second quarter of 2025.</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SAG in the second quarter of 2026 was $703 million, increasing $11 million, or 1.6%, from $692 million in the second quarter of 2025. SAG increased primarily due to increased advertising expenses of $13 million, foreign currency translation of $10 million, and an increase in other costs of $10 million, primarily related to inflation. These increases were partially offset by savings related to the Goodyear Forward plan of $14 million and impacts related to divestitures, including $5 million related to the sale of the chemical business. SAG in the second quarter of 2025 also included costs related to the Goodyear Forward plan of $3 million ($2 million after-tax and minority) and asset write-offs, accelerated depreciation and accelerated lease charges of $1 million ($1 million after-tax and minority).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SAG in the second quarter of 2026 and 2025 included pension expense of $2 million for each period. SAG was 16.5% of sales in the second quarter of 2026, compared to 15.5% in the second quarter of 2025.</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recorded net rationalization charges of $29 million ($29 million after-tax and minority) in the second quarter of 2026 and $59 million ($55 million after-tax and minority) in the second quarter of 2025. Net rationalization charges in the second quarter of 2026 primarily related to a plan to reduce headcount globally and the closures of our Fulda and Fürstenwalde, Germany tire manufacturing facilities ("Fulda and Fürstenwalde"). Net rationalization charges in the second quarter of 2025 primarily related to the plan to close our manufacturing facility in Kariega, South Africa ("Kariega") in EMEA, the elimination of commercial tire production at our Danville, Virginia tire manufacturing facility ("Danville"), the closures of Fulda and Fürstenwalde, and the plan to reduce SAG headcount in Americas and Corporate. For further information, refer to Note to the Consolidated Financial Statements No. 3, Costs Associated with Rationalization Programs.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CGS and SAG in the second quarter of 2025 included $41 million ($37 million after-tax and minority) of asset write-offs, accelerated depreciation and accelerated lease charges, primarily related to the closures of Fulda and Fürstenwalde and the elimination of commercial tire production at Danville.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Interest expense in the second quarter of 2026 was $105 million, decreasing $7 million, or 6.3%, from $112 million in the second quarter of 2025. The average interest rate was 5.93% in the second quarter of 2026 compared to 5.65% in the second quarter of 2025. The average debt balance was $7,088 million in the second quarter of 2026 compared to $7,936 million in the second quarter of 2025.</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second quarter of 2026 included net gains on asset sales of $17 million ($14 million after-tax and minority), compared to net gains on asset sales of $439 ($393 million after-tax and minority) in the second quarter of 2025, primarily due to the gain of $385 million ($367 million after-tax and minority) on the sale of the Dunlop brand and other asset sales of $54 million ($26 million after-tax and minority).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Other (Income) Expense in the second quarter of 2026 was $22 million of expense, compared to $31 million of expense in the second quarter of 2025. The decrease in Other (Income) Expense was primarily due to an increase in royalty and other income of $4 million, a decrease in non-service related pension and other postretirement benefits cost of $4 million, a decrease in net foreign currency exchange losses of $3 million and a decrease in financing fees and financial instruments expense of $2 million. These decreases were partially offset by an increase in general and product liability expense from discontinued products of $6 million. The second quarter of 2025 included transaction costs of $2 million ($1 million after-tax and minority), primarily related to the sale of the chemical business.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the second quarter of 2026, we recorded income tax expense of $46 million on a loss before income taxes of $161 million. Income tax expense for the three months ended June 30, 2026 included net discrete tax expense of $5 million ($5 million after minority interest). In the second quarter of 2025, we recorded income tax expense of $24 million on income before income taxes of $305 million. Income tax expense for the three months ended June 30, 2025 included a net discrete tax benefit of $4 million ($4 million after minority interest).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record taxes based on overall estimated annual effective tax rates. The difference between our effective tax rate and the U.S. statutory rate of 21% for the three months ended June 30, 2026 primarily relates to losses in the U.S. and foreign jurisdictions in which no tax benefits are recorded and the discrete item noted above. The difference between our effective tax rate and the U.S. statutory rate of 21% for the three months ended June 30, 2025 was favorably impacted by gains recognized as a result of the sale of the Dunlop brand, which included certain associated intellectual property and other intangible assets, in jurisdictions where no taxes are recorded, net of losses in foreign jurisdictions in which no tax benefits are recorded, and the discrete item noted above.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299085"/>
                <wp:effectExtent l="0" t="0" r="0" b="0"/>
                <wp:wrapNone/>
                <wp:docPr id="35" name="Frame35"/>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240" w:after="283"/>
        <w:jc w:val="left"/>
        <w:rPr/>
      </w:pPr>
      <w:hyperlink w:anchor="ic6c494b4098947579b1e17aeda6e5d7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For further information regarding income taxes and the realizability of our deferred tax assets, refer to Note to the Consolidated Financial Statements No. 5, Income Taxes.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There was $3 million of minority shareholders’ net loss in the second quarter of 2026, compared to $27 million of net income in the second quarter of 2025, primarily related to the sale of property in Asia Pacific.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Six Months Ended June 30, 2026 and 2025</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Net sales in the first six months of 2026 were $8,131 million, a decrease of $587 million, or 6.7%, from $8,718 million in the first six months of 2025. Goodyear net loss was $453 million, or $1.57 per share, in the first six months of 2026, compared to Goodyear net income of $369 million, or $1.27 per share, in the first six months of 2025.</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Net sales decreased in the first six months of 2026 primarily due to lower tire volume of $585 million and the impacts of our divestitures, including $244 million related to the sale of the chemical business and $181 million related to the sale of the Dunlop brand, excluding the favorable impact of the Dunlop offtake supply agreement of $95 million. These decreases were partially offset by the positive impact of changes in foreign exchange rates of $222 million and favorable price and product mix of $114 million.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Worldwide tire unit sales in the first six months of 2026 were 70.5 million units, decreasing 5.9 million units, or 7.8%, from 76.4 million units in the first six months of 2025 due to weakness in the replacement industry, increased competitiveness and planned rationalization of lower-tier product offerings. Replacement tire volume decreased globally by 7.1 million units, or 13.3%. OE tire volume increased by 1.2 million units, or 5.2%, driven by Americas and EMEA.</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CGS in the first six months of 2026 was $6,757 million, decreasing $461 million, or 6.4%, from $7,218 million in the first six months of 2025. CGS decreased primarily due to lower tire volume of $464 million, impacts related to divestitures, including $171 million related to the sale of the chemical business and $151 million related to the sale of the Dunlop brand, excluding increased offtake supply agreement costs of $84 million, lower raw material costs of $179 million, savings related to the Goodyear Forward plan of $176 million and a decrease in asset write-offs, accelerated depreciation and accelerated lease charges of $68 million. These decreases were partially offset by higher conversion costs of $320 million, foreign currency translation of $177 million, unfavorable product mix of $67 million, higher tariff costs of $90 million, offset by an estimated tariff refund of $46 million, a charge related to an expected settlement of a prior year tax matter in one of our foreign locations of $8 million ($8 million after-tax and minority) and the negative impacts of a national strike in Colombia of $7 million ($7 million after-tax and minority).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CGS in the first six months of 2026 and 2025 included pension expense of $6 million for each period. CGS was 83.1% of sales in the first six months of 2026, compared to 82.8% in the first six months of 2025.</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SAG in the first six months of 2026 was $1,371 million, increasing $29 million, or 2.2%, from $1,342 million in the first six months of 2025. SAG increased primarily due to foreign currency translation of $38 million, an increase in other costs of $30 million, primarily related to inflation, and higher advertising costs of $3 million. These increases were partially offset by savings related to the Goodyear Forward plan of $23 million, impacts related to divestitures, including $11 million related to the sale of the chemical business, and a decrease in asset write-offs, accelerated depreciation and accelerated lease charges of $3 million. SAG in the first six months of 2025 also included costs related to the Goodyear Forward plan of $5 million ($4 million after-tax and minority).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SAG in the first six months of 2026 and 2025 included pension expense of $4 million and $5 million, respectively. SAG was 16.9% of sales in the first six months of 2026, compared to 15.4% in the first six months of 2025.</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recorded net rationalization charges of $133 million ($124 million after-tax and minority) in the first six months of 2026 and $140 million ($119 million after-tax and minority) in the first six months of 2025. Net rationalization charges in the first six months of 2026 primarily related to a plan in EMEA to improve its cost structure, a plan to reduce headcount globally, the closure of the Tall Timbers mold plant in Findlay, Ohio ("Tall Timbers"), a global SAG plan and the closures of Fulda and Fürstenwalde. Net rationalization charges in the first six months of 2025 primarily related to the closure of Kariega, the elimination of commercial tire production at Danville, the closures of Fulda and Fürstenwalde, and the plan to reduce SAG headcount in Americas and Corporate. For further information, refer to Note to the Consolidated Financial Statements No. 3, Costs Associated with Rationalization Programs.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CGS and SAG in the first six months of 2026 included $16 million ($16 million after-tax and minority) of asset write-offs, accelerated depreciation and accelerated lease charges, primarily related to the closures of Fulda, Fürstenwalde and Tall Timbers. CGS and SAG in the first six months of 2025 included $87 million ($77 million after-tax and minority) of asset write offs, accelerated depreciation and accelerated lease charges, primarily related to Fulda, Fürstenwalde and Danville.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Interest expense in the first six months of 2026 was $200 million, decreasing $27 million, or 11.9%, from $227 million in the first six months of 2025. The average interest rate was 5.85% in the first six months of 2026 compared to 5.73% in the first six months of 2025. The average debt balance was $6,840 million in the first six months of 2026 compared to $7,923 million in the first six months of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299085"/>
                <wp:effectExtent l="0" t="0" r="0" b="0"/>
                <wp:wrapNone/>
                <wp:docPr id="36" name="Frame36"/>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240" w:after="283"/>
        <w:jc w:val="left"/>
        <w:rPr/>
      </w:pPr>
      <w:hyperlink w:anchor="ic6c494b4098947579b1e17aeda6e5d7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first six months of 2026 include net gains on asset and other sales of $20 million ($17 million after-tax and minority), compared to net gains on asset and other sales of $701 million ($630 million after-tax and minority) in the first six months of 2025, primarily due to the gain of $385 million ($367 million after-tax and minority) on the sale of Dunlop brand, the gain of $260 million ($236 million after-tax and minority) on the sale of the OTR tire business and other asset sales of $56 million ($27 million after-tax and minority).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Other (Income) Expense in the first six months of 2026 was $31 million of expense, compared to $56 million of expense in the first six months of 2025. The decrease in Other (Income) Expense was primarily due to an increase in royalty and other income of $14 million and a decrease in non-service related pension and other postretirement benefits cost of $11 million, including a pension settlement charge of $4 million ($3 million after-tax and minority) in the first six months of 2025. These decreases were partially offset by an increase in general and product liability expense from discontinued products of $5 million. The first six months of 2025 included transaction costs of $6 million ($4 million after-tax and minority), primarily related to the sale of the chemical business.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For the first six months of 2026, we recorded income tax expense of $112 million on a loss before income taxes of $341 million. Income tax expense for the six months ended June 30, 2026 included net discrete tax expense of $25 million ($25 million after minority interest), primarily related to an expected settlement of a prior year tax matter in one of our foreign locations. In the first six months of 2025, we recorded income tax expense of $37 million on income before income taxes of $436 million. Income tax expense for the six months ended June 30, 2025 included a net discrete tax benefit of $5 million ($5 million after minority interest).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record taxes based on overall estimated annual effective tax rates. The difference between our effective tax rate and the U.S. statutory rate of 21% for the six months ended June 30, 2026 primarily relates to losses in the U.S. and foreign jurisdictions in which no tax benefits are recorded and the discrete item noted above. The difference between our effective tax rate and the U.S. statutory rate of 21% for the six months ended June 30, 2025 was favorably impacted by gains recognized as a result of the sales of the OTR tire business and the Dunlop brand, which included certain associated intellectual property and other intangible assets, in jurisdictions where no taxes are recorded, net of losses in foreign jurisdictions in which no tax benefits are recorded, and the discrete item noted above.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At June 30, 2026 and December 31, 2025, we had approximately $1.6 billion and $1.4 billion, respectively, of U.S. federal, state and local net deferred tax assets and related valuation allowances totaling $1.6 billion and $1.4 billion, respectively. At June 30, 2026 and December 31, 2025, we also had foreign net deferred tax assets of approximately $1.6 billion and $1.5 billion, respectively, and related valuation allowances of approximately $1.3 billion. Our foreign valuation allowances include a $1.1 billion full valuation allowance on our net deferred tax assets in Luxembourg. Our losses in the U.S. and various foreign taxing jurisdictions in recent periods represented sufficient negative evidence to require us to maintain a full valuation allowance against certain of these net deferred tax assets. Each reporting period, we assess available positive and negative evidence and estimate if sufficient future taxable income will be generated to utilize these existing deferred tax assets. We do not believe that sufficient positive evidence required to release valuation allowances on our U.S. and foreign deferred tax assets will exist within the next twelve months.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Organisation for Economic Co-operation and Development ("OECD") has published the Pillar Two model rules which adopt a global corporate minimum tax of 15% for multinational enterprises with average revenue in excess of €750 million. Certain jurisdictions in which we operate enacted legislation consistent with one or more of the OECD Pillar Two model rules effective in 2024. The model rules include minimum domestic top-up taxes, income inclusion rules, and undertaxed profit rules all aimed to ensure that multinational corporations pay a minimum effective corporate tax rate of 15% in each jurisdiction in which they operate. We do not expect the Pillar Two model rules to materially impact our annual effective tax rate in 2026. However, we are continuing to evaluate the Pillar Two model rules and related developments, including the side-by-side safe harbor package for U.S.-based multinationals, and their potential impact on future periods.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For further information regarding income taxes and the realizability of our deferred tax assets, refer to Note to the Consolidated Financial Statements No. 5, Income Taxes.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Minority shareholders’ net income was zero in the first six months of 2026, compared to $30 million in the first six months of 2025, primarily related to the sale of property in Asia Pacific.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u w:val="single"/>
        </w:rPr>
      </w:pPr>
      <w:r>
        <w:rPr>
          <w:rFonts w:ascii="Times New Roman;serif" w:hAnsi="Times New Roman;serif"/>
          <w:b/>
          <w:color w:val="000000"/>
          <w:sz w:val="20"/>
          <w:u w:val="single"/>
        </w:rPr>
        <w:t>SEGMENT INFORMATION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Segment information reflects our strategic business units (“SBUs”), which are organized to meet customer requirements and global competition and are segmented on a regional basis.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Results of operations are measured based on net sales to unaffiliated customers and segment operating income. Each segment exports tires to other segments. The financial results of each segment exclude sales of tires exported to other segments, but include operating income derived from such transactions. Segment operating income is computed as follows: Net Sales less CGS (excluding asset write-off and accelerated depreciation charges) and SAG (including certain allocated corporate administrative expenses). Segment operating income also includes certain royalties and equity in earnings of most affiliates.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299085"/>
                <wp:effectExtent l="0" t="0" r="0" b="0"/>
                <wp:wrapNone/>
                <wp:docPr id="37" name="Frame37"/>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240" w:after="283"/>
        <w:jc w:val="left"/>
        <w:rPr/>
      </w:pPr>
      <w:hyperlink w:anchor="ic6c494b4098947579b1e17aeda6e5d7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Segment operating income does not include net rationalization charges, asset sales, goodwill and other impairment charges, and certain other items.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Total segment operating income for the second quarter of 2026 was $36 million, a decrease of $123 million, or 77.4%, from $159 million in the second quarter of 2025. Total segment operating margin in the second quarter of 2026 was 0.8%, compared to 3.6% in the second quarter of 2025. Total segment operating income for the first six months of 2026 was $131 million, a decrease of $223 million, or 63.0%, from $354 million in the first six months of 2025. Total segment operating margin in the first six months of 2026 was 1.6%, compared to 4.1% in the first six months of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Management believes that total segment operating income is useful because it represents the aggregate value of income created by our SBUs and excludes items not directly related to the SBUs for performance evaluation purposes. Total segment operating income is the sum of the individual SBUs’ segment operating income. Refer to Note to the Consolidated Financial Statements No. 7, Business Segments, for further information and for a reconciliation of total segment operating income to Income (Loss) before Income Taxes.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u w:val="single"/>
        </w:rPr>
      </w:pPr>
      <w:r>
        <w:rPr>
          <w:rFonts w:ascii="Times New Roman;serif" w:hAnsi="Times New Roman;serif"/>
          <w:b/>
          <w:color w:val="000000"/>
          <w:sz w:val="20"/>
          <w:u w:val="single"/>
        </w:rPr>
        <w:t>Americas</w:t>
      </w:r>
    </w:p>
    <w:tbl>
      <w:tblPr>
        <w:tblW w:w="10205" w:type="dxa"/>
        <w:jc w:val="left"/>
        <w:tblInd w:w="0" w:type="dxa"/>
        <w:tblLayout w:type="fixed"/>
        <w:tblCellMar>
          <w:top w:w="28" w:type="dxa"/>
          <w:left w:w="28" w:type="dxa"/>
          <w:bottom w:w="28" w:type="dxa"/>
          <w:right w:w="28" w:type="dxa"/>
        </w:tblCellMar>
      </w:tblPr>
      <w:tblGrid>
        <w:gridCol w:w="393"/>
        <w:gridCol w:w="346"/>
        <w:gridCol w:w="310"/>
        <w:gridCol w:w="237"/>
        <w:gridCol w:w="184"/>
        <w:gridCol w:w="408"/>
        <w:gridCol w:w="109"/>
        <w:gridCol w:w="109"/>
        <w:gridCol w:w="109"/>
        <w:gridCol w:w="211"/>
        <w:gridCol w:w="163"/>
        <w:gridCol w:w="408"/>
        <w:gridCol w:w="109"/>
        <w:gridCol w:w="109"/>
        <w:gridCol w:w="109"/>
        <w:gridCol w:w="211"/>
        <w:gridCol w:w="487"/>
        <w:gridCol w:w="109"/>
        <w:gridCol w:w="109"/>
        <w:gridCol w:w="109"/>
        <w:gridCol w:w="109"/>
        <w:gridCol w:w="316"/>
        <w:gridCol w:w="320"/>
        <w:gridCol w:w="367"/>
        <w:gridCol w:w="109"/>
        <w:gridCol w:w="109"/>
        <w:gridCol w:w="109"/>
        <w:gridCol w:w="211"/>
        <w:gridCol w:w="163"/>
        <w:gridCol w:w="408"/>
        <w:gridCol w:w="109"/>
        <w:gridCol w:w="109"/>
        <w:gridCol w:w="109"/>
        <w:gridCol w:w="229"/>
        <w:gridCol w:w="284"/>
        <w:gridCol w:w="287"/>
        <w:gridCol w:w="109"/>
        <w:gridCol w:w="109"/>
        <w:gridCol w:w="109"/>
        <w:gridCol w:w="211"/>
        <w:gridCol w:w="487"/>
        <w:gridCol w:w="109"/>
        <w:gridCol w:w="109"/>
        <w:gridCol w:w="109"/>
        <w:gridCol w:w="109"/>
        <w:gridCol w:w="266"/>
        <w:gridCol w:w="266"/>
        <w:gridCol w:w="367"/>
        <w:gridCol w:w="158"/>
      </w:tblGrid>
      <w:tr>
        <w:trPr/>
        <w:tc>
          <w:tcPr>
            <w:tcW w:w="39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2"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9"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0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829"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Percent</w:t>
              <w:br/>
              <w:t>Change</w:t>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Percent</w:t>
              <w:br/>
              <w:t>Change</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04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Tire Units</w:t>
            </w:r>
          </w:p>
        </w:tc>
        <w:tc>
          <w:tcPr>
            <w:tcW w:w="829"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w:t>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w:t>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367"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32.7</w:t>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37.5</w:t>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w:t>
            </w:r>
          </w:p>
        </w:tc>
        <w:tc>
          <w:tcPr>
            <w:tcW w:w="367"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0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3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36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w:t>
            </w:r>
          </w:p>
        </w:tc>
        <w:tc>
          <w:tcPr>
            <w:tcW w:w="36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04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82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(107.1)</w:t>
            </w:r>
          </w:p>
        </w:tc>
        <w:tc>
          <w:tcPr>
            <w:tcW w:w="367"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296</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(269)</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(90.9)</w:t>
            </w:r>
          </w:p>
        </w:tc>
        <w:tc>
          <w:tcPr>
            <w:tcW w:w="367"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8" w:type="dxa"/>
            <w:tcBorders/>
            <w:vAlign w:val="center"/>
          </w:tcPr>
          <w:p>
            <w:pPr>
              <w:pStyle w:val="TableContents"/>
              <w:bidi w:val="0"/>
              <w:spacing w:before="0" w:after="283"/>
              <w:jc w:val="left"/>
              <w:rPr>
                <w:sz w:val="4"/>
                <w:szCs w:val="4"/>
              </w:rPr>
            </w:pPr>
            <w:r>
              <w:rPr>
                <w:sz w:val="4"/>
                <w:szCs w:val="4"/>
              </w:rPr>
            </w:r>
          </w:p>
        </w:tc>
      </w:tr>
      <w:tr>
        <w:trPr/>
        <w:tc>
          <w:tcPr>
            <w:tcW w:w="10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Margin</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40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40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40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Three Months Ended June 30, 2026 and 2025</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Americas unit sales in the second quarter of 2026 decreased 1.7 million units, or 8.7%, to 17.4 million units. Replacement tire volume decreased 2.1 million units, or 13.0%, primarily due to planned rationalization of lower-tier product offerings, weakness in the replacement industry and increased competitiveness. OE tire volume increased 0.4 million units, or 8.7%, primarily in the U.S., Brazil and Canada.</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Net sales in the second quarter of 2026 were $2,382 million, decreasing $280 million, or 10.5%, from $2,662 million in the second quarter of 2025. The decrease in net sales was primarily due to lower tire volume of $186 million and the impact of the sale of the chemical business of $119 million. These decreases were partially offset by the positive impact of changes in foreign exchange rates of $32 million, primarily related to the strengthening of the Brazilian real and Mexican peso.</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Operating loss in the second quarter of 2026 was $10 million, decreasing $151 million, or 107.1%, from operating income of $141 million in the second quarter of 2025. The decrease in operating income was due to higher conversion costs of $110 million, driven by the effect of lower tire production on fixed cost absorption and inflation, lower tire volume of $37 million, the impact of the sale of the chemical business of $33 million, higher tariff costs of $32 million, unfavorable price and product mix of $26 million, and higher SAG of $12 million. These decreases were partially offset by lower raw material costs of $60 million and a $54 million benefit related to the Goodyear Forward plan.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Operating loss in the second quarter of 2026 excluded net gains on asset sales of $14 million and net rationalization charges of $3 million. Operating income in the second quarter of 2025 excluded asset write-offs, accelerated depreciation and accelerated lease costs of $14 million and net rationalization charges of $10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Six Months Ended June 30, 2026 and 2025</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Americas unit sales in the first six months of 2026 decreased 4.8 million units, or 12.8%, to 32.7 million units. Replacement tire volume decreased 5.5 million units, or 18.0%, primarily due to weakness in the replacement industry, increased competitiveness and planned rationalization of lower-tier product offerings. OE tire volume increased 0.7 million units, or 8.5%, primarily in the U.S. and Brazil.</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Net sales in the first six months of 2026 were $4,445 million, decreasing $719 million, or 13.9%, from $5,164 million in the first six months of 2025. The decrease in net sales was primarily due to lower tire volume of $527 million and the impact of the sale of the chemical business of $244 million. These decreases were partially offset by the positive impact of changes in foreign exchange rates of $72 million, primarily related to the strengthening of the Brazilian real and Mexican peso.</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Operating income in the first six months of 2026 was $27 million, decreasing $269 million, or 90.9%, from $296 million in the first six months of 2025. The decrease in operating income was due to higher conversion costs of $211 million, driven by the effect of lower tire production on fixed cost absorption and inflation, lower tire volume of $112 million, the impact of the sale of the chemical business of $64 million, unfavorable price and product mix of $51 million, higher tariff costs of $90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299085"/>
                <wp:effectExtent l="0" t="0" r="0" b="0"/>
                <wp:wrapNone/>
                <wp:docPr id="38" name="Frame38"/>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240" w:after="283"/>
        <w:jc w:val="left"/>
        <w:rPr/>
      </w:pPr>
      <w:hyperlink w:anchor="ic6c494b4098947579b1e17aeda6e5d7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offset by an estimated tariff refund of $46 million, and higher SAG of $30 million. These decreases were partially offset by a $129 million benefit related to the Goodyear Forward plan and lower raw material costs of $123 million.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Operating income in the first six months of 2026 excluded net gains on asset sales of $14 million, net rationalization charges of $14 million, and asset write-offs, accelerated depreciation and accelerated lease costs of $7 million. Operating income in the first six months of 2025 excluded net rationalization charges of $72 million, asset write-offs, accelerated depreciation and accelerated lease costs of $42 million, and net gains on asset sales of $1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u w:val="single"/>
        </w:rPr>
      </w:pPr>
      <w:r>
        <w:rPr>
          <w:rFonts w:ascii="Times New Roman;serif" w:hAnsi="Times New Roman;serif"/>
          <w:b/>
          <w:color w:val="000000"/>
          <w:sz w:val="20"/>
          <w:u w:val="single"/>
        </w:rPr>
        <w:t>Europe, Middle East and Africa</w:t>
      </w:r>
    </w:p>
    <w:tbl>
      <w:tblPr>
        <w:tblW w:w="10205" w:type="dxa"/>
        <w:jc w:val="left"/>
        <w:tblInd w:w="0" w:type="dxa"/>
        <w:tblLayout w:type="fixed"/>
        <w:tblCellMar>
          <w:top w:w="28" w:type="dxa"/>
          <w:left w:w="28" w:type="dxa"/>
          <w:bottom w:w="28" w:type="dxa"/>
          <w:right w:w="28" w:type="dxa"/>
        </w:tblCellMar>
      </w:tblPr>
      <w:tblGrid>
        <w:gridCol w:w="463"/>
        <w:gridCol w:w="408"/>
        <w:gridCol w:w="380"/>
        <w:gridCol w:w="237"/>
        <w:gridCol w:w="184"/>
        <w:gridCol w:w="408"/>
        <w:gridCol w:w="109"/>
        <w:gridCol w:w="109"/>
        <w:gridCol w:w="109"/>
        <w:gridCol w:w="229"/>
        <w:gridCol w:w="284"/>
        <w:gridCol w:w="287"/>
        <w:gridCol w:w="109"/>
        <w:gridCol w:w="109"/>
        <w:gridCol w:w="109"/>
        <w:gridCol w:w="211"/>
        <w:gridCol w:w="361"/>
        <w:gridCol w:w="109"/>
        <w:gridCol w:w="109"/>
        <w:gridCol w:w="109"/>
        <w:gridCol w:w="109"/>
        <w:gridCol w:w="254"/>
        <w:gridCol w:w="257"/>
        <w:gridCol w:w="367"/>
        <w:gridCol w:w="109"/>
        <w:gridCol w:w="109"/>
        <w:gridCol w:w="109"/>
        <w:gridCol w:w="237"/>
        <w:gridCol w:w="184"/>
        <w:gridCol w:w="408"/>
        <w:gridCol w:w="109"/>
        <w:gridCol w:w="109"/>
        <w:gridCol w:w="109"/>
        <w:gridCol w:w="237"/>
        <w:gridCol w:w="184"/>
        <w:gridCol w:w="408"/>
        <w:gridCol w:w="109"/>
        <w:gridCol w:w="109"/>
        <w:gridCol w:w="109"/>
        <w:gridCol w:w="211"/>
        <w:gridCol w:w="466"/>
        <w:gridCol w:w="109"/>
        <w:gridCol w:w="109"/>
        <w:gridCol w:w="109"/>
        <w:gridCol w:w="109"/>
        <w:gridCol w:w="254"/>
        <w:gridCol w:w="257"/>
        <w:gridCol w:w="367"/>
        <w:gridCol w:w="155"/>
      </w:tblGrid>
      <w:tr>
        <w:trPr/>
        <w:tc>
          <w:tcPr>
            <w:tcW w:w="463"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9"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3"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155" w:type="dxa"/>
            <w:tcBorders/>
            <w:vAlign w:val="center"/>
          </w:tcPr>
          <w:p>
            <w:pPr>
              <w:pStyle w:val="TableContents"/>
              <w:bidi w:val="0"/>
              <w:spacing w:before="0" w:after="283"/>
              <w:jc w:val="left"/>
              <w:rPr>
                <w:sz w:val="4"/>
                <w:szCs w:val="4"/>
              </w:rPr>
            </w:pPr>
            <w:r>
              <w:rPr>
                <w:sz w:val="4"/>
                <w:szCs w:val="4"/>
              </w:rPr>
            </w:r>
          </w:p>
        </w:tc>
      </w:tr>
      <w:tr>
        <w:trPr/>
        <w:tc>
          <w:tcPr>
            <w:tcW w:w="12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829"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Percent</w:t>
              <w:br/>
              <w:t>Change</w:t>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Percent</w:t>
              <w:br/>
              <w:t>Change</w:t>
            </w:r>
          </w:p>
        </w:tc>
        <w:tc>
          <w:tcPr>
            <w:tcW w:w="155" w:type="dxa"/>
            <w:tcBorders/>
            <w:vAlign w:val="center"/>
          </w:tcPr>
          <w:p>
            <w:pPr>
              <w:pStyle w:val="TableContents"/>
              <w:bidi w:val="0"/>
              <w:spacing w:before="0" w:after="283"/>
              <w:jc w:val="left"/>
              <w:rPr>
                <w:sz w:val="4"/>
                <w:szCs w:val="4"/>
              </w:rPr>
            </w:pPr>
            <w:r>
              <w:rPr>
                <w:sz w:val="4"/>
                <w:szCs w:val="4"/>
              </w:rPr>
            </w:r>
          </w:p>
        </w:tc>
      </w:tr>
      <w:tr>
        <w:trPr/>
        <w:tc>
          <w:tcPr>
            <w:tcW w:w="125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Tire Units</w:t>
            </w:r>
          </w:p>
        </w:tc>
        <w:tc>
          <w:tcPr>
            <w:tcW w:w="829"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w:t>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w:t>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367"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22.4</w:t>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w:t>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367"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5" w:type="dxa"/>
            <w:tcBorders/>
            <w:vAlign w:val="center"/>
          </w:tcPr>
          <w:p>
            <w:pPr>
              <w:pStyle w:val="TableContents"/>
              <w:bidi w:val="0"/>
              <w:spacing w:before="0" w:after="283"/>
              <w:jc w:val="left"/>
              <w:rPr>
                <w:sz w:val="4"/>
                <w:szCs w:val="4"/>
              </w:rPr>
            </w:pPr>
            <w:r>
              <w:rPr>
                <w:sz w:val="4"/>
                <w:szCs w:val="4"/>
              </w:rPr>
            </w:r>
          </w:p>
        </w:tc>
      </w:tr>
      <w:tr>
        <w:trPr/>
        <w:tc>
          <w:tcPr>
            <w:tcW w:w="12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3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36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36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5" w:type="dxa"/>
            <w:tcBorders/>
            <w:vAlign w:val="center"/>
          </w:tcPr>
          <w:p>
            <w:pPr>
              <w:pStyle w:val="TableContents"/>
              <w:bidi w:val="0"/>
              <w:spacing w:before="0" w:after="283"/>
              <w:jc w:val="left"/>
              <w:rPr>
                <w:sz w:val="4"/>
                <w:szCs w:val="4"/>
              </w:rPr>
            </w:pPr>
            <w:r>
              <w:rPr>
                <w:sz w:val="4"/>
                <w:szCs w:val="4"/>
              </w:rPr>
            </w:r>
          </w:p>
        </w:tc>
      </w:tr>
      <w:tr>
        <w:trPr/>
        <w:tc>
          <w:tcPr>
            <w:tcW w:w="125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82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32.0 </w:t>
            </w:r>
          </w:p>
        </w:tc>
        <w:tc>
          <w:tcPr>
            <w:tcW w:w="367"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46.7 </w:t>
            </w:r>
          </w:p>
        </w:tc>
        <w:tc>
          <w:tcPr>
            <w:tcW w:w="367"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5" w:type="dxa"/>
            <w:tcBorders/>
            <w:vAlign w:val="center"/>
          </w:tcPr>
          <w:p>
            <w:pPr>
              <w:pStyle w:val="TableContents"/>
              <w:bidi w:val="0"/>
              <w:spacing w:before="0" w:after="283"/>
              <w:jc w:val="left"/>
              <w:rPr>
                <w:sz w:val="4"/>
                <w:szCs w:val="4"/>
              </w:rPr>
            </w:pPr>
            <w:r>
              <w:rPr>
                <w:sz w:val="4"/>
                <w:szCs w:val="4"/>
              </w:rPr>
            </w:r>
          </w:p>
        </w:tc>
      </w:tr>
      <w:tr>
        <w:trPr/>
        <w:tc>
          <w:tcPr>
            <w:tcW w:w="12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Margin</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40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40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40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Three Months Ended June 30, 2026 and 2025</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EMEA unit sales in the second quarter of 2026 decreased 0.1 million units, or 2.1%, to 11.2 million units. Replacement tire volume decreased 0.5 million units, or 7.1%, primarily in our consumer business, reflecting market softness, increased competition and planned rationalization of lower-tier product offerings. OE tire volume increased 0.4 million units, or 8.3%, primarily in our consumer business, reflecting share gains driven by new fitments.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Net sales in the second quarter of 2026 were $1,372 million, increasing $28 million, or 2.1%, from $1,344 million in the second quarter of 2025. The increase in net sales was primarily driven by improvements in price and product mix of $49 million and the positive impact of changes in foreign exchange rates of $30 million, driven by a stronger euro, partially offset by a weaker Turkish lira. These increases were partially offset by the impact of the sale of the Dunlop brand of $87 million, excluding the favorable impact of the offtake supply agreement of $53 million, lower tire volume of $14 million and lower sales in the other tire-related businesses of $2 million.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Operating loss in the second quarter of 2026 was $17 million, decreasing $8 million from an operating loss of $25 million in the second quarter of 2025. The decrease in operating loss was primarily due to favorable price and product mix of $46 million, benefits related to the Goodyear Forward plan of $35 million, and lower raw material costs of $32 million. These increases were partially offset by higher conversion costs of $54 million, higher SAG of $19 million, an increase in other costs of $14 million, primarily related to higher transportation costs, lower earnings related to the sale of the Dunlop brand of $17 million, excluding the favorable impact of the offtake supply agreement of $5 million, lower earnings in other tire-related businesses of $4 million, and lower tire volume of $2 million.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Operating loss in the second quarter of 2026 excluded net rationalization charges of $23 million and net gains on asset sales of $2 million. Operating loss in the second quarter of 2025 excluded net rationalization charges of $43 million, asset write-offs, accelerated depreciation and accelerated lease costs of $26 million and a net loss on asset sales of $1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Six Months Ended June 30, 2026 and 2025</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EMEA unit sales in the first six months of 2026 decreased 1.2 million units, or 5.4%, to 22.4 million units. Replacement tire volume decreased 1.8 million units, or 11.4%, primarily in our consumer business, reflecting market softness, increased competition and planned rationalization of lower-tier product offerings. OE tire volume increased 0.6 million units, or 8.2%, primarily in our consumer business, reflecting share gains driven by new fitments.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Net sales in the first six months of 2026 were $2,735 million, increasing $114 million, or 4.3%, from $2,621 million in the first six months of 2025. The increase in net sales was driven by the positive impact of changes in foreign exchange rates of $152 million, driven by a stronger euro and British pound, partially offset by a weaker Turkish lira, and improvements in price and product mix of $112 million. These increases were partially offset by the impact of the sale of the Dunlop brand of $180 million, excluding the favorable impact of the offtake supply agreement of $95 million, and lower tire volume of $65 million.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Operating loss in the first six months of 2026 was $16 million, decreasing $14 million from an operating loss of $30 million in the first six months of 2025. The decrease in operating loss was primarily due to favorable price and product mix of $82 million, benefits related to the Goodyear Forward plan of $61 million, and lower raw material costs of $48 million. These increases were partially offset by higher conversion costs of $105 million, lower earnings related to the sale of the Dunlop brand of $30 million, excluding the favorable impact of the offtake supply agreement of $11 million, higher SAG of $19 million, an increase in other costs of $19 million, primarily related to higher transportation costs, lower tire volume of $10 million, and unfavorable foreign currency translation of $5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299085"/>
                <wp:effectExtent l="0" t="0" r="0" b="0"/>
                <wp:wrapNone/>
                <wp:docPr id="39" name="Frame39"/>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240" w:after="283"/>
        <w:jc w:val="left"/>
        <w:rPr/>
      </w:pPr>
      <w:hyperlink w:anchor="ic6c494b4098947579b1e17aeda6e5d7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Operating loss in the first six months of 2026 excluded net rationalizations charges of $108 million, asset write-offs, accelerated depreciation and accelerated lease costs of $8 million and net gains on asset sales of $3 million. Operating loss in the first six months of 2025 excluded net rationalization charges of $55 million and asset write-offs, accelerated depreciation and accelerated lease costs of $42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u w:val="single"/>
        </w:rPr>
      </w:pPr>
      <w:r>
        <w:rPr>
          <w:rFonts w:ascii="Times New Roman;serif" w:hAnsi="Times New Roman;serif"/>
          <w:b/>
          <w:color w:val="000000"/>
          <w:sz w:val="20"/>
          <w:u w:val="single"/>
        </w:rPr>
        <w:t>Asia Pacific</w:t>
      </w:r>
    </w:p>
    <w:tbl>
      <w:tblPr>
        <w:tblW w:w="9735" w:type="dxa"/>
        <w:jc w:val="left"/>
        <w:tblInd w:w="0" w:type="dxa"/>
        <w:tblLayout w:type="fixed"/>
        <w:tblCellMar>
          <w:top w:w="28" w:type="dxa"/>
          <w:left w:w="28" w:type="dxa"/>
          <w:bottom w:w="28" w:type="dxa"/>
          <w:right w:w="28" w:type="dxa"/>
        </w:tblCellMar>
      </w:tblPr>
      <w:tblGrid>
        <w:gridCol w:w="568"/>
        <w:gridCol w:w="501"/>
        <w:gridCol w:w="505"/>
        <w:gridCol w:w="229"/>
        <w:gridCol w:w="209"/>
        <w:gridCol w:w="212"/>
        <w:gridCol w:w="109"/>
        <w:gridCol w:w="109"/>
        <w:gridCol w:w="109"/>
        <w:gridCol w:w="229"/>
        <w:gridCol w:w="209"/>
        <w:gridCol w:w="212"/>
        <w:gridCol w:w="109"/>
        <w:gridCol w:w="109"/>
        <w:gridCol w:w="109"/>
        <w:gridCol w:w="211"/>
        <w:gridCol w:w="361"/>
        <w:gridCol w:w="109"/>
        <w:gridCol w:w="109"/>
        <w:gridCol w:w="109"/>
        <w:gridCol w:w="109"/>
        <w:gridCol w:w="255"/>
        <w:gridCol w:w="256"/>
        <w:gridCol w:w="367"/>
        <w:gridCol w:w="109"/>
        <w:gridCol w:w="109"/>
        <w:gridCol w:w="109"/>
        <w:gridCol w:w="229"/>
        <w:gridCol w:w="209"/>
        <w:gridCol w:w="212"/>
        <w:gridCol w:w="109"/>
        <w:gridCol w:w="109"/>
        <w:gridCol w:w="109"/>
        <w:gridCol w:w="229"/>
        <w:gridCol w:w="209"/>
        <w:gridCol w:w="212"/>
        <w:gridCol w:w="109"/>
        <w:gridCol w:w="109"/>
        <w:gridCol w:w="109"/>
        <w:gridCol w:w="211"/>
        <w:gridCol w:w="361"/>
        <w:gridCol w:w="109"/>
        <w:gridCol w:w="109"/>
        <w:gridCol w:w="109"/>
        <w:gridCol w:w="109"/>
        <w:gridCol w:w="255"/>
        <w:gridCol w:w="256"/>
        <w:gridCol w:w="367"/>
        <w:gridCol w:w="154"/>
      </w:tblGrid>
      <w:tr>
        <w:trPr/>
        <w:tc>
          <w:tcPr>
            <w:tcW w:w="568"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650"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Percent</w:t>
              <w:br/>
              <w:t>Change</w:t>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Percent</w:t>
              <w:br/>
              <w:t>Change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Tire Units</w:t>
            </w:r>
          </w:p>
        </w:tc>
        <w:tc>
          <w:tcPr>
            <w:tcW w:w="650"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367"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w:t>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w:t>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367"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2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36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36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65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46.5 </w:t>
            </w:r>
          </w:p>
        </w:tc>
        <w:tc>
          <w:tcPr>
            <w:tcW w:w="367"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36.4 </w:t>
            </w:r>
          </w:p>
        </w:tc>
        <w:tc>
          <w:tcPr>
            <w:tcW w:w="367"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Margin</w:t>
            </w:r>
          </w:p>
        </w:tc>
        <w:tc>
          <w:tcPr>
            <w:tcW w:w="6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Three Months Ended June 30, 2026 and 2025</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Asia Pacific unit sales in the second quarter of 2026 increased 0.4 million units, or 5.3%, to 7.9 million units. Replacement tire volume increased 0.3 million units, or 6.4%, due to higher demand in consumer replacement. OE tire volume increased 0.1 million units, or 4.2 %, primarily in China and Japan.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Net sales in the second quarter of 2026 were $496 million, increasing $37 million, or 8.1%, from $459 million in the second quarter of 2025. The increase in net sales was primarily due to higher tire volume of $23 million and favorable price and product mix of $20 million. These increases were partially offset by the negative impact of changes in foreign exchange rates of $5 million.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Operating income in the second quarter of 2026 was $63 million, increasing $20 million, or 46.5%, from $43 million in the second quarter of 2025. The increase in operating income was primarily due to favorable price and product mix of $12 million, benefits related to the Goodyear Forward plan of $6 million and higher tire volume of $5 million. These increases were partially offset by higher raw material costs of $1 million and higher conversion costs of $1 million.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Operating income in the second quarter of 2026 excluded net rationalization charges of $2 million. Operating income in the second quarter of 2025 excluded net gains on asset sales of $55 million and asset write-offs, accelerated depreciation and accelerated lease costs of $1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Six Months Ended June 30, 2026 and 2025</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Asia Pacific unit sales in the first six months of 2026 increased 0.1 million units, or 0.7%, to 15.4 million units. Replacement tire volume increased 0.2 million units, or 2.0%, due to higher demand in consumer replacement. OE tire volume decreased 0.1 million units, or 1.0%.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Net sales in the first six months of 2026 were $951 million, increasing $18 million, or 1.9%, from $933 million in the first six months of 2025. The increase in net sales was primarily due to favorable price and product mix of $14 million and higher tire volume of $7 million. These increases were partially offset by the negative impact of changes in foreign exchange rates of $2 million.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Operating income in the first six months of 2026 was $120 million, increasing $32 million, or 36.4%, from $88 million in the first six months of 2025. The increase in operating income was primarily due to favorable price and product mix of $16 million, benefits related to the Goodyear Forward plan of $12 million, lower raw material costs of $8 million, and higher tire volume of $1 million. These increases were partially offset by higher conversion costs of $4 million.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Operating income in the first six months of 2026 excluded net rationalization charges of $3 million and asset write-offs, accelerated depreciation and accelerated lease costs of $1 million. Operating income in the first six months of 2025 excluded net gains on asset sales of $55 million, asset write-offs, accelerated depreciation and accelerated lease costs of $3 million and net rationalization charges of $1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u w:val="single"/>
        </w:rPr>
      </w:pPr>
      <w:r>
        <w:rPr>
          <w:rFonts w:ascii="Times New Roman;serif" w:hAnsi="Times New Roman;serif"/>
          <w:b/>
          <w:color w:val="000000"/>
          <w:sz w:val="20"/>
          <w:u w:val="single"/>
        </w:rPr>
        <w:t>LIQUIDITY AND CAPITAL RESOURCES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primary sources of liquidity are cash generated from our operating and financing activities. Our cash flows from operating activities are driven primarily by our operating results and changes in our working capital requirements and our cash flows from financing activities are dependent upon our ability to access credit or other capital.</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June 4, 2026, we issued $1,050 million in aggregate principal amount of 8.875% senior notes due 2032. We intend to use the net proceeds from this offering to repay, redeem or repurchase our 4.875% senior notes due 2027 and our 7.625% senior notes due 2027 at or prior to their respective maturity. Pending such repayment, redemption or repurchase, we temporarily applied the proceeds to repay outstanding balances under certain revolving credit facilities.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299085"/>
                <wp:effectExtent l="0" t="0" r="0" b="0"/>
                <wp:wrapNone/>
                <wp:docPr id="40" name="Frame40"/>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240" w:after="283"/>
        <w:jc w:val="left"/>
        <w:rPr/>
      </w:pPr>
      <w:hyperlink w:anchor="ic6c494b4098947579b1e17aeda6e5d7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At June 30, 2026, we had $861 million in cash and cash equivalents, compared to $801 million at December 31, 2025. For the six months ended June 30, 2026, net cash used for operating activities was $620 million, reflecting our cash used for working capital of $620 million. Net cash used for investing activities was $339 million, primarily representing capital expenditures of $342 million. Net cash provided by financing activities was $1,020 million, primarily due to net borrowings of $1,029 million, including the issuance of $1,050 million of new senior notes.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At June 30, 2026, we had $3,891 million of unused availability under our various credit agreements, compared to $4,421 million at December 31, 2025. The table below presents unused availability under our credit facilities at those dates:</w:t>
      </w:r>
    </w:p>
    <w:tbl>
      <w:tblPr>
        <w:tblW w:w="5406" w:type="dxa"/>
        <w:jc w:val="left"/>
        <w:tblInd w:w="0" w:type="dxa"/>
        <w:tblLayout w:type="fixed"/>
        <w:tblCellMar>
          <w:top w:w="28" w:type="dxa"/>
          <w:left w:w="28" w:type="dxa"/>
          <w:bottom w:w="28" w:type="dxa"/>
          <w:right w:w="28" w:type="dxa"/>
        </w:tblCellMar>
      </w:tblPr>
      <w:tblGrid>
        <w:gridCol w:w="1040"/>
        <w:gridCol w:w="915"/>
        <w:gridCol w:w="924"/>
        <w:gridCol w:w="211"/>
        <w:gridCol w:w="631"/>
        <w:gridCol w:w="109"/>
        <w:gridCol w:w="109"/>
        <w:gridCol w:w="109"/>
        <w:gridCol w:w="109"/>
        <w:gridCol w:w="243"/>
        <w:gridCol w:w="727"/>
        <w:gridCol w:w="125"/>
        <w:gridCol w:w="154"/>
      </w:tblGrid>
      <w:tr>
        <w:trPr/>
        <w:tc>
          <w:tcPr>
            <w:tcW w:w="1040"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First lien revolving credit facility</w:t>
            </w:r>
          </w:p>
        </w:tc>
        <w:tc>
          <w:tcPr>
            <w:tcW w:w="21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2,238 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2,749 </w:t>
            </w:r>
          </w:p>
        </w:tc>
        <w:tc>
          <w:tcPr>
            <w:tcW w:w="125"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European revolving credit facility</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Chinese credit facilities</w:t>
            </w:r>
          </w:p>
        </w:tc>
        <w:tc>
          <w:tcPr>
            <w:tcW w:w="84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531 </w:t>
            </w:r>
          </w:p>
        </w:tc>
        <w:tc>
          <w:tcPr>
            <w:tcW w:w="12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Mexican Credit Facilities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foreign and domestic debt</w:t>
            </w:r>
          </w:p>
        </w:tc>
        <w:tc>
          <w:tcPr>
            <w:tcW w:w="84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12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3,891</w:t>
            </w:r>
            <w:r>
              <w:rPr>
                <w:color w:val="000000"/>
              </w:rPr>
              <w:t> </w:t>
            </w:r>
          </w:p>
        </w:tc>
        <w:tc>
          <w:tcPr>
            <w:tcW w:w="10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7"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4,421</w:t>
            </w:r>
            <w:r>
              <w:rPr>
                <w:color w:val="000000"/>
              </w:rPr>
              <w:t> </w:t>
            </w:r>
          </w:p>
        </w:tc>
        <w:tc>
          <w:tcPr>
            <w:tcW w:w="125"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have deposited our cash and cash equivalents and entered into various credit agreements and derivative contracts with financial institutions that we considered to be substantial and creditworthy at the time of such transactions. We seek to control our exposure to these financial institutions by diversifying our deposits, credit agreements and derivative contracts across multiple financial institutions, by setting deposit and counterparty credit limits based on long term credit ratings and other indicators of credit risk such as credit default swap spreads and default probabilities, and by monitoring the financial strength of these financial institutions on a regular basis. We also enter into master netting agreements with counterparties when possible. By controlling and monitoring exposure to financial institutions in this manner, we believe that we effectively manage the risk of loss due to nonperformance by a financial institution. However, we cannot provide assurance that we will not experience losses or delays in accessing our deposits or lines of credit due to the nonperformance of a financial institution. Our inability to access our cash deposits or make draws on our lines of credit, or the inability of a counterparty to fulfill its contractual obligations to us, could have a material adverse effect on our liquidity, financial condition or results of operations in the period in which it occurs.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expect our 2026 full-year cash flow to include capital expenditures of approximately $725 million. We also expect interest expense to be approximately $425 million; rationalization payments to be approximately $265 million; income tax payments to be $150 million to $175 million, excluding one-time items; and cash contributions to our global pension plans to be approximately $25 million. We expect working capital to be neither a significant source nor significant use of cash for the full year 2026.</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are continuing to actively monitor our liquidity and intend to operate our business in a way that allows us to address our cash flow needs with our existing cash and available credit if they cannot be funded by cash generated from operating or other financing activities. We believe that our liquidity position is adequate to fund our operating and investing needs and debt maturities for the next twelve months and to provide us with the ability to respond to further changes in the business environment.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ability to service debt and operational requirements is also dependent, in part, on the ability of our subsidiaries to make distributions of cash to various other entities in our consolidated group, whether in the form of dividends, loans or otherwise. In certain countries where we operate, such as China, South Africa, Serbia and Argentina, transfers of funds into or out of such countries by way of dividends, loans, advances or payments to third-party or affiliated suppliers are generally or periodically subject to certain requirements, such as obtaining approval from the foreign government and/or currency exchange board before net assets can be transferred out of the country. In addition, certain of our credit agreements and other debt instruments limit the ability of foreign subsidiaries to make distributions of cash. Thus, we would have to repay and/or amend these credit agreements and other debt instruments in order to use this cash to service our consolidated debt. Because of the inherent uncertainty of satisfactorily meeting these requirements or limitations, we do not consider the net assets of our subsidiaries, including our Chinese, South African, Serbian and Argentinian subsidiaries, which are subject to such requirements or limitations to be integral to our liquidity or our ability to service our debt and operational requirements. At June 30, 2026, approximately $765 million of net assets, including approximately $179 million of cash and cash equivalents, were subject to such requirements. The requirements we must comply with to transfer funds out of China, South Africa, Serbia and Argentina have not adversely impacted our ability to make transfers out of those countries.</w:t>
      </w:r>
    </w:p>
    <w:p>
      <w:pPr>
        <w:pStyle w:val="TextBody"/>
        <w:bidi w:val="0"/>
        <w:spacing w:lineRule="auto" w:line="288" w:before="120" w:after="283"/>
        <w:jc w:val="both"/>
        <w:rPr>
          <w:rFonts w:ascii="Times New Roman;serif" w:hAnsi="Times New Roman;serif"/>
          <w:b/>
          <w:color w:val="000000"/>
          <w:sz w:val="20"/>
          <w:u w:val="single"/>
        </w:rPr>
      </w:pPr>
      <w:r>
        <w:rPr>
          <w:rFonts w:ascii="Times New Roman;serif" w:hAnsi="Times New Roman;serif"/>
          <w:b/>
          <w:color w:val="000000"/>
          <w:sz w:val="20"/>
          <w:u w:val="single"/>
        </w:rPr>
        <w:t>Operating Activities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Net cash used for operating activities was $620 million in the first six months of 2026, compared to net cash used for operating activities of $718 million in the first six months of 2025. The $98 million decrease in net cash used for operating activities was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299085"/>
                <wp:effectExtent l="0" t="0" r="0" b="0"/>
                <wp:wrapNone/>
                <wp:docPr id="41" name="Frame41"/>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240" w:after="283"/>
        <w:jc w:val="left"/>
        <w:rPr/>
      </w:pPr>
      <w:hyperlink w:anchor="ic6c494b4098947579b1e17aeda6e5d7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primarily due to a lower use of working capital of $449 million and decreased rationalization payments of $81 million, partially offset by $376 million in cash received in 2025 for deferred amounts related to our divestitures.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decrease in cash used for working capital reflects a decrease in cash used for Inventory of $172 million, Accounts Receivable of $158 million and Accounts Payable — Trade of $119 million. </w:t>
      </w:r>
    </w:p>
    <w:p>
      <w:pPr>
        <w:pStyle w:val="TextBody"/>
        <w:bidi w:val="0"/>
        <w:spacing w:lineRule="auto" w:line="288" w:before="120" w:after="283"/>
        <w:jc w:val="both"/>
        <w:rPr>
          <w:rFonts w:ascii="Times New Roman;serif" w:hAnsi="Times New Roman;serif"/>
          <w:b/>
          <w:color w:val="000000"/>
          <w:sz w:val="20"/>
          <w:u w:val="single"/>
        </w:rPr>
      </w:pPr>
      <w:r>
        <w:rPr>
          <w:rFonts w:ascii="Times New Roman;serif" w:hAnsi="Times New Roman;serif"/>
          <w:b/>
          <w:color w:val="000000"/>
          <w:sz w:val="20"/>
          <w:u w:val="single"/>
        </w:rPr>
        <w:t>Investing Activities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Net cash used for investing activities was $339 million in the first six months of 2026, compared to net cash provided by investing activities of $837 million in the first six months of 2025. The $1,176 million increase in net cash used for investing activities was primarily due to cash provided by asset dispositions of $1,328 million in the first six months of 2025 due to the sale of the OTR tire business and Dunlop brand, as well as other asset dispositions, partially offset by decreased capital expenditures of $124 million.</w:t>
      </w:r>
    </w:p>
    <w:p>
      <w:pPr>
        <w:pStyle w:val="TextBody"/>
        <w:bidi w:val="0"/>
        <w:spacing w:lineRule="auto" w:line="288" w:before="120" w:after="283"/>
        <w:jc w:val="both"/>
        <w:rPr>
          <w:rFonts w:ascii="Times New Roman;serif" w:hAnsi="Times New Roman;serif"/>
          <w:b/>
          <w:color w:val="000000"/>
          <w:sz w:val="20"/>
          <w:u w:val="single"/>
        </w:rPr>
      </w:pPr>
      <w:r>
        <w:rPr>
          <w:rFonts w:ascii="Times New Roman;serif" w:hAnsi="Times New Roman;serif"/>
          <w:b/>
          <w:color w:val="000000"/>
          <w:sz w:val="20"/>
          <w:u w:val="single"/>
        </w:rPr>
        <w:t>Financing Activities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 was $1,020 million in the first six months of 2026, compared to net cash used for financing activities of $107 million in the first six months of 2025. The $1,127 million increase in cash provided by financing activities was primarily related to net borrowings of $1,029 million in the first six months of 2026, including the issuance of $1,050 million of new senior notes, compared to net debt repayments of $112 million in the first six months of 2025.</w:t>
      </w:r>
    </w:p>
    <w:p>
      <w:pPr>
        <w:pStyle w:val="TextBody"/>
        <w:bidi w:val="0"/>
        <w:spacing w:lineRule="auto" w:line="288" w:before="120" w:after="283"/>
        <w:jc w:val="both"/>
        <w:rPr>
          <w:rFonts w:ascii="Times New Roman;serif" w:hAnsi="Times New Roman;serif"/>
          <w:b/>
          <w:color w:val="000000"/>
          <w:sz w:val="20"/>
          <w:u w:val="single"/>
        </w:rPr>
      </w:pPr>
      <w:r>
        <w:rPr>
          <w:rFonts w:ascii="Times New Roman;serif" w:hAnsi="Times New Roman;serif"/>
          <w:b/>
          <w:color w:val="000000"/>
          <w:sz w:val="20"/>
          <w:u w:val="single"/>
        </w:rPr>
        <w:t>Credit Sources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aggregate, we had total credit arrangements of $10,992 million available at June 30, 2026, of which $3,891 million were unused, compared to $10,525 million available at December 31, 2025, of which $4,421 million were unused. At June 30, 2026, we had long term credit arrangements totaling $10,290 million, of which $3,565 million were unused, compared to $9,707 million and $4,145 million, respectively, at December 31, 2025. At June 30, 2026, we had short term committed and uncommitted credit arrangements totaling $702 million, of which $326 million were unused, compared to $818 million and $276 million, respectively, at December 31, 2025. The continued availability of the short term uncommitted arrangements is at the discretion of the relevant lenders and may be terminated at any time.</w:t>
      </w:r>
    </w:p>
    <w:p>
      <w:pPr>
        <w:pStyle w:val="TextBody"/>
        <w:bidi w:val="0"/>
        <w:spacing w:lineRule="auto" w:line="288" w:before="12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Outstanding Notes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At June 30, 2026, we had $5,425 million of outstanding notes, compared to $4,391 million at December 31, 2025.</w:t>
      </w:r>
    </w:p>
    <w:p>
      <w:pPr>
        <w:pStyle w:val="TextBody"/>
        <w:bidi w:val="0"/>
        <w:spacing w:lineRule="auto" w:line="288" w:before="12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$1,050 million 8.875% Senior Notes due 2032</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June 4, 2026, we issued $1,050 million in aggregate principal amount of 8.875% senior notes due 2032. These notes were sold at 100% of the principal amount and will mature on July 15, 2032. These notes are unsecured senior obligations and are guaranteed by our U.S. and Canadian subsidiaries that also guarantee our obligations under our U.S. first lien revolving credit facility described below.</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have the option to redeem these notes, in whole or in part, at any time on or after July 15, 2029 at a redemption price of 104.438%, 102.219% and 100% during the 12-month periods commencing on July 15, 2029, 2030 and 2031 and thereafter, respectively, plus accrued and unpaid interest to the redemption date. Prior to July 15, 2029, we may redeem these notes, in whole or in part, at a redemption price equal to 100% of the principal amount plus a make-whole premium and accrued and unpaid interest to the redemption date. In addition, prior to July 15, 2029, we may redeem up to 35% of the original aggregate principal amount of these notes from the net cash proceeds of certain equity offerings at a redemption price equal to 108.875% of the principal amount plus accrued and unpaid interest to the redemption date.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terms of the indenture for these notes, among other things, limit our ability and the ability of certain of our subsidiaries to (i) incur certain liens, (ii) engage in sale and leaseback transactions, and (iii) consolidate, merge, sell or otherwise dispose of all or substantially all of our assets. These covenants are subject to significant exceptions and qualifications.</w:t>
      </w:r>
    </w:p>
    <w:p>
      <w:pPr>
        <w:pStyle w:val="TextBody"/>
        <w:bidi w:val="0"/>
        <w:spacing w:lineRule="auto" w:line="288" w:before="12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$2.75 billion Amended and Restated First Lien Revolving Credit Facility due 2030</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amended and restated first lien revolving credit facility matures on May 19, 2030 and is available in the form of loans or letters of credit. Up to $800 million in letters of credit and $50 million of swingline loans are available for issuance under the facility. Subject to the consent of the lenders whose commitments are to be increased, we may request that the facility be increased by up to $250 million.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obligations under the facility are guaranteed by most of our wholly-owned U.S. and Canadian subsidiaries. Our obligations under the facility and our subsidiaries' obligations under the related guarantees are secured by first priority security interests in a variety of collateral. Based on our current liquidity, amounts drawn under this facility bear interest at SOFR plus 125 basis points. Undrawn amounts under the facility are subject to an annual commitment fee of 25 basis points.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Availability under the facility is subject to a borrowing base, which is based on (i) eligible accounts receivable and inventory of The Goodyear Tire &amp; Rubber Company and certain of its U.S. and Canadian subsidiaries, (ii) the greater of 50%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299085"/>
                <wp:effectExtent l="0" t="0" r="0" b="0"/>
                <wp:wrapNone/>
                <wp:docPr id="42" name="Frame42"/>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240" w:after="283"/>
        <w:jc w:val="left"/>
        <w:rPr/>
      </w:pPr>
      <w:hyperlink w:anchor="ic6c494b4098947579b1e17aeda6e5d7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appraised value, if any, of our principal trademarks or $400 million, (iii) the value of eligible machinery and equipment, and (iv) certain cash in an amount not to exceed $275 million. To the extent that our eligible accounts receivable, inventory and other components of the borrowing base decline in value, our borrowing base will decrease and the availability under the facility may decrease below $2.75 billion. In addition, if the amount of outstanding borrowings and letters of credit under the facility exceeds the borrowing base, we would be required to prepay borrowings and/or cash collateralize letters of credit sufficient to eliminate the excess. As of June 30, 2026, our borrowing base, and therefore our availability under the facility, was $354 million below the facility's stated amount of $2.75 billion.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At June 30, 2026, we had $157 million of borrowings and $1 million of letters of credit issued under the revolving credit facility. At December 31, 2025, we had no borrowings and $1 million of letters of credit issued under the revolving credit facility.</w:t>
      </w:r>
    </w:p>
    <w:p>
      <w:pPr>
        <w:pStyle w:val="TextBody"/>
        <w:bidi w:val="0"/>
        <w:spacing w:lineRule="auto" w:line="288" w:before="120" w:after="283"/>
        <w:jc w:val="both"/>
        <w:rPr>
          <w:color w:val="000000"/>
          <w:u w:val="single"/>
        </w:rPr>
      </w:pPr>
      <w:r>
        <w:rPr>
          <w:color w:val="000000"/>
          <w:u w:val="single"/>
        </w:rPr>
        <w:t>€</w:t>
      </w:r>
      <w:r>
        <w:rPr>
          <w:rFonts w:ascii="Times New Roman;serif" w:hAnsi="Times New Roman;serif"/>
          <w:b w:val="false"/>
          <w:i/>
          <w:color w:val="000000"/>
          <w:sz w:val="20"/>
          <w:u w:val="single"/>
        </w:rPr>
        <w:t>800 million Amended and Restated Senior Secured European Revolving Credit Facility due 2028</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European revolving credit facility matures on January 14, 2028 and consists of (i) a €180 million German tranche that is available only to Goodyear Germany GmbH and (ii) a €620 million all-borrower tranche that is available to Goodyear Europe B.V. ("GEBV"), Goodyear Germany and Goodyear Operations S.A. Up to €175 million of swingline loans and €75 million in letters of credit are available for issuance under the all-borrower tranche. Subject to the consent of the lenders whose commitments are to be increased, we may request that the facility be increased by up to €200 million. Amounts drawn under this facility will bear interest at SOFR plus 150 basis points for loans denominated in U.S. dollars, EURIBOR plus 150 basis points for loans denominated in euros, and SONIA plus 150 basis points for loans denominated in pounds sterling. Undrawn amounts under the facility are subject to an annual commitment fee of 25 basis points.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At June 30, 2026, there were $205 million (€180 million) of borrowings outstanding under the German tranche, no borrowings outstanding under the all-borrower tranche, and no letters of credit outstanding under the European revolving credit facility. At December 31, 2025, we had no borrowings and no letters of credit outstanding under the European revolving credit facility.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Both our first lien revolving credit facility and our European revolving credit facility have customary representations and warranties including, as a condition to borrowing, that all such representations and warranties are true and correct, in all material respects, on the date of the borrowing, including representations as to no material adverse change in our business or financial condition since December 31, 2024 under the first lien facility and December 31, 2021 under the European facility.</w:t>
      </w:r>
    </w:p>
    <w:p>
      <w:pPr>
        <w:pStyle w:val="TextBody"/>
        <w:bidi w:val="0"/>
        <w:spacing w:lineRule="auto" w:line="288" w:before="12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Accounts Receivable Securitization Facilities (On-Balance Sheet)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GEBV and certain other of our European subsidiaries are parties to a pan-European accounts receivable securitization facility that expires in 2032. The terms of the facility provide the flexibility to designate annually the maximum amount of funding available under the facility in an amount of not less than €30 million and not more than €450 million. For the period from October 2025 through October 2027, the designated maximum amount of the facility is €300 million.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facility involves an ongoing daily sale of substantially all of the trade accounts receivable of certain GEBV subsidiaries. These subsidiaries retain servicing responsibilities. Utilization under this facility is based on eligible receivable balances.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funding commitments under the facility will expire upon the earliest to occur of: (a) October 18, 2032, (b) the non-renewal and expiration (without substitution) of all of the back-up liquidity commitments, (c) the early termination of the facility according to its terms (generally upon an Early Amortisation Event (as defined in the facility), which includes, among other things, events similar to the events of default under our first lien revolving credit facility; certain tax law changes; or certain changes to law, regulation or accounting standards), or (d) our request for early termination of the facility. The facility’s current back-up liquidity commitments will expire in October 2027.</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facility has customary representations, warranties, covenants and Early Amortisation Events. In addition, it is an Early Amortisation Event under the facility if GEBV’s ratio of Consolidated Net GEBV Indebtedness to Consolidated GEBV EBITDA for a period of four consecutive fiscal quarters is greater than 3.0 to 1.0 at the end of any fiscal quarter. This financial covenant is substantially similar to the covenant included in our European revolving credit facility.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At June 30, 2026, the amounts available and utilized under this program totaled $244 million (€214 million). At December 31, 2025, the amounts available and utilized under this program totaled $292 million (€249 million). The program does not qualify for sale accounting, and accordingly, these amounts are included in Long Term Debt and Finance Leases.</w:t>
      </w:r>
    </w:p>
    <w:p>
      <w:pPr>
        <w:pStyle w:val="TextBody"/>
        <w:bidi w:val="0"/>
        <w:spacing w:lineRule="auto" w:line="288" w:before="12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Accounts Receivable Factoring Facilities (Off-Balance Sheet)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have sold certain of our accounts receivables under off-balance sheet programs. For these programs, we have concluded that there is generally no risk of loss to us from non-payment of the sold receivables. At June 30, 2026, the gross amount of receivables sold was $830 million, compared to $892 million at December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299085"/>
                <wp:effectExtent l="0" t="0" r="0" b="0"/>
                <wp:wrapNone/>
                <wp:docPr id="43" name="Frame43"/>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240" w:after="283"/>
        <w:jc w:val="left"/>
        <w:rPr/>
      </w:pPr>
      <w:hyperlink w:anchor="ic6c494b4098947579b1e17aeda6e5d7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Letters of Credit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At June 30, 2026, we had $216 million in letters of credit issued under bilateral letter of credit agreements and other foreign credit facilities. The majority of these letter of credit agreements are in lieu of security deposits.</w:t>
      </w:r>
    </w:p>
    <w:p>
      <w:pPr>
        <w:pStyle w:val="TextBody"/>
        <w:bidi w:val="0"/>
        <w:spacing w:lineRule="auto" w:line="288" w:before="12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Supplier Financing</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have entered into supplier finance programs with several financial institutions. Under these programs, the financial institutions act as our paying agents with respect to accounts payable due to our suppliers. We agree to pay the financial institutions the stated amount of the confirmed invoices from the designated suppliers on the original due dates of the invoices. Invoice payment terms can be up to 120 days based on industry norms for the specific item purchased. We do not pay any fees to the financial institutions and we do not pledge any assets as security or provide other forms of guarantees for these programs. These programs allow our suppliers to sell their receivables to the financial institutions at the sole discretion of the suppliers and the financial institutions on terms that are negotiated among them. We are not always notified when our suppliers sell receivables under these programs. Our obligations to our suppliers, including the amounts due and scheduled payment dates, are not impacted by our suppliers’ decisions to sell their receivables under these programs. The amounts available under these programs were $881 million and $876 million at June 30, 2026 and December 31, 2025, respectively. The amounts confirmed to the financial institutions were $550 million and $551 million at June 30, 2026 and December 31, 2025, respectively, and are included in Accounts Payable — Trade in our Consolidated Balance Sheets. All activity related to these obligations is presented within operating activities on the Consolidated Statements of Cash Flows.</w:t>
      </w:r>
    </w:p>
    <w:p>
      <w:pPr>
        <w:pStyle w:val="TextBody"/>
        <w:bidi w:val="0"/>
        <w:spacing w:lineRule="auto" w:line="288" w:before="12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Further Information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For a further description of the terms of our outstanding notes, first lien revolving credit facility, European revolving credit facility and pan-European accounts receivable securitization facility, refer to Note to the Consolidated Financial Statements No. 16, Financing Arrangements and Derivative Financial Instruments, in our 2025 Form 10</w:t>
        <w:noBreakHyphen/>
        <w:t>K and Note to the Consolidated Financial Statements No. 8, Financing Arrangements and Derivative Financial Instruments, in this Form 10-Q.</w:t>
      </w:r>
    </w:p>
    <w:p>
      <w:pPr>
        <w:pStyle w:val="TextBody"/>
        <w:bidi w:val="0"/>
        <w:spacing w:lineRule="auto" w:line="288" w:before="12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Covenant Compliance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first lien revolving credit facility contains certain covenants that, among other things, limit our ability to incur additional debt or issue redeemable preferred stock, pay dividends, repurchase shares or make certain other restricted payments or investments, incur liens, sell assets, incur restrictions on the ability of our subsidiaries to pay dividends or to make other payments to us, enter into affiliate transactions, engage in sale and leaseback transactions, and consolidate, merge, sell or otherwise dispose of all or substantially all of our assets. The indentures governing our notes also contain certain covenants that, among other things, limit our ability to incur liens, engage in sale and leaseback transactions, and consolidate, merge, sell or otherwise dispose of all or substantially all of our assets. These covenants are subject to significant exceptions and qualifications. Our first lien revolving credit facility and the indentures governing our notes also have customary defaults, including cross-defaults to material indebtedness of Goodyear and its subsidiaries.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have an additional financial covenant in our first lien revolving credit facility that is currently not applicable. We become subject to that financial covenant when the aggregate amount of our Parent Company (The Goodyear Tire &amp; Rubber Company) and guarantor subsidiaries cash and cash equivalents (“Available Cash”) plus our availability under our first lien revolving credit facility is less than $275 million. If this were to occur, our ratio of EBITDA to Consolidated Interest Expense may not be less than 2.0 to 1.0 for the most recent period of four consecutive fiscal quarters. As of June 30, 2026, our unused availability under this facility of $2,238 million, plus our Available Cash of $140 million, totaled $2,378 million, which is in excess of $275 million.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addition, our European revolving credit facility contains non-financial covenants similar to the non-financial covenants in our first lien revolving credit facility that are described above, similar non-financial covenants specifically applicable to GEBV and its subsidiaries, and a financial covenant applicable only to GEBV and its subsidiaries. This financial covenant provides that we are not permitted to allow GEBV’s ratio of Consolidated Net GEBV Indebtedness to Consolidated GEBV EBITDA for a period of four consecutive fiscal quarters to be greater than 3.0 to 1.0 at the end of any fiscal quarter. Consolidated Net GEBV Indebtedness is determined net of the sum of cash and cash equivalents in excess of $100 million held by GEBV and its subsidiaries, cash and cash equivalents in excess of $150 million held by the Parent Company and its U.S. subsidiaries, and availability under our first lien revolving credit facility if the ratio of EBITDA to Consolidated Interest Expense described above is not applicable and the conditions to borrowing under the first lien revolving credit facility are met. Consolidated Net GEBV Indebtedness also excludes loans from other consolidated Goodyear entities. This financial covenant is also included in our pan-European accounts receivable securitization facility. At June 30, 2026, we were in compliance with this financial covenant.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credit facilities also state that we may only incur additional debt or make restricted payments that are not otherwise expressly permitted if, after giving effect to the debt incurrence or the restricted payment, our ratio of EBITDA to Consolidated Interest Expense for the prior four fiscal quarters would exceed 2.0 to 1.0. Our credit facilities also permit the incurrence of additional debt through other provisions in those agreements without regard to our ability to satisfy the ratio-based incurrence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299085"/>
                <wp:effectExtent l="0" t="0" r="0" b="0"/>
                <wp:wrapNone/>
                <wp:docPr id="44" name="Frame44"/>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240" w:after="283"/>
        <w:jc w:val="left"/>
        <w:rPr/>
      </w:pPr>
      <w:hyperlink w:anchor="ic6c494b4098947579b1e17aeda6e5d7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test described above. We believe that these other provisions provide us with sufficient flexibility to incur additional debt necessary to meet our operating, investing and financing needs without regard to our ability to satisfy the ratio-based incurrence test.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Covenants could change based upon a refinancing or amendment of an existing facility, or additional covenants may be added in connection with the incurrence of new debt.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At June 30, 2026, we were in compliance with the currently applicable material covenants imposed by our principal credit facilities and indentures.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terms “Available Cash,” “EBITDA,” “Consolidated Interest Expense,” “Consolidated Net GEBV Indebtedness” and “Consolidated GEBV EBITDA” have the meanings given them in the respective credit facilities.</w:t>
      </w:r>
    </w:p>
    <w:p>
      <w:pPr>
        <w:pStyle w:val="TextBody"/>
        <w:bidi w:val="0"/>
        <w:spacing w:lineRule="auto" w:line="288" w:before="12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Potential Future Financings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addition to the financing activities described above, we may seek to undertake additional financing actions which could include restructuring bank debt or capital markets transactions, possibly including the issuance of additional debt or equity. Given the inherent uncertainty of market conditions, access to the capital markets cannot be assured.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future liquidity requirements may make it necessary for us to incur additional debt. However, a substantial portion of our assets are already subject to liens securing our indebtedness. As a result, we are limited in our ability to pledge our remaining assets as security for additional secured indebtedness. In addition, no assurance can be given as to our ability to raise additional unsecured debt.</w:t>
      </w:r>
    </w:p>
    <w:p>
      <w:pPr>
        <w:pStyle w:val="TextBody"/>
        <w:bidi w:val="0"/>
        <w:spacing w:lineRule="auto" w:line="288" w:before="12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Dividends and Common Stock Repurchases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Under our primary credit facilities, we are permitted to pay dividends on and repurchase our capital stock (which constitute restricted payments) as long as no default will have occurred and be continuing, additional indebtedness can be incurred under the credit facilities following the payment, and certain financial tests are satisfied.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do not currently pay a quarterly dividend on our common stock.</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may repurchase shares delivered to us by employees as payment for the exercise price of stock options and the withholding taxes due upon the exercise of stock options or the vesting or payment of stock awards. During the first six months of 2026, we did not repurchase any shares from employees.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restrictions imposed by our credit facilities are not expected to significantly affect our ability to pay dividends or repurchase our capital stock in the future.</w:t>
      </w:r>
    </w:p>
    <w:p>
      <w:pPr>
        <w:pStyle w:val="TextBody"/>
        <w:bidi w:val="0"/>
        <w:spacing w:lineRule="auto" w:line="288" w:before="12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Asset Dispositions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Historically, the restrictions on asset sales and sale and leaseback transactions imposed by our material indebtedness have not affected our ability to divest non-core businesses or assets. We may undertake additional asset sales and sale and leaseback transactions in the future. The restrictions imposed by our material indebtedness may require us to seek waivers or amendments of covenants or alternative sources of financing to proceed with future transactions. We cannot assure you that such waivers, amendments or alternative financing could be obtained, or if obtained, would be on terms acceptable to us.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Supplemental Guarantor Financial Information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Certain of our subsidiaries, which are listed on Exhibit 22.1 to this Quarterly Report on Form 10-Q and are generally holding or operating companies, have guaranteed our obligations under the $700 million outstanding principal amount of 4.875% senior notes due 2027, the $850 million outstanding principal amount of 5% senior notes due 2029, the $500 million outstanding principal amount of 6.625% senior notes due 2030, the $550 million outstanding principal amount of 5.25% senior notes due April 2031, the $600 million outstanding principal amount of 5.25% senior notes due July 2031, the $1,050 million outstanding principal amount of 8.875% senior notes due 2032 and the $450 million outstanding principal amount of 5.625% senior notes due 2033 (collectively, the “Notes”).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Notes have been issued by The Goodyear Tire &amp; Rubber Company (the “Parent Company”) and are its senior unsecured obligations. The Notes rank equally in right of payment with all of our existing and future senior unsecured obligations and senior to any of our future subordinated indebtedness. The Notes are effectively subordinated to our existing and future secured indebtedness to the extent of the assets securing that indebtedness. The Notes are fully and unconditionally guaranteed on a joint and several basis by each of our wholly-owned U.S. and Canadian subsidiaries that also guarantee our obligations under our first lien revolving credit facility (such guarantees, the “Guarantees”; and, such guaranteeing subsidiaries, the “Subsidiary Guarantors”). The Guarantees are senior unsecured obligations of the Subsidiary Guarantors and rank equally in right of payment with all existing and future senior unsecured obligations of our Subsidiary Guarantors. The Guarantees are effectively subordinated to existing and future secured indebtedness of the Subsidiary Guarantors to the extent of the assets securing that indebtedness.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299085"/>
                <wp:effectExtent l="0" t="0" r="0" b="0"/>
                <wp:wrapNone/>
                <wp:docPr id="45" name="Frame45"/>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240" w:after="283"/>
        <w:jc w:val="left"/>
        <w:rPr/>
      </w:pPr>
      <w:hyperlink w:anchor="ic6c494b4098947579b1e17aeda6e5d7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Notes are structurally subordinated to all of the existing and future debt and other liabilities, including trade payables, of our subsidiaries that do not guarantee the Notes (the “Non-Guarantor Subsidiaries”). The Non-Guarantor Subsidiaries will have no obligation, contingent or otherwise, to pay amounts due under the Notes or to make funds available to pay those amounts. Certain Non-Guarantor Subsidiaries are limited in their ability to remit funds to us by means of dividends, advances or loans due to required foreign government and/or currency exchange board approvals or limitations in credit agreements or other debt instruments of those subsidiaries.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Subsidiary Guarantors, as primary obligors and not merely as sureties, jointly and severally irrevocably and unconditionally guarantee on a senior unsecured basis the performance and full and punctual payment when due of all obligations of the Parent Company under the Notes and the related indentures, whether for payment of principal of or interest on the Notes, expenses, indemnification or otherwise. The Guarantees of the Subsidiary Guarantors are subject to release in limited circumstances only upon the occurrence of certain customary conditions.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Although the Guarantees provide the holders of Notes with a direct unsecured claim against the assets of the Subsidiary Guarantors, under U.S. federal bankruptcy law and comparable provisions of U.S. state fraudulent transfer laws, in certain circumstances a court could cancel a Guarantee and order the return of any payments made thereunder to the Subsidiary Guarantor or to a fund for the benefit of its creditors.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 court might take these actions if it found, among other things, that when the Subsidiary Guarantors incurred the debt evidenced by their Guarantee (i) they received less than reasonably equivalent value or fair consideration for the incurrence of the debt and (ii) any one of the following conditions was satisfied:</w:t>
      </w:r>
    </w:p>
    <w:p>
      <w:pPr>
        <w:pStyle w:val="TextBody"/>
        <w:bidi w:val="0"/>
        <w:spacing w:lineRule="auto" w:line="288" w:before="120" w:after="283"/>
        <w:ind w:left="0" w:right="0" w:hanging="900"/>
        <w:jc w:val="both"/>
        <w:rPr/>
      </w:pPr>
      <w:r>
        <w:rPr>
          <w:color w:val="000000"/>
        </w:rPr>
        <w:t>•</w:t>
      </w:r>
      <w:r>
        <w:rPr>
          <w:rFonts w:ascii="Times New Roman;serif" w:hAnsi="Times New Roman;serif"/>
          <w:b w:val="false"/>
          <w:color w:val="000000"/>
          <w:sz w:val="20"/>
        </w:rPr>
        <w:t>the Subsidiary Guarantor was insolvent or rendered insolvent by reason of the incurrence;</w:t>
      </w:r>
    </w:p>
    <w:p>
      <w:pPr>
        <w:pStyle w:val="TextBody"/>
        <w:bidi w:val="0"/>
        <w:spacing w:lineRule="auto" w:line="288" w:before="120" w:after="283"/>
        <w:ind w:left="0" w:right="0" w:hanging="900"/>
        <w:jc w:val="both"/>
        <w:rPr/>
      </w:pPr>
      <w:r>
        <w:rPr>
          <w:color w:val="000000"/>
        </w:rPr>
        <w:t>•</w:t>
      </w:r>
      <w:r>
        <w:rPr>
          <w:rFonts w:ascii="Times New Roman;serif" w:hAnsi="Times New Roman;serif"/>
          <w:b w:val="false"/>
          <w:color w:val="000000"/>
          <w:sz w:val="20"/>
        </w:rPr>
        <w:t>the Subsidiary Guarantor was engaged in a business or transaction for which its remaining assets constituted unreasonably small capital; or</w:t>
      </w:r>
    </w:p>
    <w:p>
      <w:pPr>
        <w:pStyle w:val="TextBody"/>
        <w:bidi w:val="0"/>
        <w:spacing w:lineRule="auto" w:line="288" w:before="120" w:after="283"/>
        <w:ind w:left="0" w:right="0" w:hanging="900"/>
        <w:jc w:val="both"/>
        <w:rPr/>
      </w:pPr>
      <w:r>
        <w:rPr>
          <w:color w:val="000000"/>
        </w:rPr>
        <w:t>•</w:t>
      </w:r>
      <w:r>
        <w:rPr>
          <w:rFonts w:ascii="Times New Roman;serif" w:hAnsi="Times New Roman;serif"/>
          <w:b w:val="false"/>
          <w:color w:val="000000"/>
          <w:sz w:val="20"/>
        </w:rPr>
        <w:t>the Subsidiary Guarantor intended to incur, or believed (or reasonably should have believed) that it would incur, debts beyond its ability to pay as those debts matured.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applying the above factors, a court would likely find that a Subsidiary Guarantor did not receive fair consideration or reasonably equivalent value for its Guarantee, except to the extent that it benefited directly or indirectly from the issuance of the Notes. The determination of whether a guarantor was or was not rendered “insolvent” when it entered into its guarantee will vary depending on the law of the jurisdiction being applied. Generally, an entity would be considered insolvent if the sum of its debts (including contingent or unliquidated debts) is greater than all of its assets at a fair valuation or if the present fair salable value of its assets is less than the amount that will be required to pay its probable liability on its existing debts, including contingent or unliquidated debts, as they mature.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Under Canadian federal bankruptcy and insolvency laws and comparable provincial laws on preferences, fraudulent conveyances or other challengeable or voidable transactions, the Guarantees could be challenged as a preference, fraudulent conveyance, transfer at undervalue or other challengeable or voidable transaction. The test to be applied varies among the different pieces of legislation, but as a general matter these types of challenges may arise in circumstances where:</w:t>
      </w:r>
    </w:p>
    <w:p>
      <w:pPr>
        <w:pStyle w:val="TextBody"/>
        <w:bidi w:val="0"/>
        <w:spacing w:lineRule="auto" w:line="288" w:before="120" w:after="283"/>
        <w:ind w:left="0" w:right="0" w:hanging="900"/>
        <w:jc w:val="both"/>
        <w:rPr/>
      </w:pPr>
      <w:r>
        <w:rPr>
          <w:color w:val="000000"/>
        </w:rPr>
        <w:t>•</w:t>
      </w:r>
      <w:r>
        <w:rPr>
          <w:rFonts w:ascii="Times New Roman;serif" w:hAnsi="Times New Roman;serif"/>
          <w:b w:val="false"/>
          <w:color w:val="000000"/>
          <w:sz w:val="20"/>
        </w:rPr>
        <w:t>such action was intended to defeat, hinder, delay, defraud or prejudice creditors or others;</w:t>
      </w:r>
    </w:p>
    <w:p>
      <w:pPr>
        <w:pStyle w:val="TextBody"/>
        <w:bidi w:val="0"/>
        <w:spacing w:lineRule="auto" w:line="288" w:before="120" w:after="283"/>
        <w:ind w:left="0" w:right="0" w:hanging="900"/>
        <w:jc w:val="both"/>
        <w:rPr/>
      </w:pPr>
      <w:r>
        <w:rPr>
          <w:color w:val="000000"/>
        </w:rPr>
        <w:t>•</w:t>
      </w:r>
      <w:r>
        <w:rPr>
          <w:rFonts w:ascii="Times New Roman;serif" w:hAnsi="Times New Roman;serif"/>
          <w:b w:val="false"/>
          <w:color w:val="000000"/>
          <w:sz w:val="20"/>
        </w:rPr>
        <w:t>such action was taken within a specified period of time prior to the commencement of proceedings under Canadian bankruptcy, insolvency or restructuring legislation in respect of a Subsidiary Guarantor, the consideration received by the Subsidiary Guarantor was conspicuously less than the fair market value of the consideration given, and the Subsidiary Guarantor was insolvent or rendered insolvent by such action and (in some circumstances, or) such action was intended to defraud, defeat or delay a creditor;</w:t>
      </w:r>
    </w:p>
    <w:p>
      <w:pPr>
        <w:pStyle w:val="TextBody"/>
        <w:bidi w:val="0"/>
        <w:spacing w:lineRule="auto" w:line="288" w:before="120" w:after="283"/>
        <w:ind w:left="0" w:right="0" w:hanging="900"/>
        <w:jc w:val="both"/>
        <w:rPr/>
      </w:pPr>
      <w:r>
        <w:rPr>
          <w:color w:val="000000"/>
        </w:rPr>
        <w:t>•</w:t>
      </w:r>
      <w:r>
        <w:rPr>
          <w:rFonts w:ascii="Times New Roman;serif" w:hAnsi="Times New Roman;serif"/>
          <w:b w:val="false"/>
          <w:color w:val="000000"/>
          <w:sz w:val="20"/>
        </w:rPr>
        <w:t>such action was taken within a specified period of time prior to the commencement of proceedings under Canadian bankruptcy, insolvency or restructuring legislation in respect of a Subsidiary Guarantor and such action was taken, or is deemed to have been taken, with a view to giving a creditor a preference over other creditors or, in some circumstances, had the effect of giving a creditor a preference over other creditors; or</w:t>
      </w:r>
    </w:p>
    <w:p>
      <w:pPr>
        <w:pStyle w:val="TextBody"/>
        <w:bidi w:val="0"/>
        <w:spacing w:lineRule="auto" w:line="288" w:before="120" w:after="283"/>
        <w:ind w:left="0" w:right="0" w:hanging="900"/>
        <w:jc w:val="both"/>
        <w:rPr/>
      </w:pPr>
      <w:r>
        <w:rPr>
          <w:color w:val="000000"/>
        </w:rPr>
        <w:t>•</w:t>
      </w:r>
      <w:r>
        <w:rPr>
          <w:rFonts w:ascii="Times New Roman;serif" w:hAnsi="Times New Roman;serif"/>
          <w:b w:val="false"/>
          <w:color w:val="000000"/>
          <w:sz w:val="20"/>
        </w:rPr>
        <w:t>a Subsidiary Guarantor is found to have acted in a manner that was oppressive, unfairly prejudicial to or unfairly disregarded the interests of any shareholder, creditor, director, officer or other interested party.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addition, in certain insolvency proceedings a Canadian court may subordinate claims in respect of the Guarantees to other claims against a Subsidiary Guarantor under the principle of equitable subordination if the court determines that (1) the holder of Notes engaged in some type of inequitable or improper conduct, (2) the inequitable or improper conduct resulted in injury to other creditors or conferred an unfair advantage upon the holder of Notes and (3) equitable subordination is not inconsistent with the provisions of the relevant solvency statute.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299085"/>
                <wp:effectExtent l="0" t="0" r="0" b="0"/>
                <wp:wrapNone/>
                <wp:docPr id="46" name="Frame46"/>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240" w:after="283"/>
        <w:jc w:val="left"/>
        <w:rPr/>
      </w:pPr>
      <w:hyperlink w:anchor="ic6c494b4098947579b1e17aeda6e5d7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If a court canceled a Guarantee, the holders of Notes would no longer have a claim against that Subsidiary Guarantor or its assets.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Each Guarantee is limited, by its terms, to an amount not to exceed the maximum amount that can be guaranteed by the applicable Subsidiary Guarantor without rendering the Guarantee, as it relates to that Subsidiary Guarantor, voidable under applicable law relating to fraudulent conveyance or fraudulent transfer or similar laws affecting the rights of creditors generally.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Each Subsidiary Guarantor is a consolidated subsidiary of the Parent Company at the date of each balance sheet presented. The following tables present summarized financial information for the Parent Company and the Subsidiary Guarantors on a combined basis after elimination of (i) intercompany transactions and balances among the Parent Company and the Subsidiary Guarantors and (ii) equity in earnings from and investments in any Non-Guarantor Subsidiary.</w:t>
      </w:r>
    </w:p>
    <w:tbl>
      <w:tblPr>
        <w:tblW w:w="10205" w:type="dxa"/>
        <w:jc w:val="left"/>
        <w:tblInd w:w="0" w:type="dxa"/>
        <w:tblLayout w:type="fixed"/>
        <w:tblCellMar>
          <w:top w:w="28" w:type="dxa"/>
          <w:left w:w="28" w:type="dxa"/>
          <w:bottom w:w="28" w:type="dxa"/>
          <w:right w:w="28" w:type="dxa"/>
        </w:tblCellMar>
      </w:tblPr>
      <w:tblGrid>
        <w:gridCol w:w="1761"/>
        <w:gridCol w:w="1440"/>
        <w:gridCol w:w="1449"/>
        <w:gridCol w:w="424"/>
        <w:gridCol w:w="1240"/>
        <w:gridCol w:w="219"/>
        <w:gridCol w:w="219"/>
        <w:gridCol w:w="219"/>
        <w:gridCol w:w="219"/>
        <w:gridCol w:w="644"/>
        <w:gridCol w:w="1881"/>
        <w:gridCol w:w="331"/>
        <w:gridCol w:w="159"/>
      </w:tblGrid>
      <w:tr>
        <w:trPr/>
        <w:tc>
          <w:tcPr>
            <w:tcW w:w="1761"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88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Summarized Balance Sheets</w:t>
            </w:r>
          </w:p>
        </w:tc>
        <w:tc>
          <w:tcPr>
            <w:tcW w:w="159"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1883"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65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6"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159"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shd w:fill="CFF0FC"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Total Current Assets</w:t>
            </w:r>
            <w:r>
              <w:rPr>
                <w:rFonts w:ascii="Times New Roman;serif" w:hAnsi="Times New Roman;serif"/>
                <w:b w:val="false"/>
                <w:color w:val="000000"/>
                <w:sz w:val="13"/>
              </w:rPr>
              <w:t>(1)</w:t>
            </w:r>
          </w:p>
        </w:tc>
        <w:tc>
          <w:tcPr>
            <w:tcW w:w="424"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0"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5,570 </w:t>
            </w:r>
          </w:p>
        </w:tc>
        <w:tc>
          <w:tcPr>
            <w:tcW w:w="21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8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5,058 </w:t>
            </w:r>
          </w:p>
        </w:tc>
        <w:tc>
          <w:tcPr>
            <w:tcW w:w="331"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Non-Current Assets</w:t>
            </w:r>
          </w:p>
        </w:tc>
        <w:tc>
          <w:tcPr>
            <w:tcW w:w="16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5,869 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5,948 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42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3,621 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3,121 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Non-Current Liabilities</w:t>
            </w:r>
          </w:p>
        </w:tc>
        <w:tc>
          <w:tcPr>
            <w:tcW w:w="1664"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7,117 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6,929 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0046" w:type="dxa"/>
            <w:gridSpan w:val="12"/>
            <w:tcBorders/>
            <w:shd w:fill="FFFFFF" w:val="clear"/>
            <w:tcMar>
              <w:top w:w="0" w:type="dxa"/>
              <w:left w:w="0" w:type="dxa"/>
              <w:bottom w:w="0" w:type="dxa"/>
              <w:right w:w="0" w:type="dxa"/>
            </w:tcMar>
            <w:vAlign w:val="center"/>
          </w:tcPr>
          <w:p>
            <w:pPr>
              <w:pStyle w:val="TableContents"/>
              <w:bidi w:val="0"/>
              <w:spacing w:lineRule="auto" w:line="288" w:before="0" w:after="40"/>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20"/>
              </w:rPr>
              <w:t>Includes receivables due from Non-Guarantor Subsidiaries of $1,687 million and $1,574 million as of June 30, 2026 and December 31, 2025, respectively.</w:t>
            </w:r>
          </w:p>
        </w:tc>
        <w:tc>
          <w:tcPr>
            <w:tcW w:w="15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983"/>
        <w:gridCol w:w="1212"/>
        <w:gridCol w:w="1223"/>
        <w:gridCol w:w="649"/>
        <w:gridCol w:w="1897"/>
        <w:gridCol w:w="335"/>
        <w:gridCol w:w="202"/>
        <w:gridCol w:w="202"/>
        <w:gridCol w:w="202"/>
        <w:gridCol w:w="466"/>
        <w:gridCol w:w="1456"/>
        <w:gridCol w:w="219"/>
        <w:gridCol w:w="159"/>
      </w:tblGrid>
      <w:tr>
        <w:trPr/>
        <w:tc>
          <w:tcPr>
            <w:tcW w:w="1983"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897"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Summarized Statements of Operations</w:t>
            </w:r>
          </w:p>
        </w:tc>
        <w:tc>
          <w:tcPr>
            <w:tcW w:w="159" w:type="dxa"/>
            <w:tcBorders/>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2881"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2026</w:t>
            </w:r>
          </w:p>
        </w:tc>
        <w:tc>
          <w:tcPr>
            <w:tcW w:w="60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1"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Year Ended</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159" w:type="dxa"/>
            <w:tcBorders/>
            <w:vAlign w:val="center"/>
          </w:tcPr>
          <w:p>
            <w:pPr>
              <w:pStyle w:val="TableContents"/>
              <w:bidi w:val="0"/>
              <w:spacing w:before="0" w:after="283"/>
              <w:jc w:val="left"/>
              <w:rPr>
                <w:sz w:val="4"/>
                <w:szCs w:val="4"/>
              </w:rPr>
            </w:pPr>
            <w:r>
              <w:rPr>
                <w:sz w:val="4"/>
                <w:szCs w:val="4"/>
              </w:rPr>
            </w:r>
          </w:p>
        </w:tc>
      </w:tr>
      <w:tr>
        <w:trPr/>
        <w:tc>
          <w:tcPr>
            <w:tcW w:w="4418"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649"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97"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3,979 </w:t>
            </w:r>
          </w:p>
        </w:tc>
        <w:tc>
          <w:tcPr>
            <w:tcW w:w="335"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5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10,348 </w:t>
            </w:r>
          </w:p>
        </w:tc>
        <w:tc>
          <w:tcPr>
            <w:tcW w:w="21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25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3,457 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8,530 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418"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Administrative and General Expense</w:t>
            </w:r>
          </w:p>
        </w:tc>
        <w:tc>
          <w:tcPr>
            <w:tcW w:w="254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755 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1,505 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and Intangible Asset Impairment</w:t>
            </w:r>
          </w:p>
        </w:tc>
        <w:tc>
          <w:tcPr>
            <w:tcW w:w="25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674 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418"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Rationalizations</w:t>
            </w:r>
          </w:p>
        </w:tc>
        <w:tc>
          <w:tcPr>
            <w:tcW w:w="254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25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385 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418" w:type="dxa"/>
            <w:gridSpan w:val="3"/>
            <w:tcBorders/>
            <w:shd w:fill="CFF0FC"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254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(Gain) Loss on Asset Sales</w:t>
            </w:r>
          </w:p>
        </w:tc>
        <w:tc>
          <w:tcPr>
            <w:tcW w:w="25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(254)</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418" w:type="dxa"/>
            <w:gridSpan w:val="3"/>
            <w:tcBorders/>
            <w:shd w:fill="CFF0FC"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Taxes</w:t>
            </w:r>
          </w:p>
        </w:tc>
        <w:tc>
          <w:tcPr>
            <w:tcW w:w="649"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97"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(293)</w:t>
            </w:r>
          </w:p>
        </w:tc>
        <w:tc>
          <w:tcPr>
            <w:tcW w:w="335"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5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(466)</w:t>
            </w:r>
          </w:p>
        </w:tc>
        <w:tc>
          <w:tcPr>
            <w:tcW w:w="21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418" w:type="dxa"/>
            <w:gridSpan w:val="3"/>
            <w:tcBorders/>
            <w:shd w:fill="CFF0FC"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Net Income (Loss)</w:t>
            </w:r>
            <w:r>
              <w:rPr>
                <w:rFonts w:ascii="Times New Roman;serif" w:hAnsi="Times New Roman;serif"/>
                <w:b w:val="false"/>
                <w:color w:val="000000"/>
                <w:sz w:val="13"/>
              </w:rPr>
              <w:t>(2)</w:t>
            </w:r>
          </w:p>
        </w:tc>
        <w:tc>
          <w:tcPr>
            <w:tcW w:w="649"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97"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(333)</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5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(1,851)</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Goodyear Net Income (Loss)</w:t>
            </w:r>
            <w:r>
              <w:rPr>
                <w:rFonts w:ascii="Times New Roman;serif" w:hAnsi="Times New Roman;serif"/>
                <w:b w:val="false"/>
                <w:color w:val="000000"/>
                <w:sz w:val="13"/>
              </w:rPr>
              <w:t>(2)</w:t>
            </w:r>
          </w:p>
        </w:tc>
        <w:tc>
          <w:tcPr>
            <w:tcW w:w="64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9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(333)</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(1,851)</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0046" w:type="dxa"/>
            <w:gridSpan w:val="12"/>
            <w:tcBorders/>
            <w:tcMar>
              <w:top w:w="0" w:type="dxa"/>
              <w:left w:w="0" w:type="dxa"/>
              <w:bottom w:w="0" w:type="dxa"/>
              <w:right w:w="0" w:type="dxa"/>
            </w:tcMar>
            <w:vAlign w:val="center"/>
          </w:tcPr>
          <w:p>
            <w:pPr>
              <w:pStyle w:val="TableContents"/>
              <w:bidi w:val="0"/>
              <w:spacing w:lineRule="auto" w:line="288" w:before="0" w:after="40"/>
              <w:ind w:left="0" w:right="0" w:hanging="360"/>
              <w:jc w:val="both"/>
              <w:rPr/>
            </w:pPr>
            <w:r>
              <w:rPr>
                <w:rFonts w:ascii="Times New Roman;serif" w:hAnsi="Times New Roman;serif"/>
                <w:b w:val="false"/>
                <w:color w:val="000000"/>
                <w:sz w:val="13"/>
              </w:rPr>
              <w:t>(2)</w:t>
            </w:r>
            <w:r>
              <w:rPr>
                <w:rFonts w:ascii="Times New Roman;serif" w:hAnsi="Times New Roman;serif"/>
                <w:b w:val="false"/>
                <w:color w:val="000000"/>
                <w:sz w:val="20"/>
              </w:rPr>
              <w:t>Includes income from intercompany transactions with Non-Guarantor Subsidiaries of $225 million for the six months ended June 30, 2026, primarily from royalties, intercompany product sales, dividends and interest, and $557 million for the year ended December 31, 2025, primarily from royalties, dividends, interest and intercompany product sales.</w:t>
            </w:r>
          </w:p>
        </w:tc>
        <w:tc>
          <w:tcPr>
            <w:tcW w:w="159"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CRITICAL ACCOUNTING POLICIES</w:t>
      </w:r>
    </w:p>
    <w:p>
      <w:pPr>
        <w:pStyle w:val="TextBody"/>
        <w:bidi w:val="0"/>
        <w:spacing w:lineRule="auto" w:line="288" w:before="120" w:after="283"/>
        <w:jc w:val="both"/>
        <w:rPr/>
      </w:pPr>
      <w:r>
        <w:rPr>
          <w:rFonts w:ascii="Times New Roman;serif" w:hAnsi="Times New Roman;serif"/>
          <w:b w:val="false"/>
          <w:i/>
          <w:color w:val="000000"/>
          <w:sz w:val="20"/>
        </w:rPr>
        <w:t>Goodwill and Intangible Assets.</w:t>
      </w:r>
      <w:r>
        <w:rPr>
          <w:color w:val="000000"/>
        </w:rPr>
        <w:t xml:space="preserve"> </w:t>
      </w:r>
      <w:r>
        <w:rPr>
          <w:rFonts w:ascii="Times New Roman;serif" w:hAnsi="Times New Roman;serif"/>
          <w:b w:val="false"/>
          <w:color w:val="000000"/>
          <w:sz w:val="20"/>
        </w:rPr>
        <w:t>Goodwill and indefinite-lived intangible assets are tested for impairment annually or more frequently if an indicator of impairment is present. Intangible assets with finite lives are amortized over their useful lives and are reviewed for impairment whenever events or circumstances warrant such review. Goodwill and intangible assets are written down to fair value if considered impaired.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Goodwill and Intangible Assets totaled $44 million and $651 million, respectively, at June 30, 2026, compared to $42 million and $663 million, respectively, at December 31, 2025. All goodwill was associated with the reporting unit in our Asia Pacific segment at June 30, 2026 and December 31, 2025.</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Goodwill and intangible assets with indefinite useful lives are not amortized but are assessed for impairment annually on October 31 with the option to perform a qualitative assessment to determine whether further impairment testing is necessary or to perform a quantitative assessment by comparing the fair value of the reporting unit or indefinite-lived intangible asset to its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299085"/>
                <wp:effectExtent l="0" t="0" r="0" b="0"/>
                <wp:wrapNone/>
                <wp:docPr id="47" name="Frame47"/>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240" w:after="283"/>
        <w:jc w:val="left"/>
        <w:rPr/>
      </w:pPr>
      <w:hyperlink w:anchor="ic6c494b4098947579b1e17aeda6e5d7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carrying value. In addition to the annual assessment, impairment evaluation is considered during interim periods when events occur or circumstances change that would more likely than not reduce the fair value of the asset below its carrying value. During our annual impairment assessment and in subsequent interim periods, we review events that occur or circumstances that change, including the macroeconomic environment, our business performance and our market capitalization, to determine if a quantitative impairment assessment is necessary. We review our business performance and the macroeconomic environment against our recent expectations and evaluate book value compared to market capitalization, including fluctuations in our stock price, to determine if this could be an indicator of potential impairment. Consideration is given as to whether a fluctuation in our stock price is a result of current market conditions, due to a transitory event or an event that is expected to continue to affect us, or is consistent with our historical stock price volatility. We also consider these factors compared to the results of our most recent quantitative impairment assessment.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Under the qualitative assessment, we assess whether it is more likely than not (defined as a likelihood of more than 50%) that the fair value of our goodwill or indefinite-lived intangible assets is less than the respective carrying values. If it is more likely than not that an impairment exists, then a quantitative impairment assessment is performed. If under the quantitative assessment the fair value is less than the carrying value, an impairment loss will be recorded for the difference between the carrying value and the fair value. Under the quantitative assessment, we estimate the fair value of goodwill using the discounted cash flows of a reporting unit. For indefinite-lived intangible assets we estimate the fair value using discounted cash flows following a relief-from-royalty method utilizing a market-based royalty rate. Forecasts of future cash flows are based on our best estimate of projected revenue and projected operating margin, based primarily on sales and production volume, pricing, raw material costs, market share, industry outlook, general economic conditions, and certain strategic actions we plan to implement. Cash flows are discounted using our weighted average cost of capital.</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part of our annual impairment analysis as of October 31, 2025, we completed a qualitative impairment analysis of our Asia Pacific reporting unit. After considering the results of our most recent quantitative annual testing, the capital markets environment, macroeconomic conditions, tire industry competition and trends, our results of operations, and other factors, we concluded that it was not more likely than not that the fair value of our Asia Pacific reporting unit was less than the carrying value and, therefore, did not perform a quantitative analysis.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At June 30, 2026, after evaluating macroeconomic conditions and our current and future results of operations, we concluded that there were no triggering events and it was not more likely than not that the fair value of goodwill of our reporting unit within our Asia Pacific segment was less than its carrying value and, therefore, did not have any impairment. Future changes in the judgments, assumptions and estimates that are used in our impairment testing for goodwill, including discount rates and cash flow projections, could result in significantly different estimates of the fair values. A significant reduction in the estimated fair values could result in non-cash impairment charges that could adversely affect our results of operations in a future period.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the second quarter of 2026, we experienced continued volume declines, primarily in Americas and EMEA. We viewed this event as a triggering event and performed a quantitative analysis of the fair value of $425 million of our indefinite-lived intangible assets related to the acquisition of Cooper Tire as of June 30, 2026. Based on the results of the quantitative impairment assessments, the fair value of the indefinite-lived intangible assets approximated their respective carrying values. We determined the fair value of the indefinite-lived intangible assets using the relief-from-royalty method, which calculates the cost savings associated with owning rather than licensing the assets. The most critical assumptions used in the calculation of the fair value are projected revenue, discount rate and royalty rate. The fair value of the indefinite-lived intangible assets is sensitive to differences between estimated and actual revenue, including changes in the discount rate and royalty rate used to evaluate the fair value of these assets. Although we believe our estimate of fair value is reasonable, the performance of these indefinite-lived intangible assets is dependent on our ability to execute our business plan. If our future financial performance falls below our expectations or there are adverse revisions to significant assumptions, including projected revenues, discount rates or royalty rates, this could be indicative that the fair values of these indefinite-lived intangible assets have declined below their carrying values, and therefore we may need to record a material, non-cash impairment charge in a future period.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299085"/>
                <wp:effectExtent l="0" t="0" r="0" b="0"/>
                <wp:wrapNone/>
                <wp:docPr id="48" name="Frame48"/>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240" w:after="283"/>
        <w:jc w:val="left"/>
        <w:rPr/>
      </w:pPr>
      <w:hyperlink w:anchor="ic6c494b4098947579b1e17aeda6e5d7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FORWARD-LOOKING INFORMATION — SAFE HARBOR STATEMENT</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Certain information in this Form 10-Q (other than historical data and information) may constitute forward-looking statements regarding events and trends that may affect our future operating results and financial position. The words “estimate,” “expect,” “intend” and “project,” as well as other words or expressions of similar meaning, are intended to identify forward-looking statements. You are cautioned not to place undue reliance on forward-looking statements, which speak only as of the date of this Quarterly Report on Form 10-Q. Such statements are based on current expectations and assumptions, are inherently uncertain, are subject to risks and should be viewed with caution. Actual results and experience may differ materially from the forward-looking statements as a result of many factors, including:</w:t>
      </w:r>
    </w:p>
    <w:p>
      <w:pPr>
        <w:pStyle w:val="TextBody"/>
        <w:bidi w:val="0"/>
        <w:spacing w:lineRule="auto" w:line="288" w:before="120" w:after="283"/>
        <w:ind w:left="0" w:right="0" w:hanging="900"/>
        <w:jc w:val="both"/>
        <w:rPr/>
      </w:pPr>
      <w:r>
        <w:rPr>
          <w:color w:val="000000"/>
        </w:rPr>
        <w:t>•</w:t>
      </w:r>
      <w:r>
        <w:rPr>
          <w:rFonts w:ascii="Times New Roman;serif" w:hAnsi="Times New Roman;serif"/>
          <w:b w:val="false"/>
          <w:color w:val="000000"/>
          <w:sz w:val="20"/>
        </w:rPr>
        <w:t>if we do not successfully implement our strategic initiatives, our operating results, financial condition and liquidity may be materially adversely affected;</w:t>
      </w:r>
    </w:p>
    <w:p>
      <w:pPr>
        <w:pStyle w:val="TextBody"/>
        <w:bidi w:val="0"/>
        <w:spacing w:lineRule="auto" w:line="288" w:before="120" w:after="283"/>
        <w:ind w:left="0" w:right="0" w:hanging="900"/>
        <w:jc w:val="both"/>
        <w:rPr/>
      </w:pPr>
      <w:r>
        <w:rPr>
          <w:color w:val="000000"/>
        </w:rPr>
        <w:t>•</w:t>
      </w:r>
      <w:r>
        <w:rPr>
          <w:rFonts w:ascii="Times New Roman;serif" w:hAnsi="Times New Roman;serif"/>
          <w:b w:val="false"/>
          <w:color w:val="000000"/>
          <w:sz w:val="20"/>
        </w:rPr>
        <w:t>our ongoing obligations to the purchasers of our OTR tire business, the Dunlop brand and our chemical business may disrupt our current and future plans or operations;</w:t>
      </w:r>
    </w:p>
    <w:p>
      <w:pPr>
        <w:pStyle w:val="TextBody"/>
        <w:bidi w:val="0"/>
        <w:spacing w:lineRule="auto" w:line="288" w:before="120" w:after="283"/>
        <w:ind w:left="0" w:right="0" w:hanging="900"/>
        <w:jc w:val="both"/>
        <w:rPr/>
      </w:pPr>
      <w:r>
        <w:rPr>
          <w:color w:val="000000"/>
        </w:rPr>
        <w:t>•</w:t>
      </w:r>
      <w:r>
        <w:rPr>
          <w:rFonts w:ascii="Times New Roman;serif" w:hAnsi="Times New Roman;serif"/>
          <w:b w:val="false"/>
          <w:color w:val="000000"/>
          <w:sz w:val="20"/>
        </w:rPr>
        <w:t>we face significant global competition and our market share could decline;</w:t>
      </w:r>
    </w:p>
    <w:p>
      <w:pPr>
        <w:pStyle w:val="TextBody"/>
        <w:bidi w:val="0"/>
        <w:spacing w:lineRule="auto" w:line="288" w:before="120" w:after="283"/>
        <w:ind w:left="0" w:right="0" w:hanging="900"/>
        <w:jc w:val="both"/>
        <w:rPr/>
      </w:pPr>
      <w:r>
        <w:rPr>
          <w:color w:val="000000"/>
        </w:rPr>
        <w:t>•</w:t>
      </w:r>
      <w:r>
        <w:rPr>
          <w:rFonts w:ascii="Times New Roman;serif" w:hAnsi="Times New Roman;serif"/>
          <w:b w:val="false"/>
          <w:color w:val="000000"/>
          <w:sz w:val="20"/>
        </w:rPr>
        <w:t>our capital expenditures may not be adequate to maintain our competitive position and may not be implemented in a timely or cost-effective manner;</w:t>
      </w:r>
    </w:p>
    <w:p>
      <w:pPr>
        <w:pStyle w:val="TextBody"/>
        <w:bidi w:val="0"/>
        <w:spacing w:lineRule="auto" w:line="288" w:before="120" w:after="283"/>
        <w:ind w:left="0" w:right="0" w:hanging="900"/>
        <w:jc w:val="both"/>
        <w:rPr/>
      </w:pPr>
      <w:r>
        <w:rPr>
          <w:color w:val="000000"/>
        </w:rPr>
        <w:t>•</w:t>
      </w:r>
      <w:r>
        <w:rPr>
          <w:rFonts w:ascii="Times New Roman;serif" w:hAnsi="Times New Roman;serif"/>
          <w:b w:val="false"/>
          <w:color w:val="000000"/>
          <w:sz w:val="20"/>
        </w:rPr>
        <w:t>raw material, energy and transportation cost increases may materially adversely affect our operating results and financial condition;</w:t>
      </w:r>
    </w:p>
    <w:p>
      <w:pPr>
        <w:pStyle w:val="TextBody"/>
        <w:bidi w:val="0"/>
        <w:spacing w:lineRule="auto" w:line="288" w:before="120" w:after="283"/>
        <w:ind w:left="0" w:right="0" w:hanging="900"/>
        <w:jc w:val="both"/>
        <w:rPr/>
      </w:pPr>
      <w:r>
        <w:rPr>
          <w:color w:val="000000"/>
        </w:rPr>
        <w:t>•</w:t>
      </w:r>
      <w:r>
        <w:rPr>
          <w:rFonts w:ascii="Times New Roman;serif" w:hAnsi="Times New Roman;serif"/>
          <w:b w:val="false"/>
          <w:color w:val="000000"/>
          <w:sz w:val="20"/>
        </w:rPr>
        <w:t>we have experienced inflationary cost pressures, including with respect to wages, benefits and energy costs, that may materially adversely affect our operating results and financial condition;</w:t>
      </w:r>
    </w:p>
    <w:p>
      <w:pPr>
        <w:pStyle w:val="TextBody"/>
        <w:bidi w:val="0"/>
        <w:spacing w:lineRule="auto" w:line="288" w:before="120" w:after="283"/>
        <w:ind w:left="0" w:right="0" w:hanging="900"/>
        <w:jc w:val="both"/>
        <w:rPr/>
      </w:pPr>
      <w:r>
        <w:rPr>
          <w:color w:val="000000"/>
        </w:rPr>
        <w:t>•</w:t>
      </w:r>
      <w:r>
        <w:rPr>
          <w:rFonts w:ascii="Times New Roman;serif" w:hAnsi="Times New Roman;serif"/>
          <w:b w:val="false"/>
          <w:color w:val="000000"/>
          <w:sz w:val="20"/>
        </w:rPr>
        <w:t>if we experience a labor strike, work stoppage, labor shortage or other similar event at the Company or its joint ventures, our business, results of operations, financial condition and liquidity could be materially adversely affected;</w:t>
      </w:r>
    </w:p>
    <w:p>
      <w:pPr>
        <w:pStyle w:val="TextBody"/>
        <w:bidi w:val="0"/>
        <w:spacing w:lineRule="auto" w:line="288" w:before="120" w:after="283"/>
        <w:ind w:left="0" w:right="0" w:hanging="900"/>
        <w:jc w:val="both"/>
        <w:rPr/>
      </w:pPr>
      <w:r>
        <w:rPr>
          <w:color w:val="000000"/>
        </w:rPr>
        <w:t>•</w:t>
      </w:r>
      <w:r>
        <w:rPr>
          <w:rFonts w:ascii="Times New Roman;serif" w:hAnsi="Times New Roman;serif"/>
          <w:b w:val="false"/>
          <w:color w:val="000000"/>
          <w:sz w:val="20"/>
        </w:rPr>
        <w:t>we have been, and may continue to be, negatively impacted by changes in tariffs, trade agreements or trade restrictions on imported tires, raw materials and other goods or equipment;</w:t>
      </w:r>
    </w:p>
    <w:p>
      <w:pPr>
        <w:pStyle w:val="TextBody"/>
        <w:bidi w:val="0"/>
        <w:spacing w:lineRule="auto" w:line="288" w:before="120" w:after="283"/>
        <w:ind w:left="0" w:right="0" w:hanging="900"/>
        <w:jc w:val="both"/>
        <w:rPr/>
      </w:pPr>
      <w:r>
        <w:rPr>
          <w:color w:val="000000"/>
        </w:rPr>
        <w:t>•</w:t>
      </w:r>
      <w:r>
        <w:rPr>
          <w:rFonts w:ascii="Times New Roman;serif" w:hAnsi="Times New Roman;serif"/>
          <w:b w:val="false"/>
          <w:color w:val="000000"/>
          <w:sz w:val="20"/>
        </w:rPr>
        <w:t xml:space="preserve">the ultimate availability, timing and amount of any refunds of IEEPA tariffs remains uncertain, and the amount, if any, that we ultimately recover may differ from the amount we previously paid or be materially delayed; </w:t>
      </w:r>
    </w:p>
    <w:p>
      <w:pPr>
        <w:pStyle w:val="TextBody"/>
        <w:bidi w:val="0"/>
        <w:spacing w:lineRule="auto" w:line="288" w:before="120" w:after="283"/>
        <w:ind w:left="0" w:right="0" w:hanging="900"/>
        <w:jc w:val="both"/>
        <w:rPr/>
      </w:pPr>
      <w:r>
        <w:rPr>
          <w:color w:val="000000"/>
        </w:rPr>
        <w:t>•</w:t>
      </w:r>
      <w:r>
        <w:rPr>
          <w:rFonts w:ascii="Times New Roman;serif" w:hAnsi="Times New Roman;serif"/>
          <w:b w:val="false"/>
          <w:color w:val="000000"/>
          <w:sz w:val="20"/>
        </w:rPr>
        <w:t>delays or disruptions in our supply chain or in the provision of services, including utilities, to us could result in increased costs or disruptions in our operations;</w:t>
      </w:r>
    </w:p>
    <w:p>
      <w:pPr>
        <w:pStyle w:val="TextBody"/>
        <w:bidi w:val="0"/>
        <w:spacing w:lineRule="auto" w:line="288" w:before="120" w:after="283"/>
        <w:ind w:left="0" w:right="0" w:hanging="900"/>
        <w:jc w:val="both"/>
        <w:rPr/>
      </w:pPr>
      <w:r>
        <w:rPr>
          <w:color w:val="000000"/>
        </w:rPr>
        <w:t>•</w:t>
      </w:r>
      <w:r>
        <w:rPr>
          <w:rFonts w:ascii="Times New Roman;serif" w:hAnsi="Times New Roman;serif"/>
          <w:b w:val="false"/>
          <w:color w:val="000000"/>
          <w:sz w:val="20"/>
        </w:rPr>
        <w:t>a prolonged economic downturn or economic uncertainty could adversely affect our business and results of operations;</w:t>
      </w:r>
    </w:p>
    <w:p>
      <w:pPr>
        <w:pStyle w:val="TextBody"/>
        <w:bidi w:val="0"/>
        <w:spacing w:lineRule="auto" w:line="288" w:before="120" w:after="283"/>
        <w:ind w:left="0" w:right="0" w:hanging="900"/>
        <w:jc w:val="both"/>
        <w:rPr/>
      </w:pPr>
      <w:r>
        <w:rPr>
          <w:color w:val="000000"/>
        </w:rPr>
        <w:t>•</w:t>
      </w:r>
      <w:r>
        <w:rPr>
          <w:rFonts w:ascii="Times New Roman;serif" w:hAnsi="Times New Roman;serif"/>
          <w:b w:val="false"/>
          <w:color w:val="000000"/>
          <w:sz w:val="20"/>
        </w:rPr>
        <w:t>deteriorating economic conditions in any of our major markets, or an inability to access capital markets or third-party financing when necessary, may materially adversely affect our operating results, financial condition and liquidity;</w:t>
      </w:r>
    </w:p>
    <w:p>
      <w:pPr>
        <w:pStyle w:val="TextBody"/>
        <w:bidi w:val="0"/>
        <w:spacing w:lineRule="auto" w:line="288" w:before="120" w:after="283"/>
        <w:ind w:left="0" w:right="0" w:hanging="900"/>
        <w:jc w:val="both"/>
        <w:rPr/>
      </w:pPr>
      <w:r>
        <w:rPr>
          <w:color w:val="000000"/>
        </w:rPr>
        <w:t>•</w:t>
      </w:r>
      <w:r>
        <w:rPr>
          <w:rFonts w:ascii="Times New Roman;serif" w:hAnsi="Times New Roman;serif"/>
          <w:b w:val="false"/>
          <w:color w:val="000000"/>
          <w:sz w:val="20"/>
        </w:rPr>
        <w:t>our international operations have certain risks that may materially adversely affect our operating results, financial condition and liquidity;</w:t>
      </w:r>
    </w:p>
    <w:p>
      <w:pPr>
        <w:pStyle w:val="TextBody"/>
        <w:bidi w:val="0"/>
        <w:spacing w:lineRule="auto" w:line="288" w:before="120" w:after="283"/>
        <w:ind w:left="0" w:right="0" w:hanging="900"/>
        <w:jc w:val="both"/>
        <w:rPr/>
      </w:pPr>
      <w:r>
        <w:rPr>
          <w:color w:val="000000"/>
        </w:rPr>
        <w:t>•</w:t>
      </w:r>
      <w:r>
        <w:rPr>
          <w:rFonts w:ascii="Times New Roman;serif" w:hAnsi="Times New Roman;serif"/>
          <w:b w:val="false"/>
          <w:color w:val="000000"/>
          <w:sz w:val="20"/>
        </w:rPr>
        <w:t>we have foreign currency translation and transaction risks that may materially adversely affect our operating results, financial condition and liquidity;</w:t>
      </w:r>
    </w:p>
    <w:p>
      <w:pPr>
        <w:pStyle w:val="TextBody"/>
        <w:bidi w:val="0"/>
        <w:spacing w:lineRule="auto" w:line="288" w:before="120" w:after="283"/>
        <w:ind w:left="0" w:right="0" w:hanging="900"/>
        <w:jc w:val="both"/>
        <w:rPr/>
      </w:pPr>
      <w:r>
        <w:rPr>
          <w:color w:val="000000"/>
        </w:rPr>
        <w:t>•</w:t>
      </w:r>
      <w:r>
        <w:rPr>
          <w:rFonts w:ascii="Times New Roman;serif" w:hAnsi="Times New Roman;serif"/>
          <w:b w:val="false"/>
          <w:color w:val="000000"/>
          <w:sz w:val="20"/>
        </w:rPr>
        <w:t>financial difficulties, work stoppages, labor shortages, supply disruptions or economic conditions affecting our major OE customers, dealers or suppliers could harm our business;</w:t>
      </w:r>
    </w:p>
    <w:p>
      <w:pPr>
        <w:pStyle w:val="TextBody"/>
        <w:bidi w:val="0"/>
        <w:spacing w:lineRule="auto" w:line="288" w:before="120" w:after="283"/>
        <w:ind w:left="0" w:right="0" w:hanging="900"/>
        <w:jc w:val="both"/>
        <w:rPr/>
      </w:pPr>
      <w:r>
        <w:rPr>
          <w:color w:val="000000"/>
        </w:rPr>
        <w:t>•</w:t>
      </w:r>
      <w:r>
        <w:rPr>
          <w:rFonts w:ascii="Times New Roman;serif" w:hAnsi="Times New Roman;serif"/>
          <w:b w:val="false"/>
          <w:color w:val="000000"/>
          <w:sz w:val="20"/>
        </w:rPr>
        <w:t>our long-term ability to meet our obligations, to repay maturing indebtedness or to implement strategic initiatives may be dependent on our ability to access capital markets in the future and to improve our operating results;</w:t>
      </w:r>
    </w:p>
    <w:p>
      <w:pPr>
        <w:pStyle w:val="TextBody"/>
        <w:bidi w:val="0"/>
        <w:spacing w:lineRule="auto" w:line="288" w:before="120" w:after="283"/>
        <w:ind w:left="0" w:right="0" w:hanging="900"/>
        <w:jc w:val="both"/>
        <w:rPr/>
      </w:pPr>
      <w:r>
        <w:rPr>
          <w:color w:val="000000"/>
        </w:rPr>
        <w:t>•</w:t>
      </w:r>
      <w:r>
        <w:rPr>
          <w:rFonts w:ascii="Times New Roman;serif" w:hAnsi="Times New Roman;serif"/>
          <w:b w:val="false"/>
          <w:color w:val="000000"/>
          <w:sz w:val="20"/>
        </w:rPr>
        <w:t>we have a substantial amount of debt, which could restrict our growth, place us at a competitive disadvantage or otherwise materially adversely affect our financial health;</w:t>
      </w:r>
    </w:p>
    <w:p>
      <w:pPr>
        <w:pStyle w:val="TextBody"/>
        <w:bidi w:val="0"/>
        <w:spacing w:lineRule="auto" w:line="288" w:before="120" w:after="283"/>
        <w:ind w:left="0" w:right="0" w:hanging="900"/>
        <w:jc w:val="both"/>
        <w:rPr/>
      </w:pPr>
      <w:r>
        <w:rPr>
          <w:color w:val="000000"/>
        </w:rPr>
        <w:t>•</w:t>
      </w:r>
      <w:r>
        <w:rPr>
          <w:rFonts w:ascii="Times New Roman;serif" w:hAnsi="Times New Roman;serif"/>
          <w:b w:val="false"/>
          <w:color w:val="000000"/>
          <w:sz w:val="20"/>
        </w:rPr>
        <w:t>any failure to be in compliance with any material provision or covenant of our debt instruments, or a material reduction in the borrowing base under our first lien revolving credit facility, could have a material adverse effect on our liquidity and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299085"/>
                <wp:effectExtent l="0" t="0" r="0" b="0"/>
                <wp:wrapNone/>
                <wp:docPr id="49" name="Frame49"/>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240" w:after="283"/>
        <w:jc w:val="left"/>
        <w:rPr/>
      </w:pPr>
      <w:hyperlink w:anchor="ic6c494b4098947579b1e17aeda6e5d7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hanging="900"/>
        <w:jc w:val="both"/>
        <w:rPr/>
      </w:pPr>
      <w:r>
        <w:rPr>
          <w:color w:val="000000"/>
        </w:rPr>
        <w:t>•</w:t>
      </w:r>
      <w:r>
        <w:rPr>
          <w:rFonts w:ascii="Times New Roman;serif" w:hAnsi="Times New Roman;serif"/>
          <w:b w:val="false"/>
          <w:color w:val="000000"/>
          <w:sz w:val="20"/>
        </w:rPr>
        <w:t>our variable rate indebtedness subjects us to interest rate risk, which could cause our debt service obligations to increase significantly;</w:t>
      </w:r>
    </w:p>
    <w:p>
      <w:pPr>
        <w:pStyle w:val="TextBody"/>
        <w:bidi w:val="0"/>
        <w:spacing w:lineRule="auto" w:line="288" w:before="120" w:after="283"/>
        <w:ind w:left="0" w:right="0" w:hanging="900"/>
        <w:jc w:val="both"/>
        <w:rPr/>
      </w:pPr>
      <w:r>
        <w:rPr>
          <w:color w:val="000000"/>
        </w:rPr>
        <w:t>•</w:t>
      </w:r>
      <w:r>
        <w:rPr>
          <w:rFonts w:ascii="Times New Roman;serif" w:hAnsi="Times New Roman;serif"/>
          <w:b w:val="false"/>
          <w:color w:val="000000"/>
          <w:sz w:val="20"/>
        </w:rPr>
        <w:t>we have substantial fixed costs and, as a result, our operating income fluctuates disproportionately with changes in our net sales;</w:t>
      </w:r>
    </w:p>
    <w:p>
      <w:pPr>
        <w:pStyle w:val="TextBody"/>
        <w:bidi w:val="0"/>
        <w:spacing w:lineRule="auto" w:line="288" w:before="120" w:after="283"/>
        <w:ind w:left="0" w:right="0" w:hanging="900"/>
        <w:jc w:val="both"/>
        <w:rPr/>
      </w:pPr>
      <w:r>
        <w:rPr>
          <w:color w:val="000000"/>
        </w:rPr>
        <w:t>•</w:t>
      </w:r>
      <w:r>
        <w:rPr>
          <w:rFonts w:ascii="Times New Roman;serif" w:hAnsi="Times New Roman;serif"/>
          <w:b w:val="false"/>
          <w:color w:val="000000"/>
          <w:sz w:val="20"/>
        </w:rPr>
        <w:t>we may incur significant costs in connection with our contingent liabilities and tax matters;</w:t>
      </w:r>
    </w:p>
    <w:p>
      <w:pPr>
        <w:pStyle w:val="TextBody"/>
        <w:bidi w:val="0"/>
        <w:spacing w:lineRule="auto" w:line="288" w:before="120" w:after="283"/>
        <w:ind w:left="0" w:right="0" w:hanging="900"/>
        <w:jc w:val="both"/>
        <w:rPr/>
      </w:pPr>
      <w:r>
        <w:rPr>
          <w:color w:val="000000"/>
        </w:rPr>
        <w:t>•</w:t>
      </w:r>
      <w:r>
        <w:rPr>
          <w:rFonts w:ascii="Times New Roman;serif" w:hAnsi="Times New Roman;serif"/>
          <w:b w:val="false"/>
          <w:color w:val="000000"/>
          <w:sz w:val="20"/>
        </w:rPr>
        <w:t>our reserves for contingent liabilities and our recorded insurance assets are subject to various uncertainties, the outcome of which may result in our actual costs being significantly higher than the net amount recorded;</w:t>
      </w:r>
    </w:p>
    <w:p>
      <w:pPr>
        <w:pStyle w:val="TextBody"/>
        <w:bidi w:val="0"/>
        <w:spacing w:lineRule="auto" w:line="288" w:before="120" w:after="283"/>
        <w:ind w:left="0" w:right="0" w:hanging="900"/>
        <w:jc w:val="both"/>
        <w:rPr/>
      </w:pPr>
      <w:r>
        <w:rPr>
          <w:color w:val="000000"/>
        </w:rPr>
        <w:t>•</w:t>
      </w:r>
      <w:r>
        <w:rPr>
          <w:rFonts w:ascii="Times New Roman;serif" w:hAnsi="Times New Roman;serif"/>
          <w:b w:val="false"/>
          <w:color w:val="000000"/>
          <w:sz w:val="20"/>
        </w:rPr>
        <w:t>environmental issues, including climate change, or legal, regulatory or market measures to address environmental issues, may negatively affect our business and operations and cause us to incur significant costs;</w:t>
      </w:r>
    </w:p>
    <w:p>
      <w:pPr>
        <w:pStyle w:val="TextBody"/>
        <w:bidi w:val="0"/>
        <w:spacing w:lineRule="auto" w:line="288" w:before="120" w:after="283"/>
        <w:ind w:left="0" w:right="0" w:hanging="900"/>
        <w:jc w:val="both"/>
        <w:rPr/>
      </w:pPr>
      <w:r>
        <w:rPr>
          <w:color w:val="000000"/>
        </w:rPr>
        <w:t>•</w:t>
      </w:r>
      <w:r>
        <w:rPr>
          <w:rFonts w:ascii="Times New Roman;serif" w:hAnsi="Times New Roman;serif"/>
          <w:b w:val="false"/>
          <w:color w:val="000000"/>
          <w:sz w:val="20"/>
        </w:rPr>
        <w:t>we are subject to extensive government regulations that may materially adversely affect our operating results;</w:t>
      </w:r>
    </w:p>
    <w:p>
      <w:pPr>
        <w:pStyle w:val="TextBody"/>
        <w:bidi w:val="0"/>
        <w:spacing w:lineRule="auto" w:line="288" w:before="120" w:after="283"/>
        <w:ind w:left="0" w:right="0" w:hanging="900"/>
        <w:jc w:val="both"/>
        <w:rPr/>
      </w:pPr>
      <w:r>
        <w:rPr>
          <w:color w:val="000000"/>
        </w:rPr>
        <w:t>•</w:t>
      </w:r>
      <w:r>
        <w:rPr>
          <w:rFonts w:ascii="Times New Roman;serif" w:hAnsi="Times New Roman;serif"/>
          <w:b w:val="false"/>
          <w:color w:val="000000"/>
          <w:sz w:val="20"/>
        </w:rPr>
        <w:t>we may be adversely affected by any disruption in, or failure of, our information technology systems due to computer viruses, unauthorized access, cyber-attack, natural disasters or other similar disruptions;</w:t>
      </w:r>
    </w:p>
    <w:p>
      <w:pPr>
        <w:pStyle w:val="TextBody"/>
        <w:bidi w:val="0"/>
        <w:spacing w:lineRule="auto" w:line="288" w:before="120" w:after="283"/>
        <w:ind w:left="0" w:right="0" w:hanging="900"/>
        <w:jc w:val="both"/>
        <w:rPr/>
      </w:pPr>
      <w:r>
        <w:rPr>
          <w:color w:val="000000"/>
        </w:rPr>
        <w:t>•</w:t>
      </w:r>
      <w:r>
        <w:rPr>
          <w:rFonts w:ascii="Times New Roman;serif" w:hAnsi="Times New Roman;serif"/>
          <w:b w:val="false"/>
          <w:color w:val="000000"/>
          <w:sz w:val="20"/>
        </w:rPr>
        <w:t>we may not be able to protect our intellectual property rights adequately;</w:t>
      </w:r>
    </w:p>
    <w:p>
      <w:pPr>
        <w:pStyle w:val="TextBody"/>
        <w:bidi w:val="0"/>
        <w:spacing w:lineRule="auto" w:line="288" w:before="120" w:after="283"/>
        <w:ind w:left="0" w:right="0" w:hanging="900"/>
        <w:jc w:val="both"/>
        <w:rPr/>
      </w:pPr>
      <w:r>
        <w:rPr>
          <w:color w:val="000000"/>
        </w:rPr>
        <w:t>•</w:t>
      </w:r>
      <w:r>
        <w:rPr>
          <w:rFonts w:ascii="Times New Roman;serif" w:hAnsi="Times New Roman;serif"/>
          <w:b w:val="false"/>
          <w:color w:val="000000"/>
          <w:sz w:val="20"/>
        </w:rPr>
        <w:t>if we are unable to attract and retain key personnel, our business could be materially adversely affected; and</w:t>
      </w:r>
    </w:p>
    <w:p>
      <w:pPr>
        <w:pStyle w:val="TextBody"/>
        <w:bidi w:val="0"/>
        <w:spacing w:lineRule="auto" w:line="288" w:before="120" w:after="283"/>
        <w:ind w:left="0" w:right="0" w:hanging="900"/>
        <w:jc w:val="both"/>
        <w:rPr/>
      </w:pPr>
      <w:r>
        <w:rPr>
          <w:color w:val="000000"/>
        </w:rPr>
        <w:t>•</w:t>
      </w:r>
      <w:r>
        <w:rPr>
          <w:rFonts w:ascii="Times New Roman;serif" w:hAnsi="Times New Roman;serif"/>
          <w:b w:val="false"/>
          <w:color w:val="000000"/>
          <w:sz w:val="20"/>
        </w:rPr>
        <w:t>we may be impacted by economic and supply disruptions associated with events beyond our control, such as war, including the current conflicts between Russia and Ukraine and in the Middle East, acts of terror, political unrest, public health concerns, labor disputes or natural disasters.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It is not possible to foresee or identify all such factors. We will not revise or update any forward-looking statement or disclose any facts, events or circumstances that occur after the date hereof that may affect the accuracy of any forward-looking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299085"/>
                <wp:effectExtent l="0" t="0" r="0" b="0"/>
                <wp:wrapNone/>
                <wp:docPr id="50" name="Frame50"/>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240" w:after="283"/>
        <w:jc w:val="left"/>
        <w:rPr/>
      </w:pPr>
      <w:hyperlink w:anchor="ic6c494b4098947579b1e17aeda6e5d7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utilize derivative financial instrument contracts and nonderivative instruments to manage interest rate, foreign exchange and commodity price risks. We have established a control environment that includes policies and procedures for risk assessment and the approval, reporting and monitoring of derivative financial instrument activities. We do not hold or issue derivative financial instruments for trading purposes.</w:t>
      </w:r>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Commodity Price Risk</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raw material costs to which our operations are principally exposed include the cost of natural rubber, synthetic rubber, carbon black, fabrics, steel cord and other petrochemical-based commodities. Approximately 70% of our raw materials are petroleum-based, the cost of which may be affected by fluctuations in the price of oil. We currently do not hedge commodity prices. We do, however, use various strategies to partially offset cost increases for raw materials, including centralizing purchases of raw materials through our global procurement organization in an effort to leverage our purchasing power, expanding our capabilities to substitute lower cost raw materials, and reducing the amount of material required in each tire.</w:t>
      </w:r>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Interest Rate Risk</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continuously monitor our fixed and floating rate debt mix. Within defined limitations, we manage the mix using refinancing. At June 30, 2026, approximately 17% of our debt was at variable interest rates averaging 6.62%.</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information about long term fixed rate debt, excluding finance leases, at June 30, 2026:</w:t>
      </w:r>
    </w:p>
    <w:tbl>
      <w:tblPr>
        <w:tblW w:w="3744" w:type="dxa"/>
        <w:jc w:val="left"/>
        <w:tblInd w:w="0" w:type="dxa"/>
        <w:tblLayout w:type="fixed"/>
        <w:tblCellMar>
          <w:top w:w="28" w:type="dxa"/>
          <w:left w:w="28" w:type="dxa"/>
          <w:bottom w:w="28" w:type="dxa"/>
          <w:right w:w="28" w:type="dxa"/>
        </w:tblCellMar>
      </w:tblPr>
      <w:tblGrid>
        <w:gridCol w:w="960"/>
        <w:gridCol w:w="842"/>
        <w:gridCol w:w="852"/>
        <w:gridCol w:w="211"/>
        <w:gridCol w:w="616"/>
        <w:gridCol w:w="109"/>
        <w:gridCol w:w="154"/>
      </w:tblGrid>
      <w:tr>
        <w:trPr/>
        <w:tc>
          <w:tcPr>
            <w:tcW w:w="960"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Carrying amount — liability</w:t>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5,516 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 liability</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 forma fair value — liability</w:t>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5,459 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pro forma information assumes a 100 basis point decrease in market interest rates at June 30, 2026, and reflects the estimated fair value of fixed rate debt outstanding at that date under that assumption. The sensitivity of our fixed rate debt to changes in interest rates was determined using current market pricing models.</w:t>
      </w:r>
    </w:p>
    <w:p>
      <w:pPr>
        <w:pStyle w:val="TextBody"/>
        <w:bidi w:val="0"/>
        <w:spacing w:lineRule="auto" w:line="288" w:before="120" w:after="283"/>
        <w:jc w:val="both"/>
        <w:rPr>
          <w:rFonts w:ascii="Times New Roman;serif" w:hAnsi="Times New Roman;serif"/>
          <w:b/>
          <w:i/>
          <w:color w:val="000000"/>
          <w:sz w:val="20"/>
          <w:u w:val="single"/>
        </w:rPr>
      </w:pPr>
      <w:r>
        <w:rPr>
          <w:rFonts w:ascii="Times New Roman;serif" w:hAnsi="Times New Roman;serif"/>
          <w:b/>
          <w:i/>
          <w:color w:val="000000"/>
          <w:sz w:val="20"/>
          <w:u w:val="single"/>
        </w:rPr>
        <w:t>Foreign Currency Exchange Risk</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enter into foreign currency contracts in order to reduce the impact of changes in foreign exchange rates on our consolidated results of operations and future foreign currency-denominated cash flows. These contracts reduce exposure to currency movements affecting existing foreign currency-denominated assets, liabilities, firm commitments and forecasted transactions resulting primarily from trade purchases and sales, equipment acquisitions, intercompany loans and royalty agreements. Contracts hedging short term trade receivables and payables normally have no hedging designation.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net foreign currency contract information at June 30, 2026:</w:t>
      </w:r>
    </w:p>
    <w:tbl>
      <w:tblPr>
        <w:tblW w:w="3722" w:type="dxa"/>
        <w:jc w:val="left"/>
        <w:tblInd w:w="0" w:type="dxa"/>
        <w:tblLayout w:type="fixed"/>
        <w:tblCellMar>
          <w:top w:w="28" w:type="dxa"/>
          <w:left w:w="28" w:type="dxa"/>
          <w:bottom w:w="28" w:type="dxa"/>
          <w:right w:w="28" w:type="dxa"/>
        </w:tblCellMar>
      </w:tblPr>
      <w:tblGrid>
        <w:gridCol w:w="958"/>
        <w:gridCol w:w="844"/>
        <w:gridCol w:w="852"/>
        <w:gridCol w:w="283"/>
        <w:gridCol w:w="485"/>
        <w:gridCol w:w="146"/>
        <w:gridCol w:w="154"/>
      </w:tblGrid>
      <w:tr>
        <w:trPr/>
        <w:tc>
          <w:tcPr>
            <w:tcW w:w="958"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9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 asset (liability)</w:t>
            </w:r>
          </w:p>
        </w:tc>
        <w:tc>
          <w:tcPr>
            <w:tcW w:w="283"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5"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 forma decrease in fair value</w:t>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maturities</w:t>
            </w:r>
          </w:p>
        </w:tc>
        <w:tc>
          <w:tcPr>
            <w:tcW w:w="91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7/26-6/27</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pro forma decrease in fair value assumes a 10% adverse change in underlying foreign exchange rates at June 30, 2026, and reflects the estimated change in the fair value of contracts outstanding at that date under that assumption. The sensitivity of our foreign currency positions to changes in exchange rates was determined using current market pricing models.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Fair values are recognized on the Consolidated Balance Sheet at June 30, 2026 as follows:</w:t>
      </w:r>
    </w:p>
    <w:tbl>
      <w:tblPr>
        <w:tblW w:w="2890" w:type="dxa"/>
        <w:jc w:val="left"/>
        <w:tblInd w:w="0" w:type="dxa"/>
        <w:tblLayout w:type="fixed"/>
        <w:tblCellMar>
          <w:top w:w="28" w:type="dxa"/>
          <w:left w:w="28" w:type="dxa"/>
          <w:bottom w:w="28" w:type="dxa"/>
          <w:right w:w="28" w:type="dxa"/>
        </w:tblCellMar>
      </w:tblPr>
      <w:tblGrid>
        <w:gridCol w:w="742"/>
        <w:gridCol w:w="653"/>
        <w:gridCol w:w="660"/>
        <w:gridCol w:w="211"/>
        <w:gridCol w:w="361"/>
        <w:gridCol w:w="109"/>
        <w:gridCol w:w="154"/>
      </w:tblGrid>
      <w:tr>
        <w:trPr/>
        <w:tc>
          <w:tcPr>
            <w:tcW w:w="742"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 (liability):</w:t>
            </w:r>
          </w:p>
        </w:tc>
        <w:tc>
          <w:tcPr>
            <w:tcW w:w="68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57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For further information on foreign currency contracts, refer to Note to the Consolidated Financial Statements No. 8, Financing Arrangements and Derivative Financial Instruments. Refer to “Management’s Discussion and Analysis of Financial Condition and Results of Operations — Liquidity and Capital Resources” for a discussion of our management of counterparty risk.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299085"/>
                <wp:effectExtent l="0" t="0" r="0" b="0"/>
                <wp:wrapNone/>
                <wp:docPr id="51" name="Frame51"/>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240" w:after="283"/>
        <w:jc w:val="left"/>
        <w:rPr/>
      </w:pPr>
      <w:hyperlink w:anchor="ic6c494b4098947579b1e17aeda6e5d7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Management’s Evaluation of Disclosure Controls and Procedures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maintain “disclosure controls and procedures” which, consistent with Rule 13a-15(e) under the Securities Exchange Act of 1934, as amended, we define to mean controls and other procedures that are designed to ensure that information required to be disclosed by us in the reports that we file or submit under the Securities Exchange Act of 1934 is recorded, processed, summarized and reported within the time periods specified in the Securities and Exchange Commission’s rules and forms, and to ensure that such information is accumulated and communicated to our management, including our principal executive and financial officers, as appropriate, to allow timely decisions regarding required disclosure.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management, with the participation of our principal executive and financial officers, has evaluated the effectiveness of our disclosure controls and procedures. Based on such evaluation, our principal executive and financial officers have concluded that such disclosure controls and procedures were effective as of June 30, 2026 (the end of the period covered by this Quarterly Report on Form 10-Q).</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Changes in Internal Control Over Financial Reporting</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 over financial reporting during the period covered by this report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299085"/>
                <wp:effectExtent l="0" t="0" r="0" b="0"/>
                <wp:wrapNone/>
                <wp:docPr id="52" name="Frame52"/>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240" w:after="283"/>
        <w:jc w:val="left"/>
        <w:rPr/>
      </w:pPr>
      <w:hyperlink w:anchor="ic6c494b4098947579b1e17aeda6e5d7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Asbestos Litigation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reported in our Form 10-K for the year ended December 31, 2025, we were one of numerous defendants in legal proceedings in certain state and federal courts involving approximately 30,400 claimants relating to their alleged exposure to materials containing asbestos in products allegedly manufactured by us or asbestos materials present in our facilities. During the first six months of 2026, approximately 600 claims were filed against us and approximately 2,500 were settled or dismissed. The amounts expended on asbestos defense and claim resolution by us and our insurers during the first six months of 2026 was $8 million. At June 30, 2026, there were approximately 28,500 asbestos claims pending against us. The plaintiffs are seeking unspecified actual and punitive damages and other relief. Refer to Note to the Consolidated Financial Statements No. 12, Commitments and Contingent Liabilities, for additional information on asbestos litigation.</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Other Matters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addition to the legal proceedings described above and in our 2025 Form 10-K and quarterly reports on Form 10-Q, various other legal actions, indirect tax assessments, claims and governmental investigations and proceedings covering a wide range of matters are pending against us, including claims and proceedings relating to several waste disposal sites that have been identified by the United States Environmental Protection Agency and similar agencies of various states or foreign jurisdictions for remedial investigation and cleanup, which sites were allegedly used by us in the past for the disposal of industrial waste materials. Based on available information and other than as described in our 2025 Form 10-K and quarterly reports on Form 10-Q, we do not consider any such action, assessment, claim, investigation or proceeding to be material, within the meaning of that term as used in Item 103 of Regulation S-K and the instructions thereto. As permitted by SEC regulations, we use a threshold of $1 million for purposes of determining whether disclosure is required with respect to any environmental proceedings in which a governmental authority is a party and we reasonably believe that such proceeding will result in monetary sanctions (exclusive of interest and costs).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For additional information regarding our legal proceedings, refer to Note to the Consolidated Financial Statements No. 20, Commitments and Contingent Liabilities, and Part I, Item 3, Legal Proceedings, in our 2025 Form 10-K, Part II, Item 1, Legal Proceedings, in our Quarterly Report on Form 10-Q for the quarterly period ended March 31, 2026, and Note to the Consolidated Financial Statements No. 12, Commitments and Contingent Liabilities, in this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Refer to “Item 1A. Risk Factors” in our 2025 Form 10-K for a discussion of our risk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During the quarterly period ended June 30, 2026, none of our directors or officers informed us of the adoption, modification or termination of a "Rule 10b5-1 trading arrangement" or a "non-Rule 10b5-1 trading arrangement," as those terms are defined in Regulation S-K, Item 408.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Refer to the Index of Exhibits, which is by specific reference incorporated into and made a part of this Quarterly Report on Form 10-Q.</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c6c494b4098947579b1e17aeda6e5d7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Quarterly Report on Form 10-Q</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Quarter Ended June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INDEX OF EXHIBITS</w:t>
      </w:r>
    </w:p>
    <w:tbl>
      <w:tblPr>
        <w:tblW w:w="10205" w:type="dxa"/>
        <w:jc w:val="left"/>
        <w:tblInd w:w="0" w:type="dxa"/>
        <w:tblLayout w:type="fixed"/>
        <w:tblCellMar>
          <w:top w:w="28" w:type="dxa"/>
          <w:left w:w="28" w:type="dxa"/>
          <w:bottom w:w="28" w:type="dxa"/>
          <w:right w:w="28" w:type="dxa"/>
        </w:tblCellMar>
      </w:tblPr>
      <w:tblGrid>
        <w:gridCol w:w="234"/>
        <w:gridCol w:w="205"/>
        <w:gridCol w:w="207"/>
        <w:gridCol w:w="109"/>
        <w:gridCol w:w="109"/>
        <w:gridCol w:w="109"/>
        <w:gridCol w:w="2813"/>
        <w:gridCol w:w="2493"/>
        <w:gridCol w:w="2503"/>
        <w:gridCol w:w="109"/>
        <w:gridCol w:w="109"/>
        <w:gridCol w:w="109"/>
        <w:gridCol w:w="240"/>
        <w:gridCol w:w="240"/>
        <w:gridCol w:w="241"/>
        <w:gridCol w:w="109"/>
        <w:gridCol w:w="109"/>
        <w:gridCol w:w="157"/>
      </w:tblGrid>
      <w:tr>
        <w:trPr/>
        <w:tc>
          <w:tcPr>
            <w:tcW w:w="23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3" w:type="dxa"/>
            <w:tcBorders/>
            <w:vAlign w:val="center"/>
          </w:tcPr>
          <w:p>
            <w:pPr>
              <w:pStyle w:val="TableContents"/>
              <w:bidi w:val="0"/>
              <w:spacing w:before="0" w:after="283"/>
              <w:jc w:val="left"/>
              <w:rPr>
                <w:sz w:val="4"/>
                <w:szCs w:val="4"/>
              </w:rPr>
            </w:pPr>
            <w:r>
              <w:rPr>
                <w:sz w:val="4"/>
                <w:szCs w:val="4"/>
              </w:rPr>
            </w:r>
          </w:p>
        </w:tc>
        <w:tc>
          <w:tcPr>
            <w:tcW w:w="2493"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Exhibit</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Table</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Item</w:t>
            </w:r>
          </w:p>
          <w:p>
            <w:pPr>
              <w:pStyle w:val="TableContents"/>
              <w:bidi w:val="0"/>
              <w:spacing w:lineRule="auto" w:line="288" w:before="0" w:after="0"/>
              <w:jc w:val="center"/>
              <w:rPr>
                <w:rFonts w:ascii="Times New Roman;serif" w:hAnsi="Times New Roman;serif"/>
                <w:b/>
                <w:color w:val="000000"/>
                <w:sz w:val="16"/>
                <w:u w:val="single"/>
              </w:rPr>
            </w:pPr>
            <w:r>
              <w:rPr>
                <w:rFonts w:ascii="Times New Roman;serif" w:hAnsi="Times New Roman;serif"/>
                <w:b/>
                <w:color w:val="000000"/>
                <w:sz w:val="16"/>
                <w:u w:val="single"/>
              </w:rP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Description of 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Exhibit</w:t>
            </w:r>
          </w:p>
          <w:p>
            <w:pPr>
              <w:pStyle w:val="TableContents"/>
              <w:bidi w:val="0"/>
              <w:spacing w:lineRule="auto" w:line="288" w:before="0" w:after="0"/>
              <w:jc w:val="center"/>
              <w:rPr>
                <w:rFonts w:ascii="Times New Roman;serif" w:hAnsi="Times New Roman;serif"/>
                <w:b/>
                <w:color w:val="000000"/>
                <w:sz w:val="16"/>
                <w:u w:val="single"/>
              </w:rPr>
            </w:pPr>
            <w:r>
              <w:rPr>
                <w:rFonts w:ascii="Times New Roman;serif" w:hAnsi="Times New Roman;serif"/>
                <w:b/>
                <w:color w:val="000000"/>
                <w:sz w:val="16"/>
                <w:u w:val="single"/>
              </w:rPr>
              <w:t>Number</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color w:val="000000"/>
                <w:sz w:val="20"/>
              </w:rPr>
            </w:pPr>
            <w:r>
              <w:rPr>
                <w:rFonts w:ascii="Times New Roman;serif" w:hAnsi="Times New Roman;serif"/>
                <w:b/>
                <w:color w:val="000000"/>
                <w:sz w:val="20"/>
              </w:rPr>
              <w:t>Instruments Defining the Rights of Security Holders, Including Indentures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9"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2">
              <w:r>
                <w:rPr>
                  <w:rStyle w:val="InternetLink"/>
                  <w:rFonts w:ascii="Times New Roman;serif" w:hAnsi="Times New Roman;serif"/>
                  <w:b w:val="false"/>
                  <w:color w:val="0000FF"/>
                  <w:sz w:val="20"/>
                  <w:u w:val="single"/>
                </w:rPr>
                <w:t>Thirteenth Supplemental Indenture, dated as of June 4, 2026, among the Company, the Subsidiary Guarantors and Computershare Trust Company, N.A., as successor to Wells Fargo Bank, N.A., as Trustee, in respect of the Company’s 8.875% Senior Notes due 2032 (incorporated by reference, filed as Exhibit 4.2 to the Company’s Current Report on Form 8-K, filed June 4, 2026, File No. 1-1927).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color w:val="000000"/>
                <w:sz w:val="20"/>
              </w:rPr>
            </w:pPr>
            <w:r>
              <w:rPr>
                <w:rFonts w:ascii="Times New Roman;serif" w:hAnsi="Times New Roman;serif"/>
                <w:b/>
                <w:color w:val="000000"/>
                <w:sz w:val="20"/>
              </w:rPr>
              <w:t>Subsidiary Guarantors of Guaranteed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9"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livecopygt-20260630xexx221.htm">
              <w:r>
                <w:rPr>
                  <w:rStyle w:val="InternetLink"/>
                  <w:rFonts w:ascii="Times New Roman;serif" w:hAnsi="Times New Roman;serif"/>
                  <w:b w:val="false"/>
                  <w:color w:val="0000FF"/>
                  <w:sz w:val="20"/>
                  <w:u w:val="single"/>
                </w:rPr>
                <w:t>List of Subsidiary Guarantors.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22.1</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color w:val="000000"/>
                <w:sz w:val="20"/>
              </w:rPr>
            </w:pPr>
            <w:r>
              <w:rPr>
                <w:rFonts w:ascii="Times New Roman;serif" w:hAnsi="Times New Roman;serif"/>
                <w:b/>
                <w:color w:val="000000"/>
                <w:sz w:val="20"/>
              </w:rPr>
              <w:t>Rule 13a-14(a) Certifications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9"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livecopygt-20260630xex311.htm">
              <w:r>
                <w:rPr>
                  <w:rStyle w:val="InternetLink"/>
                  <w:rFonts w:ascii="Times New Roman;serif" w:hAnsi="Times New Roman;serif"/>
                  <w:b w:val="false"/>
                  <w:color w:val="0000FF"/>
                  <w:sz w:val="20"/>
                  <w:u w:val="single"/>
                </w:rPr>
                <w:t>Certificate of Chief Executive Officer pursuant to Rule 13a-14(a) under the Securities Exchange Act of 1934.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31.1</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9"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livecopygt-20260630xex312.htm">
              <w:r>
                <w:rPr>
                  <w:rStyle w:val="InternetLink"/>
                  <w:rFonts w:ascii="Times New Roman;serif" w:hAnsi="Times New Roman;serif"/>
                  <w:b w:val="false"/>
                  <w:color w:val="0000FF"/>
                  <w:sz w:val="20"/>
                  <w:u w:val="single"/>
                </w:rPr>
                <w:t>Certificate of Chief Financial Officer pursuant to Rule 13a-14(a) under the Securities Exchange Act of 1934.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31.2</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color w:val="000000"/>
                <w:sz w:val="20"/>
              </w:rPr>
            </w:pPr>
            <w:r>
              <w:rPr>
                <w:rFonts w:ascii="Times New Roman;serif" w:hAnsi="Times New Roman;serif"/>
                <w:b/>
                <w:color w:val="000000"/>
                <w:sz w:val="20"/>
              </w:rPr>
              <w:t>Section 1350 Certifications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9"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livecopygt-20260630xex321.htm">
              <w:r>
                <w:rPr>
                  <w:rStyle w:val="InternetLink"/>
                  <w:rFonts w:ascii="Times New Roman;serif" w:hAnsi="Times New Roman;serif"/>
                  <w:b w:val="false"/>
                  <w:color w:val="0000FF"/>
                  <w:sz w:val="20"/>
                  <w:u w:val="single"/>
                </w:rPr>
                <w:t>Certificate of Chief Executive Officer and Chief Financial Officer pursuant to Rule 13a-14(b) under the Securities Exchange Act of 1934.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32.1</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Interactive Data Files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XBRL Instance Document - the instance document does not appear in the Interactive Data File because its XBRL tags are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101.INS</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101.SCH</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Cover Page Interactive Data File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cover page from the Company's Quarterly Report on Form 10-Q for the quarter ended June 30, 2026, formatted in Inline XBRL (included as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240" w:after="283"/>
        <w:jc w:val="left"/>
        <w:rPr/>
      </w:pPr>
      <w:hyperlink w:anchor="ic6c494b4098947579b1e17aeda6e5d7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center"/>
        <w:rPr>
          <w:rFonts w:ascii="Times New Roman;serif" w:hAnsi="Times New Roman;serif"/>
          <w:b/>
          <w:color w:val="000000"/>
          <w:sz w:val="20"/>
          <w:u w:val="single"/>
        </w:rPr>
      </w:pPr>
      <w:r>
        <w:rPr>
          <w:rFonts w:ascii="Times New Roman;serif" w:hAnsi="Times New Roman;serif"/>
          <w:b/>
          <w:color w:val="000000"/>
          <w:sz w:val="20"/>
          <w:u w:val="single"/>
        </w:rPr>
        <w:t>SIGNATURES</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10205" w:type="dxa"/>
        <w:jc w:val="left"/>
        <w:tblInd w:w="0" w:type="dxa"/>
        <w:tblLayout w:type="fixed"/>
        <w:tblCellMar>
          <w:top w:w="28" w:type="dxa"/>
          <w:left w:w="28" w:type="dxa"/>
          <w:bottom w:w="28" w:type="dxa"/>
          <w:right w:w="28" w:type="dxa"/>
        </w:tblCellMar>
      </w:tblPr>
      <w:tblGrid>
        <w:gridCol w:w="189"/>
        <w:gridCol w:w="167"/>
        <w:gridCol w:w="168"/>
        <w:gridCol w:w="336"/>
        <w:gridCol w:w="336"/>
        <w:gridCol w:w="338"/>
        <w:gridCol w:w="1280"/>
        <w:gridCol w:w="1280"/>
        <w:gridCol w:w="1280"/>
        <w:gridCol w:w="1507"/>
        <w:gridCol w:w="1363"/>
        <w:gridCol w:w="1961"/>
      </w:tblGrid>
      <w:tr>
        <w:trPr/>
        <w:tc>
          <w:tcPr>
            <w:tcW w:w="18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1961" w:type="dxa"/>
            <w:tcBorders/>
            <w:vAlign w:val="center"/>
          </w:tcPr>
          <w:p>
            <w:pPr>
              <w:pStyle w:val="TableContents"/>
              <w:bidi w:val="0"/>
              <w:spacing w:before="0" w:after="283"/>
              <w:jc w:val="left"/>
              <w:rPr>
                <w:sz w:val="4"/>
                <w:szCs w:val="4"/>
              </w:rPr>
            </w:pPr>
            <w:r>
              <w:rPr>
                <w:sz w:val="4"/>
                <w:szCs w:val="4"/>
              </w:rPr>
            </w:r>
          </w:p>
        </w:tc>
      </w:tr>
      <w:tr>
        <w:trPr/>
        <w:tc>
          <w:tcPr>
            <w:tcW w:w="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1"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 GOODYEAR TIRE &amp; RUBBER COMPANY</w:t>
            </w:r>
          </w:p>
        </w:tc>
      </w:tr>
      <w:tr>
        <w:trPr/>
        <w:tc>
          <w:tcPr>
            <w:tcW w:w="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1"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(Registrant)</w:t>
            </w:r>
          </w:p>
        </w:tc>
      </w:tr>
      <w:tr>
        <w:trPr/>
        <w:tc>
          <w:tcPr>
            <w:tcW w:w="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0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August 6, 2026</w:t>
            </w:r>
          </w:p>
        </w:tc>
        <w:tc>
          <w:tcPr>
            <w:tcW w:w="38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831"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color w:val="000000"/>
              </w:rPr>
              <w:t> </w:t>
            </w:r>
            <w:r>
              <w:rPr>
                <w:rFonts w:ascii="Times New Roman;serif" w:hAnsi="Times New Roman;serif"/>
                <w:b w:val="false"/>
                <w:color w:val="000000"/>
                <w:sz w:val="20"/>
              </w:rPr>
              <w:t>/s/ M</w:t>
            </w:r>
            <w:r>
              <w:rPr>
                <w:rFonts w:ascii="Times New Roman;serif" w:hAnsi="Times New Roman;serif"/>
                <w:b w:val="false"/>
                <w:color w:val="000000"/>
                <w:sz w:val="16"/>
              </w:rPr>
              <w:t>ARGARET</w:t>
            </w:r>
            <w:r>
              <w:rPr>
                <w:color w:val="000000"/>
              </w:rPr>
              <w:t xml:space="preserve"> </w:t>
            </w:r>
            <w:r>
              <w:rPr>
                <w:rFonts w:ascii="Times New Roman;serif" w:hAnsi="Times New Roman;serif"/>
                <w:b w:val="false"/>
                <w:color w:val="000000"/>
                <w:sz w:val="20"/>
              </w:rPr>
              <w:t>V. S</w:t>
            </w:r>
            <w:r>
              <w:rPr>
                <w:rFonts w:ascii="Times New Roman;serif" w:hAnsi="Times New Roman;serif"/>
                <w:b w:val="false"/>
                <w:color w:val="000000"/>
                <w:sz w:val="16"/>
              </w:rPr>
              <w:t>NYDER</w:t>
            </w:r>
          </w:p>
        </w:tc>
      </w:tr>
      <w:tr>
        <w:trPr/>
        <w:tc>
          <w:tcPr>
            <w:tcW w:w="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1" w:type="dxa"/>
            <w:gridSpan w:val="6"/>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Margaret V. Snyder, Vice President and Controller (Signing on behalf of the Registrant as a duly authorized officer of the Registrant and signing as the Principal Accounting Officer of the Registrant.)</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299085"/>
                <wp:effectExtent l="0" t="0" r="0" b="0"/>
                <wp:wrapNone/>
                <wp:docPr id="55" name="Frame55"/>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22.1</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LIST OF SUBSIDIARY GUARANTORS</w:t>
      </w:r>
    </w:p>
    <w:p>
      <w:pPr>
        <w:pStyle w:val="TextBody"/>
        <w:bidi w:val="0"/>
        <w:spacing w:before="0" w:after="0"/>
        <w:jc w:val="center"/>
        <w:rPr/>
      </w:pPr>
      <w:r>
        <w:rPr/>
      </w:r>
    </w:p>
    <w:p>
      <w:pPr>
        <w:pStyle w:val="TextBody"/>
        <w:bidi w:val="0"/>
        <w:spacing w:lineRule="auto" w:line="288" w:before="0" w:after="0"/>
        <w:jc w:val="both"/>
        <w:rPr/>
      </w:pPr>
      <w:r>
        <w:rPr>
          <w:rFonts w:ascii="Times New Roman;serif" w:hAnsi="Times New Roman;serif"/>
          <w:b w:val="false"/>
          <w:color w:val="000000"/>
          <w:sz w:val="20"/>
        </w:rPr>
        <w:t>The following subsidiaries of The Goodyear Tire &amp; Rubber Company (the "Parent Company") were, as of June 30, 2026, guarantors of the Company's 4.875% senior notes due 2027, 5% senior notes due 2029, 6.625% senior notes due 2030, 5.25% senior notes due April 2031, 5.25% senior notes due July 2031, 8.875% senior notes due 2032 and 5.625% senior notes due 2033:</w:t>
      </w:r>
      <w:r>
        <w:rPr>
          <w:color w:val="000000"/>
        </w:rPr>
        <w:t xml:space="preserve">                                     </w:t>
      </w:r>
    </w:p>
    <w:p>
      <w:pPr>
        <w:pStyle w:val="TextBody"/>
        <w:bidi w:val="0"/>
        <w:spacing w:lineRule="auto" w:line="288" w:before="0" w:after="0"/>
        <w:jc w:val="both"/>
        <w:rPr>
          <w:color w:val="000000"/>
        </w:rPr>
      </w:pPr>
      <w:r>
        <w:rPr>
          <w:color w:val="000000"/>
        </w:rPr>
        <w:t>                                </w:t>
      </w:r>
    </w:p>
    <w:tbl>
      <w:tblPr>
        <w:tblW w:w="9449" w:type="dxa"/>
        <w:jc w:val="left"/>
        <w:tblInd w:w="0" w:type="dxa"/>
        <w:tblLayout w:type="fixed"/>
        <w:tblCellMar>
          <w:top w:w="28" w:type="dxa"/>
          <w:left w:w="28" w:type="dxa"/>
          <w:bottom w:w="28" w:type="dxa"/>
          <w:right w:w="28" w:type="dxa"/>
        </w:tblCellMar>
      </w:tblPr>
      <w:tblGrid>
        <w:gridCol w:w="1702"/>
        <w:gridCol w:w="1494"/>
        <w:gridCol w:w="1498"/>
        <w:gridCol w:w="1393"/>
        <w:gridCol w:w="1393"/>
        <w:gridCol w:w="1969"/>
      </w:tblGrid>
      <w:tr>
        <w:trPr/>
        <w:tc>
          <w:tcPr>
            <w:tcW w:w="1702" w:type="dxa"/>
            <w:tcBorders/>
            <w:vAlign w:val="center"/>
          </w:tcPr>
          <w:p>
            <w:pPr>
              <w:pStyle w:val="TableContents"/>
              <w:bidi w:val="0"/>
              <w:spacing w:before="0" w:after="283"/>
              <w:jc w:val="left"/>
              <w:rPr>
                <w:sz w:val="4"/>
                <w:szCs w:val="4"/>
              </w:rPr>
            </w:pPr>
            <w:r>
              <w:rPr>
                <w:sz w:val="4"/>
                <w:szCs w:val="4"/>
              </w:rPr>
            </w:r>
          </w:p>
        </w:tc>
        <w:tc>
          <w:tcPr>
            <w:tcW w:w="1494"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1969" w:type="dxa"/>
            <w:tcBorders/>
            <w:vAlign w:val="center"/>
          </w:tcPr>
          <w:p>
            <w:pPr>
              <w:pStyle w:val="TableContents"/>
              <w:bidi w:val="0"/>
              <w:spacing w:before="0" w:after="283"/>
              <w:jc w:val="left"/>
              <w:rPr>
                <w:sz w:val="4"/>
                <w:szCs w:val="4"/>
              </w:rPr>
            </w:pPr>
            <w:r>
              <w:rPr>
                <w:sz w:val="4"/>
                <w:szCs w:val="4"/>
              </w:rPr>
            </w:r>
          </w:p>
        </w:tc>
      </w:tr>
      <w:tr>
        <w:trPr/>
        <w:tc>
          <w:tcPr>
            <w:tcW w:w="4694"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NAME OF SUBSIDIARY</w:t>
            </w:r>
          </w:p>
        </w:tc>
        <w:tc>
          <w:tcPr>
            <w:tcW w:w="475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 xml:space="preserve">PLACE OF INCORPORATION OR </w:t>
            </w:r>
            <w:r>
              <w:rPr>
                <w:rFonts w:ascii="Times New Roman;serif" w:hAnsi="Times New Roman;serif"/>
                <w:b/>
                <w:color w:val="000000"/>
                <w:sz w:val="20"/>
                <w:u w:val="single"/>
              </w:rPr>
              <w:t>ORGANIZATION</w:t>
            </w:r>
          </w:p>
        </w:tc>
      </w:tr>
      <w:tr>
        <w:trPr/>
        <w:tc>
          <w:tcPr>
            <w:tcW w:w="469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Celeron Corporation</w:t>
            </w:r>
          </w:p>
        </w:tc>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69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Cooper International Holding Corporation</w:t>
            </w:r>
          </w:p>
        </w:tc>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69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Cooper Tire &amp; Rubber Company LLC</w:t>
            </w:r>
          </w:p>
        </w:tc>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69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Cooper Tire &amp; Rubber Company Vietnam Holding, LLC</w:t>
            </w:r>
          </w:p>
        </w:tc>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69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Cooper Tire Holding Company</w:t>
            </w:r>
          </w:p>
        </w:tc>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Ohio</w:t>
            </w:r>
          </w:p>
        </w:tc>
      </w:tr>
      <w:tr>
        <w:trPr/>
        <w:tc>
          <w:tcPr>
            <w:tcW w:w="469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Divested Companies Holding Company</w:t>
            </w:r>
          </w:p>
        </w:tc>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69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Divested Litchfield Park Properties, Inc.</w:t>
            </w:r>
          </w:p>
        </w:tc>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Arizona</w:t>
            </w:r>
          </w:p>
        </w:tc>
      </w:tr>
      <w:tr>
        <w:trPr/>
        <w:tc>
          <w:tcPr>
            <w:tcW w:w="469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Goodyear Canada Inc.</w:t>
            </w:r>
          </w:p>
        </w:tc>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Ontario, Canada</w:t>
            </w:r>
          </w:p>
        </w:tc>
      </w:tr>
      <w:tr>
        <w:trPr/>
        <w:tc>
          <w:tcPr>
            <w:tcW w:w="469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Goodyear Export Inc.</w:t>
            </w:r>
          </w:p>
        </w:tc>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69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Goodyear Farms, Inc.</w:t>
            </w:r>
          </w:p>
        </w:tc>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Arizona</w:t>
            </w:r>
          </w:p>
        </w:tc>
      </w:tr>
      <w:tr>
        <w:trPr/>
        <w:tc>
          <w:tcPr>
            <w:tcW w:w="469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Goodyear International Corporation</w:t>
            </w:r>
          </w:p>
        </w:tc>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69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Goodyear Western Hemisphere Corporation</w:t>
            </w:r>
          </w:p>
        </w:tc>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469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Max-Trac Tire Co., Inc.</w:t>
            </w:r>
          </w:p>
        </w:tc>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Ohio</w:t>
            </w:r>
          </w:p>
        </w:tc>
      </w:tr>
      <w:tr>
        <w:trPr/>
        <w:tc>
          <w:tcPr>
            <w:tcW w:w="469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Raben Tire Co., LLC</w:t>
            </w:r>
          </w:p>
        </w:tc>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Indiana</w:t>
            </w:r>
          </w:p>
        </w:tc>
      </w:tr>
      <w:tr>
        <w:trPr/>
        <w:tc>
          <w:tcPr>
            <w:tcW w:w="469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T&amp;WA, Inc.</w:t>
            </w:r>
          </w:p>
        </w:tc>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Kentucky</w:t>
            </w:r>
          </w:p>
        </w:tc>
      </w:tr>
      <w:tr>
        <w:trPr/>
        <w:tc>
          <w:tcPr>
            <w:tcW w:w="469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Wingfoot Brands LLC</w:t>
            </w:r>
          </w:p>
        </w:tc>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Delaware</w:t>
            </w:r>
          </w:p>
        </w:tc>
      </w:tr>
    </w:tbl>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385445"/>
                <wp:effectExtent l="0" t="0" r="0" b="0"/>
                <wp:wrapNone/>
                <wp:docPr id="56" name="Frame5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 Mark W. Stewart, certify that:</w:t>
      </w:r>
    </w:p>
    <w:p>
      <w:pPr>
        <w:pStyle w:val="TextBody"/>
        <w:bidi w:val="0"/>
        <w:spacing w:lineRule="auto" w:line="288" w:before="0" w:after="200"/>
        <w:ind w:left="0" w:right="0" w:hanging="135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The Goodyear Tire &amp; Rubber Company;</w:t>
      </w:r>
    </w:p>
    <w:p>
      <w:pPr>
        <w:pStyle w:val="TextBody"/>
        <w:bidi w:val="0"/>
        <w:spacing w:lineRule="auto" w:line="288" w:before="0" w:after="200"/>
        <w:ind w:left="0" w:right="0" w:hanging="135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200"/>
        <w:ind w:left="0" w:right="0" w:hanging="135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200"/>
        <w:ind w:left="0" w:right="0" w:hanging="135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200"/>
        <w:ind w:left="0" w:right="0" w:hanging="135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200"/>
        <w:ind w:left="0" w:right="0" w:hanging="135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200"/>
        <w:ind w:left="0" w:right="0" w:hanging="135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00"/>
        <w:ind w:left="0" w:right="0" w:hanging="135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200"/>
        <w:ind w:left="0" w:right="0" w:hanging="135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200"/>
        <w:ind w:left="0" w:right="0" w:hanging="135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00"/>
        <w:ind w:left="0" w:right="0" w:hanging="135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Date: August 6, 2026</w:t>
      </w:r>
    </w:p>
    <w:tbl>
      <w:tblPr>
        <w:tblW w:w="3552" w:type="dxa"/>
        <w:jc w:val="left"/>
        <w:tblInd w:w="0" w:type="dxa"/>
        <w:tblLayout w:type="fixed"/>
        <w:tblCellMar>
          <w:top w:w="28" w:type="dxa"/>
          <w:left w:w="28" w:type="dxa"/>
          <w:bottom w:w="28" w:type="dxa"/>
          <w:right w:w="28" w:type="dxa"/>
        </w:tblCellMar>
      </w:tblPr>
      <w:tblGrid>
        <w:gridCol w:w="124"/>
        <w:gridCol w:w="109"/>
        <w:gridCol w:w="109"/>
        <w:gridCol w:w="940"/>
        <w:gridCol w:w="940"/>
        <w:gridCol w:w="133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color w:val="000000"/>
              </w:rPr>
              <w:t> </w:t>
            </w:r>
            <w:r>
              <w:rPr>
                <w:rFonts w:ascii="Times New Roman;serif" w:hAnsi="Times New Roman;serif"/>
                <w:b w:val="false"/>
                <w:color w:val="000000"/>
                <w:sz w:val="20"/>
              </w:rPr>
              <w:t>/s/ M</w:t>
            </w:r>
            <w:r>
              <w:rPr>
                <w:rFonts w:ascii="Times New Roman;serif" w:hAnsi="Times New Roman;serif"/>
                <w:b w:val="false"/>
                <w:color w:val="000000"/>
                <w:sz w:val="16"/>
              </w:rPr>
              <w:t>ARK</w:t>
            </w:r>
            <w:r>
              <w:rPr>
                <w:color w:val="000000"/>
              </w:rPr>
              <w:t xml:space="preserve"> </w:t>
            </w:r>
            <w:r>
              <w:rPr>
                <w:rFonts w:ascii="Times New Roman;serif" w:hAnsi="Times New Roman;serif"/>
                <w:b w:val="false"/>
                <w:color w:val="000000"/>
                <w:sz w:val="20"/>
              </w:rPr>
              <w:t>W. S</w:t>
            </w:r>
            <w:r>
              <w:rPr>
                <w:rFonts w:ascii="Times New Roman;serif" w:hAnsi="Times New Roman;serif"/>
                <w:b w:val="false"/>
                <w:color w:val="000000"/>
                <w:sz w:val="16"/>
              </w:rPr>
              <w:t>TEWART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Mark W. Stewart</w:t>
              <w:br/>
              <w:t>Chief Executive Officer and President</w:t>
              <w:b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0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I, Scott M. Deakin, certify that: </w:t>
      </w:r>
    </w:p>
    <w:p>
      <w:pPr>
        <w:pStyle w:val="TextBody"/>
        <w:bidi w:val="0"/>
        <w:spacing w:lineRule="auto" w:line="288" w:before="0" w:after="200"/>
        <w:ind w:left="0" w:right="0" w:hanging="135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The Goodyear Tire &amp; Rubber Company;</w:t>
      </w:r>
    </w:p>
    <w:p>
      <w:pPr>
        <w:pStyle w:val="TextBody"/>
        <w:bidi w:val="0"/>
        <w:spacing w:lineRule="auto" w:line="288" w:before="0" w:after="200"/>
        <w:ind w:left="0" w:right="0" w:hanging="135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200"/>
        <w:ind w:left="0" w:right="0" w:hanging="135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200"/>
        <w:ind w:left="0" w:right="0" w:hanging="135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200"/>
        <w:ind w:left="0" w:right="0" w:hanging="135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200"/>
        <w:ind w:left="0" w:right="0" w:hanging="135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200"/>
        <w:ind w:left="0" w:right="0" w:hanging="135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00"/>
        <w:ind w:left="0" w:right="0" w:hanging="135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200"/>
        <w:ind w:left="0" w:right="0" w:hanging="135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200"/>
        <w:ind w:left="0" w:right="0" w:hanging="135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00"/>
        <w:ind w:left="0" w:right="0" w:hanging="135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bl>
      <w:tblPr>
        <w:tblW w:w="5411" w:type="dxa"/>
        <w:jc w:val="left"/>
        <w:tblInd w:w="0" w:type="dxa"/>
        <w:tblLayout w:type="fixed"/>
        <w:tblCellMar>
          <w:top w:w="28" w:type="dxa"/>
          <w:left w:w="28" w:type="dxa"/>
          <w:bottom w:w="28" w:type="dxa"/>
          <w:right w:w="28" w:type="dxa"/>
        </w:tblCellMar>
      </w:tblPr>
      <w:tblGrid>
        <w:gridCol w:w="124"/>
        <w:gridCol w:w="109"/>
        <w:gridCol w:w="109"/>
        <w:gridCol w:w="1481"/>
        <w:gridCol w:w="1481"/>
        <w:gridCol w:w="210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210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9"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/s/ S</w:t>
            </w:r>
            <w:r>
              <w:rPr>
                <w:rFonts w:ascii="Times New Roman;serif" w:hAnsi="Times New Roman;serif"/>
                <w:b w:val="false"/>
                <w:color w:val="000000"/>
                <w:sz w:val="16"/>
              </w:rPr>
              <w:t>COTT</w:t>
            </w:r>
            <w:r>
              <w:rPr>
                <w:color w:val="000000"/>
              </w:rPr>
              <w:t xml:space="preserve"> </w:t>
            </w:r>
            <w:r>
              <w:rPr>
                <w:rFonts w:ascii="Times New Roman;serif" w:hAnsi="Times New Roman;serif"/>
                <w:b w:val="false"/>
                <w:color w:val="000000"/>
                <w:sz w:val="20"/>
              </w:rPr>
              <w:t>M. D</w:t>
            </w:r>
            <w:r>
              <w:rPr>
                <w:rFonts w:ascii="Times New Roman;serif" w:hAnsi="Times New Roman;serif"/>
                <w:b w:val="false"/>
                <w:color w:val="000000"/>
                <w:sz w:val="16"/>
              </w:rPr>
              <w:t>EAKIN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Scott M. Deakin</w:t>
              <w:br/>
              <w:t>Interim Executive Vice President and Chief Financial Officer</w:t>
              <w:b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0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0" w:after="240"/>
        <w:jc w:val="center"/>
        <w:rPr>
          <w:rFonts w:ascii="Times New Roman;serif" w:hAnsi="Times New Roman;serif"/>
          <w:b/>
          <w:color w:val="000000"/>
          <w:sz w:val="20"/>
          <w:u w:val="single"/>
        </w:rPr>
      </w:pPr>
      <w:r>
        <w:rPr>
          <w:rFonts w:ascii="Times New Roman;serif" w:hAnsi="Times New Roman;serif"/>
          <w:b/>
          <w:color w:val="000000"/>
          <w:sz w:val="20"/>
          <w:u w:val="single"/>
        </w:rPr>
        <w:t>Pursuant to Section 1350, Chapter 63 of Title 18, United States Code</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Pursuant to Section 1350, Chapter 63 of Title 18, United States Code, each of the undersigned officers of The Goodyear Tire &amp; Rubber Company, an Ohio corporation (the “Company”), hereby certifies with respect to the Quarterly Report on Form 10-Q of the Company for the quarter ended June 30, 2026, as filed with the Securities and Exchange Commission (the “10-Q Report”) that to their knowledge:</w:t>
      </w:r>
    </w:p>
    <w:p>
      <w:pPr>
        <w:pStyle w:val="TextBody"/>
        <w:bidi w:val="0"/>
        <w:spacing w:lineRule="auto" w:line="288" w:before="0" w:after="200"/>
        <w:ind w:left="0" w:right="0" w:hanging="1440"/>
        <w:jc w:val="both"/>
        <w:rPr>
          <w:rFonts w:ascii="Times New Roman;serif" w:hAnsi="Times New Roman;serif"/>
          <w:b w:val="false"/>
          <w:color w:val="000000"/>
          <w:sz w:val="20"/>
        </w:rPr>
      </w:pPr>
      <w:r>
        <w:rPr>
          <w:rFonts w:ascii="Times New Roman;serif" w:hAnsi="Times New Roman;serif"/>
          <w:b w:val="false"/>
          <w:color w:val="000000"/>
          <w:sz w:val="20"/>
        </w:rPr>
        <w:t>(1)the 10-Q Report fully complies with the requirements of Section 13(a) or 15(d) of the Securities Exchange Act of 1934; and</w:t>
      </w:r>
    </w:p>
    <w:p>
      <w:pPr>
        <w:pStyle w:val="TextBody"/>
        <w:bidi w:val="0"/>
        <w:spacing w:lineRule="auto" w:line="288" w:before="0" w:after="480"/>
        <w:ind w:left="0" w:right="0" w:hanging="144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10-Q Report fairly presents, in all material respects, the financial condition and results of operations of the Company.</w:t>
      </w:r>
    </w:p>
    <w:tbl>
      <w:tblPr>
        <w:tblW w:w="7673" w:type="dxa"/>
        <w:jc w:val="left"/>
        <w:tblInd w:w="0" w:type="dxa"/>
        <w:tblLayout w:type="fixed"/>
        <w:tblCellMar>
          <w:top w:w="28" w:type="dxa"/>
          <w:left w:w="28" w:type="dxa"/>
          <w:bottom w:w="28" w:type="dxa"/>
          <w:right w:w="28" w:type="dxa"/>
        </w:tblCellMar>
      </w:tblPr>
      <w:tblGrid>
        <w:gridCol w:w="124"/>
        <w:gridCol w:w="109"/>
        <w:gridCol w:w="109"/>
        <w:gridCol w:w="644"/>
        <w:gridCol w:w="644"/>
        <w:gridCol w:w="647"/>
        <w:gridCol w:w="1673"/>
        <w:gridCol w:w="1673"/>
        <w:gridCol w:w="1678"/>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16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Dated: August 6, 2026</w:t>
            </w:r>
          </w:p>
        </w:tc>
        <w:tc>
          <w:tcPr>
            <w:tcW w:w="5024"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/s/ M</w:t>
            </w:r>
            <w:r>
              <w:rPr>
                <w:rFonts w:ascii="Times New Roman;serif" w:hAnsi="Times New Roman;serif"/>
                <w:b w:val="false"/>
                <w:color w:val="000000"/>
                <w:sz w:val="16"/>
              </w:rPr>
              <w:t>ARK</w:t>
            </w:r>
            <w:r>
              <w:rPr>
                <w:color w:val="000000"/>
              </w:rPr>
              <w:t xml:space="preserve"> </w:t>
            </w:r>
            <w:r>
              <w:rPr>
                <w:rFonts w:ascii="Times New Roman;serif" w:hAnsi="Times New Roman;serif"/>
                <w:b w:val="false"/>
                <w:color w:val="000000"/>
                <w:sz w:val="20"/>
              </w:rPr>
              <w:t>W. S</w:t>
            </w:r>
            <w:r>
              <w:rPr>
                <w:rFonts w:ascii="Times New Roman;serif" w:hAnsi="Times New Roman;serif"/>
                <w:b w:val="false"/>
                <w:color w:val="000000"/>
                <w:sz w:val="16"/>
              </w:rPr>
              <w:t>TEWART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Mark W. Stewart</w:t>
            </w:r>
          </w:p>
        </w:tc>
        <w:tc>
          <w:tcPr>
            <w:tcW w:w="372" w:type="dxa"/>
            <w:gridSpan w:val="3"/>
            <w:tcBorders>
              <w:top w:val="single" w:sz="4"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President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 Goodyear Tire &amp; Rubber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Dated: August 6, 2026</w:t>
            </w:r>
          </w:p>
        </w:tc>
        <w:tc>
          <w:tcPr>
            <w:tcW w:w="5024"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/s/ S</w:t>
            </w:r>
            <w:r>
              <w:rPr>
                <w:rFonts w:ascii="Times New Roman;serif" w:hAnsi="Times New Roman;serif"/>
                <w:b w:val="false"/>
                <w:color w:val="000000"/>
                <w:sz w:val="16"/>
              </w:rPr>
              <w:t>COTT</w:t>
            </w:r>
            <w:r>
              <w:rPr>
                <w:color w:val="000000"/>
              </w:rPr>
              <w:t xml:space="preserve"> </w:t>
            </w:r>
            <w:r>
              <w:rPr>
                <w:rFonts w:ascii="Times New Roman;serif" w:hAnsi="Times New Roman;serif"/>
                <w:b w:val="false"/>
                <w:color w:val="000000"/>
                <w:sz w:val="20"/>
              </w:rPr>
              <w:t>M. D</w:t>
            </w:r>
            <w:r>
              <w:rPr>
                <w:rFonts w:ascii="Times New Roman;serif" w:hAnsi="Times New Roman;serif"/>
                <w:b w:val="false"/>
                <w:color w:val="000000"/>
                <w:sz w:val="16"/>
              </w:rPr>
              <w:t>EAKIN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Scott M. Deakin</w:t>
            </w:r>
          </w:p>
        </w:tc>
        <w:tc>
          <w:tcPr>
            <w:tcW w:w="372" w:type="dxa"/>
            <w:gridSpan w:val="3"/>
            <w:tcBorders>
              <w:top w:val="single" w:sz="4"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Interim Executive Vice President and 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 Goodyear Tire &amp; Rubber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42582/000119312526256547/d113133dex42.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33141</Words>
  <Characters>177705</Characters>
  <CharactersWithSpaces>208702</CharactersWithSpaces>
  <Paragraphs>3380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