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For the fiscal year ended </w:t>
      </w:r>
      <w:r>
        <w:rPr>
          <w:rFonts w:ascii="Times New Roman" w:cs="Times New Roman" w:eastAsia="Times New Roman" w:hAnsi="Times New Roman"/>
          <w:sz w:val="17"/>
          <w:szCs w:val="17"/>
          <w:b w:val="1"/>
          <w:bCs w:val="1"/>
          <w:color w:val="auto"/>
        </w:rPr>
        <w:t>December 31,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1-1927</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GOODYEAR TIRE &amp; RUBBER COMPANY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9" w:lineRule="exact"/>
        <w:rPr>
          <w:sz w:val="24"/>
          <w:szCs w:val="24"/>
          <w:color w:val="auto"/>
        </w:rPr>
      </w:pPr>
    </w:p>
    <w:tbl>
      <w:tblPr>
        <w:tblLayout w:type="fixed"/>
        <w:tblInd w:w="1560" w:type="dxa"/>
        <w:tblCellMar>
          <w:top w:w="0" w:type="dxa"/>
          <w:left w:w="0" w:type="dxa"/>
          <w:bottom w:w="0" w:type="dxa"/>
          <w:right w:w="0" w:type="dxa"/>
        </w:tblCellMar>
      </w:tblPr>
      <w:tr>
        <w:trPr>
          <w:trHeight w:val="190"/>
        </w:trPr>
        <w:tc>
          <w:tcPr>
            <w:tcW w:w="44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Ohio</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34-0253240</w:t>
            </w:r>
          </w:p>
        </w:tc>
      </w:tr>
      <w:tr>
        <w:trPr>
          <w:trHeight w:val="215"/>
        </w:trPr>
        <w:tc>
          <w:tcPr>
            <w:tcW w:w="44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3"/>
        </w:trPr>
        <w:tc>
          <w:tcPr>
            <w:tcW w:w="44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200 Innovation Way, Akron, Ohio</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44316-0001</w:t>
            </w:r>
          </w:p>
        </w:tc>
      </w:tr>
      <w:tr>
        <w:trPr>
          <w:trHeight w:val="229"/>
        </w:trPr>
        <w:tc>
          <w:tcPr>
            <w:tcW w:w="44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(330) 796-2121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900" w:type="dxa"/>
            <w:vAlign w:val="bottom"/>
            <w:gridSpan w:val="4"/>
          </w:tcPr>
          <w:p>
            <w:pPr>
              <w:jc w:val="center"/>
              <w:ind w:right="628"/>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9"/>
        </w:trPr>
        <w:tc>
          <w:tcPr>
            <w:tcW w:w="4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67"/>
        </w:trPr>
        <w:tc>
          <w:tcPr>
            <w:tcW w:w="4900" w:type="dxa"/>
            <w:vAlign w:val="bottom"/>
            <w:gridSpan w:val="4"/>
          </w:tcPr>
          <w:p>
            <w:pPr>
              <w:jc w:val="center"/>
              <w:ind w:right="628"/>
              <w:spacing w:after="0"/>
              <w:rPr>
                <w:sz w:val="20"/>
                <w:szCs w:val="20"/>
                <w:color w:val="auto"/>
              </w:rPr>
            </w:pPr>
            <w:r>
              <w:rPr>
                <w:rFonts w:ascii="Times New Roman" w:cs="Times New Roman" w:eastAsia="Times New Roman" w:hAnsi="Times New Roman"/>
                <w:sz w:val="13"/>
                <w:szCs w:val="13"/>
                <w:color w:val="auto"/>
                <w:w w:val="94"/>
              </w:rPr>
              <w:t>Common Stock, Without Par Value</w:t>
            </w:r>
          </w:p>
        </w:tc>
        <w:tc>
          <w:tcPr>
            <w:tcW w:w="500" w:type="dxa"/>
            <w:vAlign w:val="bottom"/>
          </w:tcPr>
          <w:p>
            <w:pPr>
              <w:spacing w:after="0"/>
              <w:rPr>
                <w:sz w:val="14"/>
                <w:szCs w:val="14"/>
                <w:color w:val="auto"/>
              </w:rPr>
            </w:pPr>
          </w:p>
        </w:tc>
        <w:tc>
          <w:tcPr>
            <w:tcW w:w="920" w:type="dxa"/>
            <w:vAlign w:val="bottom"/>
          </w:tcPr>
          <w:p>
            <w:pPr>
              <w:jc w:val="center"/>
              <w:ind w:right="451"/>
              <w:spacing w:after="0"/>
              <w:rPr>
                <w:sz w:val="20"/>
                <w:szCs w:val="20"/>
                <w:color w:val="auto"/>
              </w:rPr>
            </w:pPr>
            <w:r>
              <w:rPr>
                <w:rFonts w:ascii="Times New Roman" w:cs="Times New Roman" w:eastAsia="Times New Roman" w:hAnsi="Times New Roman"/>
                <w:sz w:val="13"/>
                <w:szCs w:val="13"/>
                <w:color w:val="auto"/>
                <w:w w:val="92"/>
              </w:rPr>
              <w:t>GT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289"/>
        </w:trPr>
        <w:tc>
          <w:tcPr>
            <w:tcW w:w="11220" w:type="dxa"/>
            <w:vAlign w:val="bottom"/>
            <w:gridSpan w:val="10"/>
          </w:tcPr>
          <w:p>
            <w:pPr>
              <w:ind w:left="38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229"/>
        </w:trPr>
        <w:tc>
          <w:tcPr>
            <w:tcW w:w="4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ind w:right="451"/>
              <w:spacing w:after="0"/>
              <w:rPr>
                <w:sz w:val="20"/>
                <w:szCs w:val="20"/>
                <w:color w:val="auto"/>
              </w:rPr>
            </w:pPr>
            <w:r>
              <w:rPr>
                <w:rFonts w:ascii="Times New Roman" w:cs="Times New Roman" w:eastAsia="Times New Roman" w:hAnsi="Times New Roman"/>
                <w:sz w:val="14"/>
                <w:szCs w:val="14"/>
                <w:color w:val="auto"/>
              </w:rPr>
              <w:t>None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7"/>
        </w:trPr>
        <w:tc>
          <w:tcPr>
            <w:tcW w:w="4260" w:type="dxa"/>
            <w:vAlign w:val="bottom"/>
            <w:gridSpan w:val="2"/>
          </w:tcPr>
          <w:p>
            <w:pPr>
              <w:spacing w:after="0"/>
              <w:rPr>
                <w:sz w:val="3"/>
                <w:szCs w:val="3"/>
                <w:color w:val="auto"/>
              </w:rPr>
            </w:pPr>
          </w:p>
        </w:tc>
        <w:tc>
          <w:tcPr>
            <w:tcW w:w="2680" w:type="dxa"/>
            <w:vAlign w:val="bottom"/>
            <w:tcBorders>
              <w:bottom w:val="single" w:sz="8" w:color="auto"/>
            </w:tcBorders>
            <w:gridSpan w:val="5"/>
          </w:tcPr>
          <w:p>
            <w:pPr>
              <w:spacing w:after="0"/>
              <w:rPr>
                <w:sz w:val="3"/>
                <w:szCs w:val="3"/>
                <w:color w:val="auto"/>
              </w:rPr>
            </w:pPr>
          </w:p>
        </w:tc>
        <w:tc>
          <w:tcPr>
            <w:tcW w:w="20" w:type="dxa"/>
            <w:vAlign w:val="bottom"/>
          </w:tcPr>
          <w:p>
            <w:pPr>
              <w:spacing w:after="0"/>
              <w:rPr>
                <w:sz w:val="3"/>
                <w:szCs w:val="3"/>
                <w:color w:val="auto"/>
              </w:rPr>
            </w:pPr>
          </w:p>
        </w:tc>
        <w:tc>
          <w:tcPr>
            <w:tcW w:w="4260" w:type="dxa"/>
            <w:vAlign w:val="bottom"/>
            <w:gridSpan w:val="2"/>
          </w:tcPr>
          <w:p>
            <w:pPr>
              <w:spacing w:after="0"/>
              <w:rPr>
                <w:sz w:val="3"/>
                <w:szCs w:val="3"/>
                <w:color w:val="auto"/>
              </w:rPr>
            </w:pPr>
          </w:p>
        </w:tc>
      </w:tr>
      <w:tr>
        <w:trPr>
          <w:trHeight w:val="232"/>
        </w:trPr>
        <w:tc>
          <w:tcPr>
            <w:tcW w:w="112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r>
      <w:tr>
        <w:trPr>
          <w:trHeight w:val="275"/>
        </w:trPr>
        <w:tc>
          <w:tcPr>
            <w:tcW w:w="4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Yes</w:t>
            </w:r>
          </w:p>
        </w:tc>
        <w:tc>
          <w:tcPr>
            <w:tcW w:w="500" w:type="dxa"/>
            <w:vAlign w:val="bottom"/>
            <w:tcBorders>
              <w:bottom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99"/>
              </w:rPr>
              <w:t>☑</w:t>
            </w: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640" w:type="dxa"/>
            <w:vAlign w:val="bottom"/>
            <w:tcBorders>
              <w:bottom w:val="single" w:sz="8" w:color="auto"/>
            </w:tcBorders>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gridSpan w:val="2"/>
          </w:tcPr>
          <w:p>
            <w:pPr>
              <w:spacing w:after="0"/>
              <w:rPr>
                <w:sz w:val="23"/>
                <w:szCs w:val="23"/>
                <w:color w:val="auto"/>
              </w:rPr>
            </w:pP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7" w:lineRule="exact"/>
        <w:rPr>
          <w:sz w:val="24"/>
          <w:szCs w:val="24"/>
          <w:color w:val="auto"/>
        </w:rPr>
      </w:pPr>
    </w:p>
    <w:p>
      <w:pPr>
        <w:ind w:left="4520"/>
        <w:spacing w:after="0" w:line="196" w:lineRule="exact"/>
        <w:tabs>
          <w:tab w:leader="none" w:pos="5180" w:val="left"/>
          <w:tab w:leader="none" w:pos="5840" w:val="left"/>
          <w:tab w:leader="none" w:pos="65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45085</wp:posOffset>
            </wp:positionV>
            <wp:extent cx="1680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23"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20"/>
        <w:spacing w:after="0" w:line="196" w:lineRule="exact"/>
        <w:tabs>
          <w:tab w:leader="none" w:pos="5180" w:val="left"/>
          <w:tab w:leader="none" w:pos="5840" w:val="left"/>
          <w:tab w:leader="none" w:pos="65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45085</wp:posOffset>
            </wp:positionV>
            <wp:extent cx="1680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36"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520"/>
        <w:spacing w:after="0" w:line="196" w:lineRule="exact"/>
        <w:tabs>
          <w:tab w:leader="none" w:pos="5180" w:val="left"/>
          <w:tab w:leader="none" w:pos="5840" w:val="left"/>
          <w:tab w:leader="none" w:pos="65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36830</wp:posOffset>
            </wp:positionV>
            <wp:extent cx="1680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2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60"/>
        <w:spacing w:after="0" w:line="181" w:lineRule="exact"/>
        <w:tabs>
          <w:tab w:leader="none" w:pos="1900" w:val="left"/>
          <w:tab w:leader="none" w:pos="2680" w:val="left"/>
          <w:tab w:leader="none" w:pos="4160" w:val="left"/>
          <w:tab w:leader="none" w:pos="4820" w:val="left"/>
          <w:tab w:leader="none" w:pos="6420" w:val="left"/>
          <w:tab w:leader="none" w:pos="6880" w:val="left"/>
          <w:tab w:leader="none" w:pos="8700" w:val="left"/>
          <w:tab w:leader="none" w:pos="9160" w:val="left"/>
          <w:tab w:leader="none" w:pos="109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58"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7" w:lineRule="exact"/>
        <w:rPr>
          <w:sz w:val="24"/>
          <w:szCs w:val="24"/>
          <w:color w:val="auto"/>
        </w:rPr>
      </w:pPr>
    </w:p>
    <w:p>
      <w:pPr>
        <w:ind w:left="4520"/>
        <w:spacing w:after="0" w:line="196" w:lineRule="exact"/>
        <w:tabs>
          <w:tab w:leader="none" w:pos="5180" w:val="left"/>
          <w:tab w:leader="none" w:pos="5840" w:val="left"/>
          <w:tab w:leader="none" w:pos="65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45085</wp:posOffset>
            </wp:positionV>
            <wp:extent cx="1680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3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computed by reference to the last sales price of such common stock as of the closing of trading on June 30, 2025, was approximately $3.0 billion.</w:t>
      </w:r>
    </w:p>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Without Par Value, outstanding at January 31, 2026:</w:t>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286,247,045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40640</wp:posOffset>
            </wp:positionV>
            <wp:extent cx="169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Proxy Statement for the Annual Meeting of Shareholders to be held on April 13, 2026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80" w:type="dxa"/>
            <w:vAlign w:val="bottom"/>
            <w:gridSpan w:val="17"/>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80" w:type="dxa"/>
            <w:vAlign w:val="bottom"/>
            <w:gridSpan w:val="15"/>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80" w:type="dxa"/>
            <w:vAlign w:val="bottom"/>
            <w:gridSpan w:val="17"/>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80" w:type="dxa"/>
            <w:vAlign w:val="bottom"/>
            <w:gridSpan w:val="15"/>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480" w:type="dxa"/>
            <w:vAlign w:val="bottom"/>
            <w:gridSpan w:val="10"/>
            <w:vMerge w:val="restart"/>
          </w:tcPr>
          <w:p>
            <w:pPr>
              <w:jc w:val="center"/>
              <w:ind w:right="3960"/>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13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480" w:type="dxa"/>
            <w:vAlign w:val="bottom"/>
            <w:gridSpan w:val="10"/>
            <w:vMerge w:val="continue"/>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Business</w:t>
            </w:r>
          </w:p>
        </w:tc>
        <w:tc>
          <w:tcPr>
            <w:tcW w:w="3360" w:type="dxa"/>
            <w:vAlign w:val="bottom"/>
            <w:gridSpan w:val="17"/>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3960" w:type="dxa"/>
            <w:vAlign w:val="bottom"/>
            <w:gridSpan w:val="9"/>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1A</w:t>
            </w:r>
          </w:p>
        </w:tc>
        <w:tc>
          <w:tcPr>
            <w:tcW w:w="20" w:type="dxa"/>
            <w:vAlign w:val="bottom"/>
          </w:tcPr>
          <w:p>
            <w:pPr>
              <w:spacing w:after="0"/>
              <w:rPr>
                <w:sz w:val="19"/>
                <w:szCs w:val="19"/>
                <w:color w:val="auto"/>
              </w:rPr>
            </w:pP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600" w:type="dxa"/>
            <w:vAlign w:val="bottom"/>
            <w:gridSpan w:val="25"/>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1B</w:t>
            </w:r>
          </w:p>
        </w:tc>
        <w:tc>
          <w:tcPr>
            <w:tcW w:w="20" w:type="dxa"/>
            <w:vAlign w:val="bottom"/>
          </w:tcPr>
          <w:p>
            <w:pPr>
              <w:spacing w:after="0"/>
              <w:rPr>
                <w:sz w:val="19"/>
                <w:szCs w:val="19"/>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1C</w:t>
            </w:r>
          </w:p>
        </w:tc>
        <w:tc>
          <w:tcPr>
            <w:tcW w:w="20" w:type="dxa"/>
            <w:vAlign w:val="bottom"/>
          </w:tcPr>
          <w:p>
            <w:pPr>
              <w:spacing w:after="0"/>
              <w:rPr>
                <w:sz w:val="19"/>
                <w:szCs w:val="19"/>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7"/>
          </w:tcPr>
          <w:p>
            <w:pPr>
              <w:spacing w:after="0"/>
              <w:rPr>
                <w:sz w:val="19"/>
                <w:szCs w:val="19"/>
                <w:color w:val="auto"/>
              </w:rPr>
            </w:pPr>
          </w:p>
        </w:tc>
        <w:tc>
          <w:tcPr>
            <w:tcW w:w="6580" w:type="dxa"/>
            <w:vAlign w:val="bottom"/>
            <w:gridSpan w:val="17"/>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Properties</w:t>
            </w:r>
          </w:p>
        </w:tc>
        <w:tc>
          <w:tcPr>
            <w:tcW w:w="7760" w:type="dxa"/>
            <w:vAlign w:val="bottom"/>
            <w:gridSpan w:val="26"/>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3920" w:type="dxa"/>
            <w:vAlign w:val="bottom"/>
            <w:gridSpan w:val="8"/>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600" w:type="dxa"/>
            <w:vAlign w:val="bottom"/>
            <w:gridSpan w:val="4"/>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7A</w:t>
            </w:r>
          </w:p>
        </w:tc>
        <w:tc>
          <w:tcPr>
            <w:tcW w:w="20" w:type="dxa"/>
            <w:vAlign w:val="bottom"/>
          </w:tcPr>
          <w:p>
            <w:pPr>
              <w:spacing w:after="0"/>
              <w:rPr>
                <w:sz w:val="19"/>
                <w:szCs w:val="19"/>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2560" w:type="dxa"/>
            <w:vAlign w:val="bottom"/>
            <w:tcBorders>
              <w:top w:val="single" w:sz="8" w:color="0000FF"/>
            </w:tcBorders>
            <w:gridSpan w:val="10"/>
          </w:tcPr>
          <w:p>
            <w:pPr>
              <w:spacing w:after="0"/>
              <w:rPr>
                <w:sz w:val="19"/>
                <w:szCs w:val="19"/>
                <w:color w:val="auto"/>
              </w:rPr>
            </w:pPr>
          </w:p>
        </w:tc>
        <w:tc>
          <w:tcPr>
            <w:tcW w:w="4500" w:type="dxa"/>
            <w:vAlign w:val="bottom"/>
            <w:gridSpan w:val="11"/>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2580" w:type="dxa"/>
            <w:vAlign w:val="bottom"/>
            <w:gridSpan w:val="3"/>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9A</w:t>
            </w:r>
          </w:p>
        </w:tc>
        <w:tc>
          <w:tcPr>
            <w:tcW w:w="20" w:type="dxa"/>
            <w:vAlign w:val="bottom"/>
          </w:tcPr>
          <w:p>
            <w:pPr>
              <w:spacing w:after="0"/>
              <w:rPr>
                <w:sz w:val="19"/>
                <w:szCs w:val="19"/>
                <w:color w:val="auto"/>
              </w:rPr>
            </w:pPr>
          </w:p>
        </w:tc>
        <w:tc>
          <w:tcPr>
            <w:tcW w:w="1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820" w:type="dxa"/>
            <w:vAlign w:val="bottom"/>
            <w:gridSpan w:val="19"/>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9B</w:t>
            </w:r>
          </w:p>
        </w:tc>
        <w:tc>
          <w:tcPr>
            <w:tcW w:w="20" w:type="dxa"/>
            <w:vAlign w:val="bottom"/>
          </w:tcPr>
          <w:p>
            <w:pPr>
              <w:spacing w:after="0"/>
              <w:rPr>
                <w:sz w:val="19"/>
                <w:szCs w:val="19"/>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40" w:type="dxa"/>
            <w:vAlign w:val="bottom"/>
            <w:gridSpan w:val="14"/>
          </w:tcPr>
          <w:p>
            <w:pPr>
              <w:jc w:val="center"/>
              <w:ind w:right="368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60" w:type="dxa"/>
            <w:vAlign w:val="bottom"/>
            <w:tcBorders>
              <w:top w:val="single" w:sz="8" w:color="0000FF"/>
            </w:tcBorders>
            <w:gridSpan w:val="7"/>
          </w:tcPr>
          <w:p>
            <w:pPr>
              <w:spacing w:after="0"/>
              <w:rPr>
                <w:sz w:val="19"/>
                <w:szCs w:val="19"/>
                <w:color w:val="auto"/>
              </w:rPr>
            </w:pPr>
          </w:p>
        </w:tc>
        <w:tc>
          <w:tcPr>
            <w:tcW w:w="3880" w:type="dxa"/>
            <w:vAlign w:val="bottom"/>
            <w:gridSpan w:val="6"/>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4740" w:type="dxa"/>
            <w:vAlign w:val="bottom"/>
            <w:gridSpan w:val="14"/>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860" w:type="dxa"/>
            <w:vAlign w:val="bottom"/>
            <w:gridSpan w:val="2"/>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14</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3520" w:type="dxa"/>
            <w:vAlign w:val="bottom"/>
            <w:gridSpan w:val="5"/>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gridSpan w:val="13"/>
          </w:tcPr>
          <w:p>
            <w:pPr>
              <w:jc w:val="center"/>
              <w:ind w:right="390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20" w:type="dxa"/>
            <w:vAlign w:val="bottom"/>
            <w:tcBorders>
              <w:top w:val="single" w:sz="8" w:color="0000FF"/>
            </w:tcBorders>
            <w:gridSpan w:val="5"/>
          </w:tcPr>
          <w:p>
            <w:pPr>
              <w:spacing w:after="0"/>
              <w:rPr>
                <w:sz w:val="19"/>
                <w:szCs w:val="19"/>
                <w:color w:val="auto"/>
              </w:rPr>
            </w:pPr>
          </w:p>
        </w:tc>
        <w:tc>
          <w:tcPr>
            <w:tcW w:w="3900" w:type="dxa"/>
            <w:vAlign w:val="bottom"/>
            <w:gridSpan w:val="7"/>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16</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440" w:type="dxa"/>
            <w:vAlign w:val="bottom"/>
            <w:tcBorders>
              <w:top w:val="single" w:sz="8" w:color="0000FF"/>
            </w:tcBorders>
            <w:gridSpan w:val="5"/>
          </w:tcPr>
          <w:p>
            <w:pPr>
              <w:spacing w:after="0"/>
              <w:rPr>
                <w:sz w:val="19"/>
                <w:szCs w:val="19"/>
                <w:color w:val="auto"/>
              </w:rPr>
            </w:pPr>
          </w:p>
        </w:tc>
        <w:tc>
          <w:tcPr>
            <w:tcW w:w="5580" w:type="dxa"/>
            <w:vAlign w:val="bottom"/>
            <w:gridSpan w:val="15"/>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Index to Financial Statement Schedules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FS-1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Index of Exhibits</w:t>
            </w: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X-1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S-1</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GOODYEAR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manufacturers of tires, engaging in operations in most regions of the world. In 2025, our net sales were $18,280 million and Goodyear net loss was $1,721 million. We develop, manufacture, distribute and sell tires for most applications. We are one of the world’s largest operators of commercial truck service and tire retreading centers. We also operate approximately 750 retail outlets where we offer our products for sale to consumer and commercial customers and provide repair and other services. We manufacture our products in 49 manufacturing facilities in 19 countries, including the United States, and we have marketing operations in almost every country around the world. We employ approximately 63,000 full-time and temporary associates worldwide.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Our reports filed with the SEC may be found on the SEC's website at http://www.sec.gov. The information on our website and the SEC's website is not incorporated by reference in or considered to be a part of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GOODYEAR’S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Goodyear’s strategic vision is to be #1 in tires and service. We are committed to designing leading technologies, products and services that anticipate and satisfy the mobility needs of consumers and fleets. These initiatives are intended to capture the value of our brands and grow our market share, support our customers in winning in their markets, and ensure we are the preferred choice of consumers. They also strengthen our ability to improve our safety, quality and efficiency and to build an advantaged supply chain that delivers the right tire to the right place at the right time, at the right cost.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multi-year transformation plan, called “Goodyear Forward,” that was intended to optimize our portfolio, deliver margin expansion and reduce leverage, was completed in 2025. In furtherance of the goals set out in our Goodyear Forward plan, key activities included:</w:t>
      </w:r>
    </w:p>
    <w:p>
      <w:pPr>
        <w:spacing w:after="0" w:line="54" w:lineRule="exact"/>
        <w:rPr>
          <w:sz w:val="20"/>
          <w:szCs w:val="20"/>
          <w:color w:val="auto"/>
        </w:rPr>
      </w:pPr>
    </w:p>
    <w:p>
      <w:pPr>
        <w:ind w:left="820" w:hanging="326"/>
        <w:spacing w:after="0" w:line="261"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gross proceeds of approximately $2.2 billion from portfolio optimization by completing the sales of our off-the-road (“OTR”) tire business, the Dunlop brand and our polymer chemicals business during 2025;</w:t>
      </w:r>
    </w:p>
    <w:p>
      <w:pPr>
        <w:jc w:val="both"/>
        <w:ind w:left="820" w:right="20" w:hanging="326"/>
        <w:spacing w:after="0" w:line="250"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cost reduction actions driving an annual, run-rate benefit of approximately $1.5 billion, including actions related to our manufacturing footprint, plant optimization, further improvement of our purchasing leverage, reduction of Selling, Administrative and General expenses (“SAG”) and improvements in our supply chain planning and logistics;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brand optimization and tiering;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leverage, utilizing proceeds from divestitures to reduce our debt.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operated our business through three operating segments representing our regional tire businesses: Americas; Europe, Middle East and Africa (“EMEA”); and Asia Pacific.</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business is the development, manufacture, distribution and sale of tires and related products and services worldwide. We manufacture and sell numerous lines of rubber tires for:</w:t>
      </w:r>
    </w:p>
    <w:p>
      <w:pPr>
        <w:spacing w:after="0" w:line="54"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motorcycles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implements,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applications.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our tires are offered for sale to vehicle manufacturers for mounting as original equipment (“OE”) and for replacement worldwide. We also continue to manufacture and sell OTR tires pursuant to a product supply agreement. We manufacture and sell tires under the Goodyear, Cooper, Kelly, Mastercraft, Roadmaster, Debica, Sava, Fulda, Mickey Thompson, Avon and Remington brands and various “house” brands, and the private-label brands of certain customers. In certain geographic areas we also:</w:t>
      </w:r>
    </w:p>
    <w:p>
      <w:pPr>
        <w:spacing w:after="0" w:line="72"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 truck and aviation tires,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sell tread rubber and other tire retreading materials, and/or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automotive and commercial repair services and miscellaneous other products and services.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products are new tires for most applications. Approximately 84% of our sales in 2025, 85% in 2024 and 86% in 2023 were for tire units. Sales of chemical products to unaffiliated customers were 2% of our consolidated sales in 2025, 3% in 2024 and 2% in 2023 (4%, 5% and 4% of Americas total sales in 2025, 2024 and 2023, respectively). The percentages of each segment’s sales attributable to tire units during the periods indicated were: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2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Tire Unit Sales</w:t>
            </w:r>
          </w:p>
        </w:tc>
        <w:tc>
          <w:tcPr>
            <w:tcW w:w="15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20" w:type="dxa"/>
            <w:vAlign w:val="bottom"/>
            <w:gridSpan w:val="2"/>
            <w:vMerge w:val="continue"/>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tcBorders>
              <w:bottom w:val="single" w:sz="8" w:color="CFF0FC"/>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82 %</w:t>
            </w:r>
          </w:p>
        </w:tc>
        <w:tc>
          <w:tcPr>
            <w:tcW w:w="1640" w:type="dxa"/>
            <w:vAlign w:val="bottom"/>
            <w:tcBorders>
              <w:bottom w:val="single" w:sz="8" w:color="CFF0FC"/>
            </w:tcBorders>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85</w:t>
            </w:r>
          </w:p>
        </w:tc>
        <w:tc>
          <w:tcPr>
            <w:tcW w:w="16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95</w:t>
            </w:r>
          </w:p>
        </w:tc>
        <w:tc>
          <w:tcPr>
            <w:tcW w:w="16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1"/>
                <w:szCs w:val="21"/>
                <w:color w:val="auto"/>
              </w:rPr>
            </w:pPr>
          </w:p>
        </w:tc>
        <w:tc>
          <w:tcPr>
            <w:tcW w:w="15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6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segment exports tires to other segments. The financial results of each segment exclude sales of tires exported to other segments, but include operating income derived from such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does not include motorcycle, aviation or race tires in reported tire unit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for each segment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9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GOODYEAR’S ANNUAL TIRE UNIT SALES — SEGMENT</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4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49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FF0FC"/>
            </w:tcBorders>
          </w:tcPr>
          <w:p>
            <w:pPr>
              <w:spacing w:after="0"/>
              <w:rPr>
                <w:sz w:val="3"/>
                <w:szCs w:val="3"/>
                <w:color w:val="auto"/>
              </w:rPr>
            </w:pPr>
          </w:p>
        </w:tc>
        <w:tc>
          <w:tcPr>
            <w:tcW w:w="34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4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replacement and OE tire unit sales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5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GOODYEAR’S ANNUAL TIRE UNIT SALES — REPLACEMENT AND OE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7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80" w:type="dxa"/>
            <w:vAlign w:val="bottom"/>
            <w:vMerge w:val="continue"/>
          </w:tcPr>
          <w:p>
            <w:pPr>
              <w:spacing w:after="0"/>
              <w:rPr>
                <w:sz w:val="16"/>
                <w:szCs w:val="16"/>
                <w:color w:val="auto"/>
              </w:rPr>
            </w:pPr>
          </w:p>
        </w:tc>
        <w:tc>
          <w:tcPr>
            <w:tcW w:w="5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372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113.1</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FF0FC"/>
            </w:tcBorders>
          </w:tcPr>
          <w:p>
            <w:pPr>
              <w:spacing w:after="0"/>
              <w:rPr>
                <w:sz w:val="2"/>
                <w:szCs w:val="2"/>
                <w:color w:val="auto"/>
              </w:rPr>
            </w:pPr>
          </w:p>
        </w:tc>
        <w:tc>
          <w:tcPr>
            <w:tcW w:w="37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5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158.7</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166.6</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Hankook, Kumho, Pirelli, Sumitomo, Toyo, Yokohama and various regional tire manufacturers.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other tire manufacturers on the basis of product design, performance, price and terms, reputation, warranty terms, customer service and consumer convenience. Goodyear, Cooper and Mickey Thompson branded tires enjoy a high recognition factor and have a reputation for performance and product design. The Kelly, Mastercraft, Roadmaster, Debica, Sava, Fulda, Avon and Remington brands and various house brand tire lines offered by us, and tires manufactured and sold by us to private brand customers, compete primarily on the basis of value and price.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consider our tire businesses to be seasonal to any significant degree.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eight plants in the United States, two plants in Canada, two plants in Mexico and one plant each in Brazil, Chile, Colombia and Peru.</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manufactures and sells tires for automobiles, trucks, buses, aircraft, and various other applications.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Goodyear brand radial passenger tire lines sold throughout Americas include the Assurance family of product lines for the premium and mid-tier passenger and cross-over utility segments; the Eagle Performance family of product lines for the high-performance segment; the Wrangler family of product lines for the sport utility vehicle and light truck segments; as well as the WinterCommand and Ultra Grip family of winter tires. Cooper brand radial passenger tire lines sold throughout Americas include those sold under the Cooper and Mastercraft brands. We also offer Mickey Thompson brand radial tire lines, including the Baja family of product lines and Street Comp for the light truck, off-road and performance enthusiast segments. Americas also manufactures and sells several lines of Kelly brand radial tires for passenger cars and light trucks including the Kelly Edge Touring Plus, Edge Sport and Safari AT. Our Americas commercial business provides commercial truck tires, retreads, services and business solutions to trucking fleets. Cooper brand commercial tires sold throughout Americas include those sold under the Roadmaster brand. Americas also:</w:t>
      </w:r>
    </w:p>
    <w:p>
      <w:pPr>
        <w:spacing w:after="0" w:line="84"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trucks, heavy equipment and aviation,</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and aviation tires, primarily as a service to its commercial customers,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sells products and installation services online through our websites, </w:t>
      </w:r>
      <w:r>
        <w:rPr>
          <w:rFonts w:ascii="Times New Roman" w:cs="Times New Roman" w:eastAsia="Times New Roman" w:hAnsi="Times New Roman"/>
          <w:sz w:val="18"/>
          <w:szCs w:val="18"/>
          <w:u w:val="single" w:color="auto"/>
          <w:color w:val="auto"/>
        </w:rPr>
        <w:t>www.goodyear.com</w:t>
      </w:r>
      <w:r>
        <w:rPr>
          <w:rFonts w:ascii="Times New Roman" w:cs="Times New Roman" w:eastAsia="Times New Roman" w:hAnsi="Times New Roman"/>
          <w:sz w:val="18"/>
          <w:szCs w:val="18"/>
          <w:color w:val="auto"/>
        </w:rPr>
        <w:t xml:space="preserve"> for consumer tires and </w:t>
      </w:r>
      <w:r>
        <w:rPr>
          <w:rFonts w:ascii="Times New Roman" w:cs="Times New Roman" w:eastAsia="Times New Roman" w:hAnsi="Times New Roman"/>
          <w:sz w:val="18"/>
          <w:szCs w:val="18"/>
          <w:u w:val="single" w:color="auto"/>
          <w:color w:val="auto"/>
        </w:rPr>
        <w:t>www.goodyeartrucktires.com</w:t>
      </w:r>
      <w:r>
        <w:rPr>
          <w:rFonts w:ascii="Times New Roman" w:cs="Times New Roman" w:eastAsia="Times New Roman" w:hAnsi="Times New Roman"/>
          <w:sz w:val="18"/>
          <w:szCs w:val="18"/>
          <w:color w:val="auto"/>
        </w:rPr>
        <w:t xml:space="preserve"> for commercial tires,</w:t>
      </w:r>
    </w:p>
    <w:p>
      <w:pPr>
        <w:ind w:left="820" w:hanging="326"/>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approximately 505 Company-owned retail outlets primarily under the Goodyear or Just Tires names,</w:t>
      </w:r>
    </w:p>
    <w:p>
      <w:pPr>
        <w:ind w:left="820" w:hanging="326"/>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retreads, mechanical service, preventative maintenance and roadside assistance from approximately 180 Company-owned locations, primarily Goodyear Commercial Tire &amp; Service Centers,</w:t>
      </w: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automotive repair and maintenance items, automotive equipment and accessories and other items to dealers and consumers,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Americas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AMERICAS UNIT SALES — REPLACEMENT AND OE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8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5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740" w:type="dxa"/>
            <w:vAlign w:val="bottom"/>
            <w:tcBorders>
              <w:bottom w:val="single" w:sz="8" w:color="CFF0FC"/>
            </w:tcBorders>
          </w:tcPr>
          <w:p>
            <w:pPr>
              <w:spacing w:after="0"/>
              <w:rPr>
                <w:sz w:val="3"/>
                <w:szCs w:val="3"/>
                <w:color w:val="auto"/>
              </w:rPr>
            </w:pPr>
          </w:p>
        </w:tc>
        <w:tc>
          <w:tcPr>
            <w:tcW w:w="386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63.7</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FF0FC"/>
            </w:tcBorders>
          </w:tcPr>
          <w:p>
            <w:pPr>
              <w:spacing w:after="0"/>
              <w:rPr>
                <w:sz w:val="2"/>
                <w:szCs w:val="2"/>
                <w:color w:val="auto"/>
              </w:rPr>
            </w:pPr>
          </w:p>
        </w:tc>
        <w:tc>
          <w:tcPr>
            <w:tcW w:w="386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5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78.2</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81.6</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is a major supplier of tires to most manufacturers of automobiles, trucks, buses and aircraft that have production facilities located in the Americas.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primary competitors are Bridgestone and Michelin. Other significant competitors include Continental, Pirelli, and imports from other regions, primarily Asia.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channel for the sale of Goodyear and Cooper brand tires in Americas is a large network of independent dealers. Goodyear, Cooper, Kelly and Mastercraft brand tires are also sold to numerous national and regional retailers, in Goodyear Company-owned stores in the United States, and through the wholesale channel, including through TireHub, LLC ("TireHub"), our national wholesale tire distributor in the United States, and a network of aligned U.S. regional wholesale tire distributors.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sold in the United States are subject to Federal Motor Vehicle Safety Standards (“FMVSS”) promulgated and enforced by the National Highway Traffic Safety Administration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Transportation Recall Enhancement, Accountability, and Documentation Act (the “TREAD Act”) imposes numerous reporting requirements with respect to the early warning reporting of warranty claims, property damage claims, and bodily injury and fatality claims. The FMVSS also require tire manufacturers to comply with rigorous tire testing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UROPE,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IDDLE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FRICA</w:t>
      </w:r>
    </w:p>
    <w:p>
      <w:pPr>
        <w:spacing w:after="0" w:line="12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Europe, Middle East and Africa, our second largest segment in terms of revenue, develops, manufactures, distributes and sells tires for automobiles, trucks, buses, aircraft and motorcycles throughout Europe, the Middle East and Africa under the Goodyear, Cooper, Debica, Sava, Fulda and Avon brands and other house brands, and sells tires to various export markets, primarily through intersegment sales. Following the sale of the Dunlop brand, Cooper is being introduced as Goodyear’s primary 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brand in EMEA. EMEA manufactures tires in thirteen plants in France, Germany, Luxembourg, the Netherlands, Poland, Serbia, Slovenia and Turkey. EMEA also:</w:t>
      </w:r>
    </w:p>
    <w:p>
      <w:pPr>
        <w:spacing w:after="0" w:line="93"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aviation tires and manufactures and sells retreaded aviation tires,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various retreading and related services for truck tires, primarily for its commercial truck tire customers,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digital tools, connected technologies and related services,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automotive repair services at Company-owned retail outlets,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EMEA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74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EUROPE, MIDDLE EAST AND AFRICA UNIT SALES — REPLACEMENT AND OE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3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5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FF0FC"/>
            </w:tcBorders>
          </w:tcPr>
          <w:p>
            <w:pPr>
              <w:spacing w:after="0"/>
              <w:rPr>
                <w:sz w:val="3"/>
                <w:szCs w:val="3"/>
                <w:color w:val="auto"/>
              </w:rPr>
            </w:pPr>
          </w:p>
        </w:tc>
        <w:tc>
          <w:tcPr>
            <w:tcW w:w="432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8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FF0FC"/>
            </w:tcBorders>
          </w:tcPr>
          <w:p>
            <w:pPr>
              <w:spacing w:after="0"/>
              <w:rPr>
                <w:sz w:val="2"/>
                <w:szCs w:val="2"/>
                <w:color w:val="auto"/>
              </w:rPr>
            </w:pPr>
          </w:p>
        </w:tc>
        <w:tc>
          <w:tcPr>
            <w:tcW w:w="43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58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47.9</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48.9</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tcBorders>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is a significant supplier of tires to most vehicle manufacturers across the region.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EMEA’s primary competitors are Michelin, Bridgestone, Continental, Pirelli, several regional and local tire producers, and imports from other regions, primarily Asia.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and Cooper brand tires are sold for replacement in EMEA through various channels of distribution, principally independent multi-brand tire dealers. In some areas, Goodyear brand tires, as well as Cooper, Debica, Sava, Fulda and Avon brand tires, are distributed through independent dealers, regional distributors and retail outlets, of which 55 are owned by Goodyear.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The Tire Safety Regulation sets performance standards that tires for passenger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Our European operations or tires produced or sold in Europe also have to comply, or may have to comply in the future, with various other standards, including Registration, Evaluation, Authorisation and Restriction of Chemical Substances (REACH), which regulates the use of chemicals in the European Union; Corporate Sustainability Reporting Directive (CSRD) and Corporate Sustainability Due Diligence Directive (CSDDD), as amended by the EU Omnibus Directive, which establish certain disclosure and due diligence requirements; Ecodesign for Sustainable Products Regulation (ESPR), which establishes product design requirements to meet certain sustainability criteria; and European Union Deforestation Regulation (EUDR), which requires due diligence for certain products, including natural rubber, to address deforestation.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SIA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Asia Pacific segment develops, manufactures, distributes and sells tires for automobiles, trucks, buses, aircraft, and farm throughout the Asia Pacific region, and sells tires to various export markets, primarily through intersegment sales. Asia Pacific manufactures tires in seven plants in China, India, Indonesia and Thailand. Asia Pacific also:</w:t>
      </w:r>
    </w:p>
    <w:p>
      <w:pPr>
        <w:spacing w:after="0" w:line="68"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and aviation tires,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aviation tires,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through a network of licensed retail stores, and</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Asia Pacific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5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ASIA PACIFIC UNIT SALES — REPLACEMENT AND OE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5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FF0FC"/>
            </w:tcBorders>
          </w:tcPr>
          <w:p>
            <w:pPr>
              <w:spacing w:after="0"/>
              <w:rPr>
                <w:sz w:val="3"/>
                <w:szCs w:val="3"/>
                <w:color w:val="auto"/>
              </w:rPr>
            </w:pPr>
          </w:p>
        </w:tc>
        <w:tc>
          <w:tcPr>
            <w:tcW w:w="392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FF0FC"/>
            </w:tcBorders>
          </w:tcPr>
          <w:p>
            <w:pPr>
              <w:spacing w:after="0"/>
              <w:rPr>
                <w:sz w:val="2"/>
                <w:szCs w:val="2"/>
                <w:color w:val="auto"/>
              </w:rPr>
            </w:pPr>
          </w:p>
        </w:tc>
        <w:tc>
          <w:tcPr>
            <w:tcW w:w="39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5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32.6</w:t>
            </w:r>
          </w:p>
        </w:tc>
        <w:tc>
          <w:tcPr>
            <w:tcW w:w="1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sells primarily Goodyear and Cooper brand tires throughout the region. Other brands of tires, such as Mickey Thompson, Kelly and Mastercraft, are sold in smaller quantities. Tires are sold through a network of licensed and franchised retail stores and multi-brand retailers through a network of wholesale dealers as well as through an increasing number of on-line outlets.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BUSINESS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raw materials used by Goodyear are synthetic and natural rubber. Synthetic rubber accounted for approximately 50% of all rubber consumed by us in 2025. Our former plants located in Beaumont and Houston, Texas supplied, and will continue to supply, a major portion of our global synthetic rubber requirements. We transferred ownership of the plants located in Beaumont and Houston, Texas on October 31, 2025 in connection with the sale of our chemical business. We purchase all of our requirements for natural rubber in the world market.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important raw materials and components we use are carbon black, steel cord, fabrics and petrochemical-based commodities. Substantially all of these raw materials and components are purchased from independent suppliers. We purchase most raw materials and components in significant quantities from several suppliers, except in those instances where only one or a few qualified sources are available. Raw material costs were higher in 2025 as compared to 2024. We anticipate the continued availability of raw materials and components we will require during 2026, subject to spot shortages and unexpected disruptions caused by natural disasters, such as hurricanes, or other events.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we employed approximately 63,000 full-time and temporary associates throughout the world, including approximately 36,000 associates covered under collective bargaining agreements. Approximately 4,300 of our associates in the United States are covered by a master collective bargaining agreement between Goodyear and the United Steelworkers ("USW"), which expires in July 2026. Approximately 2,000 of our associates at our Texarkana and Findlay plants in the United States are covered by separate collective bargaining agreements with the USW, which expire in October 2028. In addition, approximately 500 of our associates in the United States are covered by other contracts with the USW and various other unions. Approximately 19,000 of our associates outside of the United States are covered by union contracts that currently have expired or that will expire in 2026, primarily in Luxembourg, Poland, China, Mexico, Slovenia, France, Turkey, Indonesia, India and Peru. Unions represent a major portion of our associates in the United States and Europe.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Engaging and enabling our associates to realize their full potential is one of our core strategies. This starts with attracting top talent and is followed by fostering inclusion, promoting engagement, offering opportunities for skill and career development, supporting health and wellness, providing a safe and healthy workplace, making a positive impact in our communities, and expecting our associates to know and comply with our compliance and ethics policies.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Our associates are the driving force behind our success. They underpin every aspect of our strategy and help us deliver value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and talent engagement and retention. An example of how we attract talent is through campus recruiting into our intern and job rotational programs utilized by several of our functional teams. We offer a range of talent developmental tools, including an internal collection of courses and learning resources available to all associates. In our manufacturing plants, one of the pillars of our plant optimization efforts is Continuous Skills Development, which focuses on developing problem-solving and decision-making skills.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Engagement and Inclusion — </w:t>
      </w:r>
      <w:r>
        <w:rPr>
          <w:rFonts w:ascii="Times New Roman" w:cs="Times New Roman" w:eastAsia="Times New Roman" w:hAnsi="Times New Roman"/>
          <w:sz w:val="18"/>
          <w:szCs w:val="18"/>
          <w:color w:val="auto"/>
        </w:rPr>
        <w:t>An engaged and inclusive workforce is critical to our long-term success. Embracing and valuing differences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top talent, 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training and Employee Resource Groups (“ERGs”), which are key to our inclusion efforts. Our ERGs provide all participating associates access to coaching, mentoring and professional development, and include ADAPT (Abled and Disabled Associates Partnering Together), Goodyear Asia India Middle East (AIM), Goodyear Black Network, Goodyear Veterans Association, Goodyear Women’s Network, Goodyear Pride Network, HOLA (Hispanic/Latino) and Next Generation Leaders.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and Wellness — </w:t>
      </w:r>
      <w:r>
        <w:rPr>
          <w:rFonts w:ascii="Times New Roman" w:cs="Times New Roman" w:eastAsia="Times New Roman" w:hAnsi="Times New Roman"/>
          <w:sz w:val="18"/>
          <w:szCs w:val="18"/>
          <w:color w:val="auto"/>
        </w:rPr>
        <w:t>Our wellness initiatives take a holistic view of associate health, including physical, emotional, financial and social health,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associates to thrive and bring their best selves to work each day. Goodyear strives to be at the forefront of corporate wellness, and that goal is the driver behind our “GoodLife” wellness program, which fosters a culture of wellness for all Goodyear associates and their families. To meet the needs of our diverse workforce and their dependents, we offer varying robust benefits packages for our full-time and part-time associates globally.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Safety and Wellness — </w:t>
      </w:r>
      <w:r>
        <w:rPr>
          <w:rFonts w:ascii="Times New Roman" w:cs="Times New Roman" w:eastAsia="Times New Roman" w:hAnsi="Times New Roman"/>
          <w:sz w:val="18"/>
          <w:szCs w:val="18"/>
          <w:color w:val="auto"/>
        </w:rPr>
        <w:t>Our vision is to have the safest operations in the world. We have established a goal of eliminating all serious injuries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Engagement </w:t>
      </w:r>
      <w:r>
        <w:rPr>
          <w:rFonts w:ascii="Times New Roman" w:cs="Times New Roman" w:eastAsia="Times New Roman" w:hAnsi="Times New Roman"/>
          <w:sz w:val="18"/>
          <w:szCs w:val="18"/>
          <w:color w:val="auto"/>
        </w:rPr>
        <w:t>— Collaborating with community organizations energizes our associates and helps us build a better future. Our global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Compliance and Ethics — </w:t>
      </w:r>
      <w:r>
        <w:rPr>
          <w:rFonts w:ascii="Times New Roman" w:cs="Times New Roman" w:eastAsia="Times New Roman" w:hAnsi="Times New Roman"/>
          <w:sz w:val="18"/>
          <w:szCs w:val="18"/>
          <w:color w:val="auto"/>
        </w:rPr>
        <w:t>To “Act with Integrity” is a core component of our global strategy. Each associate is responsible for acting with honesty,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and respect every day and everywhere we do business. Our Business Conduct Manual guides our Board of Directors, executive team and all associates globally. We require our global salaried associates to complete training annually on our Business Conduct Manual and periodically on subjects such as workplace respect (including discrimination and harassment), financial integrity, privacy and data protection, competition law, anti-corruption and anti-bribery, and being a compliance leader.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approximately 1,400 product, process and equipment patents issued by the United States Patent Office and approximately 3,500 patents issued or granted in other countries around the world. We have approximately 300 applications for United States patents pending and approximately 500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control or use approximately 1,300 different trademarks, including several using the word “Goodyear” or the word “Cooper.” Approximately 8,100 registrations and 200 pending applications worldwide protect these trademarks. While such trademarks as a group are important, the only trademarks we consider material to our business, or to the business of any of our segments, are those using the word “Goodyear” or the word “Cooper.” We believe our trademarks are valid and most are of unlimited duration as long as they are adequately protected and appropriately used.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$55 million and $45 million in 2026 and 2027,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European Union's General Data Protection Regulation ("GDPR"), tax laws, and accounting, internal control and disclosure requirements.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reaching net-zero greenhouse gas (GHG) emissions across our value chain by 2050 from a 2019 base year. In addition, we are committed to reducing Scope 1 and 2 GHG emissions by 46% by 2030 from a 2019 base year, and certain Scope 3 GHG emissions from purchased goods and services, fuel and energy-related activities and upstream transportation by 28% within the same timeframe. Our science-based near-term and net-zero GHG reduction targets were validated by the Science Based Targets initiative (SBTi) in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considerations continue to drive change in the transportation sector. Advanced forms of mobility—such as fleets, autonomous, connected, electric and sustainable vehicles—are impacting the transport industry and have the potential to make driving safer and transition the industry to a low-GHG-emissions industry. Goodyear remains committed to advancing safe, energy-efficient and sustainable products and services through tire design and digital-based solutions.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move to a low-carbon economy creates growth opportunities within the tire industry that we are positioned to leverage through our continued innovation. We have a proven track record of producing tires for electric and autonomous vehicles, developing tires and rubber compounds that contribute to reduced GHG emissions by lowering rolling resistance and reducing tire weight, and providing fleet solution services that promote fuel efficiency. We maintain strong relationships with our supply chain partners which, coupled with our global scale, can be leveraged to either avoid or minimize climate-related supply chain disruptions.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established a robust process that uses internal and external insights to identify, assess and report climate-related risks and opportunities. Such risks include an increase in severe weather events that could temporarily disrupt our operations, supply chain or the operations of our customers and the cost of compliance associated with increased climate-related regulations globally, including increased disclosure obligations or being subject to increased carbon taxes or similar mechanisms in the European Union or the emergence of such programs in other countries. Refer to Item 1A. "Risk Factors" for a discussion of these and our other risk factors.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comply with all applicable laws and regulations, and set company-wide and facility-specific goals to reduce our operational impacts. As part of this commitment, we continue to focus on reducing energy consumption and emissions in our manufacturing facilities and utilizing renewable energy sources. Goodyear has committed to using 100% renewable electricity in all manufacturing facilities by 2030 and 100% renewable energy in all manufacturing facilities by 2040.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focus on the resiliency of our supply chain and business by developing more sustainable material sources and increasing our use of sustainable materials that deliver product performance while meeting our high standards of safety and quality. Goodyear currently defines a “sustainable material” as a bio-based (originating from biological sources), renewable (composed of replenishable biomass) or recycled (reprocessed from reclaimed materials) material, or one produced using or contributing to other practices designed to promote resource conservation and/or emissions reductions.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has a goal to introduce the industry's first 100% sustainable material tire by 2030. In addition, we continue to use bio-based oils to help us reach our goal of fully replacing petroleum-based oils in our products by 2040. We remain committed to continuing to advance the science and technology and conduct research to bring new materials that deliver safety, quality and performance.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 forth below are: (1) the names and ages of all executive officers of the Company at February 10, 2026, (2) all positions with the Company presently held by each such person, and (3) the positions held by, and principal areas of responsibility of, each such person during the last five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
        </w:trPr>
        <w:tc>
          <w:tcPr>
            <w:tcW w:w="3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331"/>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Mark W. Stewart</w:t>
            </w:r>
          </w:p>
        </w:tc>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58</w:t>
            </w:r>
          </w:p>
        </w:tc>
      </w:tr>
    </w:tbl>
    <w:p>
      <w:pPr>
        <w:spacing w:after="0" w:line="3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Mr. Stewart was named Chief Executive Officer and President on January 29, 2024. He is the principal executive officer of the Company. Mr. Stewart joined Goodyear from Stellantis N.V., a leading global automaker and provider of innovative mobility solutions, where he served as Chief Operating Officer of North America and a member of the Group Executive Council from December 2018 to January 2024.</w:t>
      </w:r>
    </w:p>
    <w:p>
      <w:pPr>
        <w:spacing w:after="0" w:line="118" w:lineRule="exact"/>
        <w:rPr>
          <w:sz w:val="20"/>
          <w:szCs w:val="20"/>
          <w:color w:val="auto"/>
        </w:rPr>
      </w:pPr>
    </w:p>
    <w:p>
      <w:pPr>
        <w:ind w:left="360"/>
        <w:spacing w:after="0"/>
        <w:tabs>
          <w:tab w:leader="none" w:pos="44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Christina L. Zamarro</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r>
        <w:rPr>
          <w:sz w:val="20"/>
          <w:szCs w:val="20"/>
          <w:color w:val="auto"/>
        </w:rPr>
        <w:tab/>
      </w:r>
      <w:r>
        <w:rPr>
          <w:rFonts w:ascii="Times New Roman" w:cs="Times New Roman" w:eastAsia="Times New Roman" w:hAnsi="Times New Roman"/>
          <w:sz w:val="18"/>
          <w:szCs w:val="18"/>
          <w:b w:val="1"/>
          <w:bCs w:val="1"/>
          <w:color w:val="auto"/>
        </w:rPr>
        <w:t>54</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Ms. Zamarro was named Executive Vice President and Chief Financial Officer on January 1, 2023. She is Goodyear’s principal financial officer. 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Zamarro joined Goodyear in 2007 and has served as Vice President, Finance and Treasurer (May 2020 to December 31, 2022).</w:t>
      </w:r>
    </w:p>
    <w:p>
      <w:pPr>
        <w:spacing w:after="0" w:line="149" w:lineRule="exact"/>
        <w:rPr>
          <w:sz w:val="20"/>
          <w:szCs w:val="20"/>
          <w:color w:val="auto"/>
        </w:rPr>
      </w:pPr>
    </w:p>
    <w:p>
      <w:pPr>
        <w:ind w:left="360"/>
        <w:spacing w:after="0"/>
        <w:tabs>
          <w:tab w:leader="none" w:pos="5620" w:val="left"/>
          <w:tab w:leader="none" w:pos="10380" w:val="left"/>
        </w:tabs>
        <w:rPr>
          <w:sz w:val="20"/>
          <w:szCs w:val="20"/>
          <w:color w:val="auto"/>
        </w:rPr>
      </w:pPr>
      <w:r>
        <w:rPr>
          <w:rFonts w:ascii="Times New Roman" w:cs="Times New Roman" w:eastAsia="Times New Roman" w:hAnsi="Times New Roman"/>
          <w:sz w:val="18"/>
          <w:szCs w:val="18"/>
          <w:b w:val="1"/>
          <w:bCs w:val="1"/>
          <w:color w:val="auto"/>
        </w:rPr>
        <w:t>Nathaniel Madarang</w:t>
      </w:r>
      <w:r>
        <w:rPr>
          <w:sz w:val="20"/>
          <w:szCs w:val="20"/>
          <w:color w:val="auto"/>
        </w:rPr>
        <w:tab/>
      </w:r>
      <w:r>
        <w:rPr>
          <w:rFonts w:ascii="Times New Roman" w:cs="Times New Roman" w:eastAsia="Times New Roman" w:hAnsi="Times New Roman"/>
          <w:sz w:val="18"/>
          <w:szCs w:val="18"/>
          <w:b w:val="1"/>
          <w:bCs w:val="1"/>
          <w:color w:val="auto"/>
        </w:rPr>
        <w:t>President, Asia Pacific</w:t>
      </w:r>
      <w:r>
        <w:rPr>
          <w:sz w:val="20"/>
          <w:szCs w:val="20"/>
          <w:color w:val="auto"/>
        </w:rPr>
        <w:tab/>
      </w:r>
      <w:r>
        <w:rPr>
          <w:rFonts w:ascii="Times New Roman" w:cs="Times New Roman" w:eastAsia="Times New Roman" w:hAnsi="Times New Roman"/>
          <w:sz w:val="18"/>
          <w:szCs w:val="18"/>
          <w:b w:val="1"/>
          <w:bCs w:val="1"/>
          <w:color w:val="auto"/>
        </w:rPr>
        <w:t>54</w:t>
      </w:r>
    </w:p>
    <w:p>
      <w:pPr>
        <w:spacing w:after="0" w:line="67" w:lineRule="exact"/>
        <w:rPr>
          <w:sz w:val="20"/>
          <w:szCs w:val="20"/>
          <w:color w:val="auto"/>
        </w:rPr>
      </w:pPr>
    </w:p>
    <w:p>
      <w:pPr>
        <w:jc w:val="both"/>
        <w:ind w:left="20" w:right="20"/>
        <w:spacing w:after="0" w:line="312" w:lineRule="auto"/>
        <w:rPr>
          <w:sz w:val="20"/>
          <w:szCs w:val="20"/>
          <w:color w:val="auto"/>
        </w:rPr>
      </w:pPr>
      <w:r>
        <w:rPr>
          <w:rFonts w:ascii="Times New Roman" w:cs="Times New Roman" w:eastAsia="Times New Roman" w:hAnsi="Times New Roman"/>
          <w:sz w:val="17"/>
          <w:szCs w:val="17"/>
          <w:color w:val="auto"/>
        </w:rPr>
        <w:t>Mr. Madarang was named President, Asia Pacific in March 2021. He is the executive officer responsible for Goodyear’s operations in Asia, Australia, New Zealand and the Western Pacific. Mr. Madarang joined Goodyear in 2008 and has served as Managing Director, China (October 2019 to February 2021).</w:t>
      </w:r>
    </w:p>
    <w:p>
      <w:pPr>
        <w:spacing w:after="0" w:line="82" w:lineRule="exact"/>
        <w:rPr>
          <w:sz w:val="20"/>
          <w:szCs w:val="20"/>
          <w:color w:val="auto"/>
        </w:rPr>
      </w:pPr>
    </w:p>
    <w:p>
      <w:pPr>
        <w:ind w:left="360"/>
        <w:spacing w:after="0"/>
        <w:tabs>
          <w:tab w:leader="none" w:pos="48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Grégory Boucharlat</w:t>
      </w:r>
      <w:r>
        <w:rPr>
          <w:sz w:val="20"/>
          <w:szCs w:val="20"/>
          <w:color w:val="auto"/>
        </w:rPr>
        <w:tab/>
      </w:r>
      <w:r>
        <w:rPr>
          <w:rFonts w:ascii="Times New Roman" w:cs="Times New Roman" w:eastAsia="Times New Roman" w:hAnsi="Times New Roman"/>
          <w:sz w:val="18"/>
          <w:szCs w:val="18"/>
          <w:b w:val="1"/>
          <w:bCs w:val="1"/>
          <w:color w:val="auto"/>
        </w:rPr>
        <w:t>Senior Vice President, Global Commercial</w:t>
      </w:r>
      <w:r>
        <w:rPr>
          <w:sz w:val="20"/>
          <w:szCs w:val="20"/>
          <w:color w:val="auto"/>
        </w:rPr>
        <w:tab/>
      </w:r>
      <w:r>
        <w:rPr>
          <w:rFonts w:ascii="Times New Roman" w:cs="Times New Roman" w:eastAsia="Times New Roman" w:hAnsi="Times New Roman"/>
          <w:sz w:val="18"/>
          <w:szCs w:val="18"/>
          <w:b w:val="1"/>
          <w:bCs w:val="1"/>
          <w:color w:val="auto"/>
        </w:rPr>
        <w:t>53</w:t>
      </w:r>
    </w:p>
    <w:p>
      <w:pPr>
        <w:spacing w:after="0" w:line="67"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Mr. Bourcharlat was named Senior Vice President, Global Commercial, effective May 15, 2025. He is the executive officer responsible for strategic coordination of Goodyear’s commercial tire business. Mr. Bourcharlat joined Goodyear in 1994 and has served as Vice President, Commercial Europe (October 2019 to February 2023) and Vice President, Tires-as-a-Service (March 2023 to May 2025).</w:t>
      </w:r>
    </w:p>
    <w:p>
      <w:pPr>
        <w:spacing w:after="0" w:line="118" w:lineRule="exact"/>
        <w:rPr>
          <w:sz w:val="20"/>
          <w:szCs w:val="20"/>
          <w:color w:val="auto"/>
        </w:rPr>
      </w:pPr>
    </w:p>
    <w:p>
      <w:pPr>
        <w:ind w:left="360"/>
        <w:spacing w:after="0"/>
        <w:tabs>
          <w:tab w:leader="none" w:pos="4280" w:val="left"/>
          <w:tab w:leader="none" w:pos="10380" w:val="left"/>
        </w:tabs>
        <w:rPr>
          <w:sz w:val="20"/>
          <w:szCs w:val="20"/>
          <w:color w:val="auto"/>
        </w:rPr>
      </w:pPr>
      <w:r>
        <w:rPr>
          <w:rFonts w:ascii="Times New Roman" w:cs="Times New Roman" w:eastAsia="Times New Roman" w:hAnsi="Times New Roman"/>
          <w:sz w:val="18"/>
          <w:szCs w:val="18"/>
          <w:b w:val="1"/>
          <w:bCs w:val="1"/>
          <w:color w:val="auto"/>
        </w:rPr>
        <w:t>Laura P. Duda</w:t>
      </w:r>
      <w:r>
        <w:rPr>
          <w:sz w:val="20"/>
          <w:szCs w:val="20"/>
          <w:color w:val="auto"/>
        </w:rPr>
        <w:tab/>
      </w:r>
      <w:r>
        <w:rPr>
          <w:rFonts w:ascii="Times New Roman" w:cs="Times New Roman" w:eastAsia="Times New Roman" w:hAnsi="Times New Roman"/>
          <w:sz w:val="18"/>
          <w:szCs w:val="18"/>
          <w:b w:val="1"/>
          <w:bCs w:val="1"/>
          <w:color w:val="auto"/>
        </w:rPr>
        <w:t>Senior Vice President and Chief Communications Officer</w:t>
      </w:r>
      <w:r>
        <w:rPr>
          <w:sz w:val="20"/>
          <w:szCs w:val="20"/>
          <w:color w:val="auto"/>
        </w:rPr>
        <w:tab/>
      </w:r>
      <w:r>
        <w:rPr>
          <w:rFonts w:ascii="Times New Roman" w:cs="Times New Roman" w:eastAsia="Times New Roman" w:hAnsi="Times New Roman"/>
          <w:sz w:val="18"/>
          <w:szCs w:val="18"/>
          <w:b w:val="1"/>
          <w:bCs w:val="1"/>
          <w:color w:val="auto"/>
        </w:rPr>
        <w:t>56</w:t>
      </w:r>
    </w:p>
    <w:p>
      <w:pPr>
        <w:spacing w:after="0" w:line="67"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Ms. Duda was named Senior Vice President and Chief Communications Officer in January 2019. She is the executive officer responsible for Goodyear’s communications activities worldwide. Ms. Duda joined Goodyear in 2016.</w:t>
      </w:r>
    </w:p>
    <w:p>
      <w:pPr>
        <w:spacing w:after="0" w:line="104" w:lineRule="exact"/>
        <w:rPr>
          <w:sz w:val="20"/>
          <w:szCs w:val="20"/>
          <w:color w:val="auto"/>
        </w:rPr>
      </w:pPr>
    </w:p>
    <w:p>
      <w:pPr>
        <w:ind w:left="360"/>
        <w:spacing w:after="0"/>
        <w:tabs>
          <w:tab w:leader="none" w:pos="4240" w:val="left"/>
          <w:tab w:leader="none" w:pos="10380" w:val="left"/>
        </w:tabs>
        <w:rPr>
          <w:sz w:val="20"/>
          <w:szCs w:val="20"/>
          <w:color w:val="auto"/>
        </w:rPr>
      </w:pPr>
      <w:r>
        <w:rPr>
          <w:rFonts w:ascii="Times New Roman" w:cs="Times New Roman" w:eastAsia="Times New Roman" w:hAnsi="Times New Roman"/>
          <w:sz w:val="18"/>
          <w:szCs w:val="18"/>
          <w:b w:val="1"/>
          <w:bCs w:val="1"/>
          <w:color w:val="auto"/>
        </w:rPr>
        <w:t>Nicole Gray</w:t>
      </w:r>
      <w:r>
        <w:rPr>
          <w:sz w:val="20"/>
          <w:szCs w:val="20"/>
          <w:color w:val="auto"/>
        </w:rPr>
        <w:tab/>
      </w:r>
      <w:r>
        <w:rPr>
          <w:rFonts w:ascii="Times New Roman" w:cs="Times New Roman" w:eastAsia="Times New Roman" w:hAnsi="Times New Roman"/>
          <w:sz w:val="18"/>
          <w:szCs w:val="18"/>
          <w:b w:val="1"/>
          <w:bCs w:val="1"/>
          <w:color w:val="auto"/>
        </w:rPr>
        <w:t>Senior Vice President and Chief Human Resources Officer</w:t>
      </w:r>
      <w:r>
        <w:rPr>
          <w:sz w:val="20"/>
          <w:szCs w:val="20"/>
          <w:color w:val="auto"/>
        </w:rPr>
        <w:tab/>
      </w:r>
      <w:r>
        <w:rPr>
          <w:rFonts w:ascii="Times New Roman" w:cs="Times New Roman" w:eastAsia="Times New Roman" w:hAnsi="Times New Roman"/>
          <w:sz w:val="18"/>
          <w:szCs w:val="18"/>
          <w:b w:val="1"/>
          <w:bCs w:val="1"/>
          <w:color w:val="auto"/>
        </w:rPr>
        <w:t>48</w:t>
      </w:r>
    </w:p>
    <w:p>
      <w:pPr>
        <w:spacing w:after="0" w:line="67"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Ms. Gray was named Senior Vice President and Chief Human Resources Officer in July 2024. She is the executive officer responsible for Goodyear’s global human resources activities. Ms. Gray joined Goodyear in 2016 and has served as Senior Director, Human Resources – Corporate Functions (April 2019 to February 2021), Vice President, Human Resources – Global Corporate Functions (March 2021 to January 2023), and Vice President, Human Resources – Global Corporate Functions &amp; Strategic Business Initiatives (February 2023 to June 2024).</w:t>
      </w:r>
    </w:p>
    <w:p>
      <w:pPr>
        <w:spacing w:after="0" w:line="122" w:lineRule="exact"/>
        <w:rPr>
          <w:sz w:val="20"/>
          <w:szCs w:val="20"/>
          <w:color w:val="auto"/>
        </w:rPr>
      </w:pPr>
    </w:p>
    <w:p>
      <w:pPr>
        <w:ind w:left="360"/>
        <w:spacing w:after="0"/>
        <w:tabs>
          <w:tab w:leader="none" w:pos="4580" w:val="left"/>
          <w:tab w:leader="none" w:pos="10380" w:val="left"/>
        </w:tabs>
        <w:rPr>
          <w:sz w:val="20"/>
          <w:szCs w:val="20"/>
          <w:color w:val="auto"/>
        </w:rPr>
      </w:pPr>
      <w:r>
        <w:rPr>
          <w:rFonts w:ascii="Times New Roman" w:cs="Times New Roman" w:eastAsia="Times New Roman" w:hAnsi="Times New Roman"/>
          <w:sz w:val="18"/>
          <w:szCs w:val="18"/>
          <w:b w:val="1"/>
          <w:bCs w:val="1"/>
          <w:color w:val="auto"/>
        </w:rPr>
        <w:t>Christopher P. Helsel</w:t>
      </w:r>
      <w:r>
        <w:rPr>
          <w:sz w:val="20"/>
          <w:szCs w:val="20"/>
          <w:color w:val="auto"/>
        </w:rPr>
        <w:tab/>
      </w:r>
      <w:r>
        <w:rPr>
          <w:rFonts w:ascii="Times New Roman" w:cs="Times New Roman" w:eastAsia="Times New Roman" w:hAnsi="Times New Roman"/>
          <w:sz w:val="18"/>
          <w:szCs w:val="18"/>
          <w:b w:val="1"/>
          <w:bCs w:val="1"/>
          <w:color w:val="auto"/>
        </w:rPr>
        <w:t>Senior Vice President and Chief Technical Officer</w:t>
      </w:r>
      <w:r>
        <w:rPr>
          <w:sz w:val="20"/>
          <w:szCs w:val="20"/>
          <w:color w:val="auto"/>
        </w:rPr>
        <w:tab/>
      </w:r>
      <w:r>
        <w:rPr>
          <w:rFonts w:ascii="Times New Roman" w:cs="Times New Roman" w:eastAsia="Times New Roman" w:hAnsi="Times New Roman"/>
          <w:sz w:val="18"/>
          <w:szCs w:val="18"/>
          <w:b w:val="1"/>
          <w:bCs w:val="1"/>
          <w:color w:val="auto"/>
        </w:rPr>
        <w:t>60</w:t>
      </w:r>
    </w:p>
    <w:p>
      <w:pPr>
        <w:spacing w:after="0" w:line="67"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Mr. Helsel was named Senior Vice President and Chief Technical Officer on January 13, 2025. He is the executive officer responsible for Goodyear’s product design and research and development activities. Mr. Helsel joined Goodyear in 1996 and has served as Senior Vice President and Chief Technology Officer (February 2019 to February 2021) and Senior Vice President, Global Operations and Chief Technology Officer (March 2021 to January 12,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
        </w:trPr>
        <w:tc>
          <w:tcPr>
            <w:tcW w:w="3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331"/>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Don Metzelaar</w:t>
            </w:r>
          </w:p>
        </w:tc>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Senior Vice President, Global Manufacturing and Supply Chain</w:t>
            </w: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55</w:t>
            </w:r>
          </w:p>
        </w:tc>
      </w:tr>
    </w:tbl>
    <w:p>
      <w:pPr>
        <w:spacing w:after="0" w:line="36"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Mr. Metzelaar joined Goodyear and was named Senior Vice President, Global Manufacturing and Supply Chain, on January 13, 2025. He is the executive officer responsible for Goodyear’s global manufacturing and supply chain activities. Prior to joining Goodyear, Mr. Metzelaar was employed by several global industrial manufacturers, including as Vice President, Global Supply Chain Strategy &amp; Transformation at Honeywell International Inc. (May 2019 to January 2021), Vice President, Integrated Supply Chain, Manufacturing &amp; Quality at Whirlpool Corporation (January 2021 to August 2023), and Global Vice President and Chief Manufacturing Officer at Johnson Controls International plc (August 2023 to January 2025).</w:t>
      </w:r>
    </w:p>
    <w:p>
      <w:pPr>
        <w:spacing w:after="0" w:line="125" w:lineRule="exact"/>
        <w:rPr>
          <w:sz w:val="20"/>
          <w:szCs w:val="20"/>
          <w:color w:val="auto"/>
        </w:rPr>
      </w:pPr>
    </w:p>
    <w:p>
      <w:pPr>
        <w:ind w:left="360"/>
        <w:spacing w:after="0"/>
        <w:tabs>
          <w:tab w:leader="none" w:pos="4720" w:val="left"/>
          <w:tab w:leader="none" w:pos="10380" w:val="left"/>
        </w:tabs>
        <w:rPr>
          <w:sz w:val="20"/>
          <w:szCs w:val="20"/>
          <w:color w:val="auto"/>
        </w:rPr>
      </w:pPr>
      <w:r>
        <w:rPr>
          <w:rFonts w:ascii="Times New Roman" w:cs="Times New Roman" w:eastAsia="Times New Roman" w:hAnsi="Times New Roman"/>
          <w:sz w:val="18"/>
          <w:szCs w:val="18"/>
          <w:b w:val="1"/>
          <w:bCs w:val="1"/>
          <w:color w:val="auto"/>
        </w:rPr>
        <w:t>David E. Phillips</w:t>
      </w:r>
      <w:r>
        <w:rPr>
          <w:sz w:val="20"/>
          <w:szCs w:val="20"/>
          <w:color w:val="auto"/>
        </w:rPr>
        <w:tab/>
      </w:r>
      <w:r>
        <w:rPr>
          <w:rFonts w:ascii="Times New Roman" w:cs="Times New Roman" w:eastAsia="Times New Roman" w:hAnsi="Times New Roman"/>
          <w:sz w:val="18"/>
          <w:szCs w:val="18"/>
          <w:b w:val="1"/>
          <w:bCs w:val="1"/>
          <w:color w:val="auto"/>
        </w:rPr>
        <w:t>Senior Vice President and Chief Legal Officer</w:t>
      </w:r>
      <w:r>
        <w:rPr>
          <w:sz w:val="20"/>
          <w:szCs w:val="20"/>
          <w:color w:val="auto"/>
        </w:rPr>
        <w:tab/>
      </w:r>
      <w:r>
        <w:rPr>
          <w:rFonts w:ascii="Times New Roman" w:cs="Times New Roman" w:eastAsia="Times New Roman" w:hAnsi="Times New Roman"/>
          <w:sz w:val="18"/>
          <w:szCs w:val="18"/>
          <w:b w:val="1"/>
          <w:bCs w:val="1"/>
          <w:color w:val="auto"/>
        </w:rPr>
        <w:t>50</w:t>
      </w:r>
    </w:p>
    <w:p>
      <w:pPr>
        <w:spacing w:after="0" w:line="67"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Mr. Phillips was named Senior Vice President and General Counsel in June 2019. He is Goodyear's chief legal officer. Mr. Phillips joined Goodyear in 2011.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family relationship exists between any of the above executive officers or between the executive officers and any director of the Company.</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Strategic Initiatives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implement our strategic initiatives, our operating results, financial condition and liquidity may be materially adversely affected.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strategic vision to be #1 in tires and service, we are pursuing important strategic initiatives. If we fail to execute these initiatives successfully or if the assumptions used in developing the initiatives vary significantly from actual conditions, we may fail to achieve our financial goals.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completed our Goodyear Forward transformation plan in 2025. Although we achieved a substantial amount of savings from Goodyear Forward through 2025, these savings may not be sustainable, which may adversely affect our future operating results or cash flows.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believe that our manufacturing footprint is less cost-competitive than that of our principal competitors. To address this competitive disadvantage, we are closing several high-cost manufacturing facilities and curtailing production of tires for declining, less profitable segments of the tire market. We are also modernizing certain manufacturing facilities around the world to strengthen the competitiveness of our manufacturing footprint and increase production of premium, large-rim diameter consumer tires. These activities may temporarily disrupt our manufacturing operations and lead to temporary increases in our costs. The failure to implement successfully this or our other important strategic initiatives may materially adversely affect our operating results, financial condition and liquidity.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 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 in spite of these initiatives, we may not be able to meet all of the demand for certain of our higher margin tires, which could harm our competitive position and limit our growth.</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of our OTR tire business, the Dunlop brand and our polymer chemical business may disrupt our current and future plans or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ancillary agreements for the sale of the OTR tire business include a product supply agreement and a transition services agreement. The ancillary agreements for the sale of the Dunlop brand include a transition license agreement, a transition offtake agreement and a commercial truck tire license from SRI to us. The ancillary agreements for the sale of the chemical business include a master supply agreement and a transition services agreement. As a result, we will have significant continuing obligations to the respective purchasers of these businesses.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separate these businesses or otherwise fully realize the expected benefits of these asset sales. Difficulties in separating the businesses may result in us performing differently than expected, in operational challenges or in unabsorbed overhead and other costs, especially during the implementation of the wind-down periods contemplated by the OTR product supply agreement and the Dunlop transition offtake agreement. Difficulties in transitioning to an external supplier for the purchase of certain polymer chemicals may also result in us performing differently than expected, in supply chain challenges or in increased costs, especially during the term of the 15-year chemical master supply agreement. The separation of these businesses may result in material challenges, including the diversion of management’s attention from ongoing business concerns; retaining key management and other employees; retaining or attracting business and operational relationships, including retaining Goodyear brand consumer tire customers and positioning the Cooper brand as our primary second-tier brand in EMEA; the possibility of faulty assumptions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underlying expectations regarding the benefits from the ancillary agreements, the separation process and associated expenses; separating corporate and administrative infrastructures, including information technology, manufacturing and other systems; coordinating these activities in geographically dispersed locations; as well as potential unknown liabilities or unforeseen expenses relating to the ancillary agreements, the business separations or any delays in separation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global competition and our market share could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 large shares of the markets of the countries in which they are based and are aggressively seeking to maintain or improve their worldwide market share. Other significant competitors include Continental, Hankook, Kumho, Pirelli, Sumitomo, Toyo, Yokohama and various regional tire manufacturers. Our competitors produce significant numbers of tires in low-cost countries, and have announced plans to further increase their production capacity in countries around the globe. Increasingly, our competitors are making decisions on where to produce tires based not only on production cost, but in combination with total delivery cost, supply chain reliability, tariffs and trade policy and sustainability considerations. These increases in production capacity may result in even greater competition in the United States and elsewhere.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including as a result of increasing fuel costs.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expenditures may not be adequate to maintain our competitive position and may not be implemented in a timely or cost-effective manner.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are limited by our liquidity and capital resources and by the need to pay our other expenses and to maintain adequate cash reserves and borrowing capacity to meet unexpected demands that may arise. We believe that our ratio of capital expenditures to sales is lower than the comparable ratio for our principal competitors.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Productivity improvements and manufacturing cost improvements may be required to offset potential increases in labor and raw material costs, including inflationary increases, and competitive price pressures. In addition, as part of our strategy to reduce high-cost and excess manufacturing capacity and to increase our capacity to produce higher margin tires, we may need to modernize or expand our facilities. We may also need to make additional capital expenditures in order to achieve our global climate ambition and related goals.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are unable to make sufficient capital expenditures, or to maximize the efficiency of the capital expenditures we do make, we may be unable to achieve productivity improvements, which may harm our competitive position, to manufacture the products necessary to compete successfully in our targeted market segments, or to achieve our global climate ambition and related goals. In addition, plant construction and modernization may temporarily disrupt our manufacturing operations and lead to temporary increases in our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or economic uncertainty could adversely affect our business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Deterioration of global or regional economic conditions, including recession, financial instability, inflation, trade wars, labor shortages or energy availability and costs (including fuel surcharges), could negatively impact our business and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results of operations. A prolonged economic downturn can adversely affect OE production levels and consumer spending habits on replacement tires, resulting in lower-than-expected net sales. Inflation, which has risen significantly in recent years, has and may continue to increase our operational costs, including labor, transportation and energy costs, and increases in interest rates in response to concerns about inflation may have the effect of further increasing economic uncertainty or creating recessionary economic conditions. As a result, instability and weakness of the U.S. and global economies, including due to recession, inflation, trade wars, high unemployment, disruptions to financial markets, geopolitical events and public health crises, and the corresponding negative effects on consumer spending, may materially negatively affect our business and results of operations, including impairment charges relating to goodwill, intangible assets, investments and other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energy and transportation costs may materially adversely affect our operating results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Raw material, energy and transportation costs can be volatile. Inflationary cost pressures, among other factors, may cause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increased demand for consumer products and supply chain disruptions as a result of global events, including disruptions to transportation routes, port congestion and container shortages, has led to inflationary cost pressures on transportation. Higher raw material, energy and transportation costs around the world may offset our efforts to reduce our cost structure. High demand for and/or limited availability of raw materials and other energy sources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 If the Company is unable to obtain adequate sources of raw materials, energy or transportation, its operations could be interrupted. In addition, fluctuations in the price of gasoline for consumers can affect driving and purchasing habits and impact demand for tires.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party to collective bargaining contracts with our labor unions, which represent a significant number of our employees, including our collective bargaining agreements with the USW. Our primary collective bargaining agreement with the USW, which covers approximately 4,300 of our associates in the United States at December 31, 2025, expires in July 2026. Approximately 2,000 of our associates at our Texarkana and Findlay plants in the United States at December 31, 2025 are covered by separate collective bargaining agreements with the USW, which expire in October 2028. In addition, approximately 19,000 of our associates outside of the United States are covered by union contracts that have expired or are expiring in 2026, primarily in Luxembourg, Poland, China, Mexico, Slovenia, France, Turkey, Indonesia, India and Peru.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 disruption of, or inefficiencies in, our operations or incur higher labor costs, which could have a material adverse effect on our business, results of operations, financial condition and liquidity.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could continue to be, negatively impacted by changes in tariffs, trade agreements or other trade restrictions on imported tires, raw materials and other goods or equipment.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maintenance of existing tariffs, the imposition of new tariffs, changes in existing tariff rates, changes in or the repeal of trade agreements or other trade restrictions, such as those the United States has considered with respect to Canada and Mexico,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 Broad-based tariffs and other trade restrictions have resulted in increased costs for our suppliers who have, and may in the future,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have certain risks that may materially adversely affect our operating results, financial condition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manufacturing and distribution facilities throughout the world. Our international operations are subject to certain inherent risks, including:</w:t>
      </w:r>
    </w:p>
    <w:p>
      <w:pPr>
        <w:spacing w:after="0" w:line="117"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controls;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and restrictions on the withdrawal of foreign investment and earnings;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 and regulations;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regulations;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and profit margin controls;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expropriations of property;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diplomatic relations of foreign countries with the United States;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instability of foreign governments;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hostility from local populations and insurrections or armed conflicts;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renegotiation or modification of existing agreements with governmental authorities;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laws or government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GDPR, labor laws, tax laws, and accounting, internal control and disclosure requirements. Violations of these laws and regulations could result in civil and criminal fines, penalties and sanctions against 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the resulting government sanctions could result in significant macroeconomic consequences, including increased inflationary pressures, market volatility, economic restrictions and business disruptions, which could negatively impact our business, financial condition and results of operations.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suspended all shipments of tires to Russia during the first quarter of 2022 and discontinued our Russian operations in January 2023. The war between Russia and Ukraine has not had and is not expected to have a direct material impact on our financial results.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Russia’s invasion in Ukraine, a number of countries, including the United States, the United Kingdom and members of the European Union, have implemented economic sanctions on Russia and certain Russian enterprises and individuals. The conflict could result in further sanctions and embargoes, regional instability and potential retaliatory action by the Russian government, including cyber-attacks. While we continue to take actions to ensure the safety of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associates and the continuity of our business operations, the extent of the conflict’s impact on the global economy cannot be predicted, particularly if the conflict were to intensify or expand.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Automotive vehicle production and global tire industry demand continues to be difficult to predict. Although sales to our OE customers accounted for approximately 19% of our net sales in 2025, demand for our products by OE customers and production levels at our facilities are impacted by automotive vehicle production. Automotive production and sales are highly cyclical and sensitive to general economic conditions and other factors, such as credit availability, interest rates, tariffs, fuel prices, and consumer preference and confidence. Economic declines that result in a significant reduction in automotive production would have an adverse effect on our sales to OE customers. We may experience future declines in sales volume due to declines in new vehicle production and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 At various times, some regions around the world may be more particularly impacted by these factors than other regions.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Automotive production can also be affected by labor relation issues or shortages, financial difficulties or supply disruptions. Our OE customers could experience production disruptions resulting from their own or supplier labor, financial or supply difficulties. Such events may cause an OE customer to reduce or suspend vehicle production. Other customers, such as dealers, retailers or distributors, may experience similar disruptions to their operations. As a result, a customer could halt or significantly reduce purchases of our products, which would harm our results of operations, financial condition and liquidity. We cannot predict when customers will decide to increase or decrease inventory levels or whether new inventory levels will approximate historical inventory levels. Uncertainty and other unexpected fluctuations could have a material adverse effect on our business and financial condition.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suppliers could also experience production disruptions due to labor, financial, supply or transportation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materially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also be hampered by downturns in the automotive and tire industries, which could result in reduced payments under our incentive compensation plans, as well as by greater competition due to the use of remote working environments. If we do not succeed in retaining our current employees and attracting new high-quality employees, our business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competition for highly skilled and talented workers, as well as labor shortages,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factors may adversely affect the labor force available to us or increase labor costs, including high employment levels and government regulations. Although we have not experienced any material labor shortages to date, we have observed an increasingly competitive labor market. The increasing competition for highly skilled and talented employees has resulted, and could in the future result, in higher compensation costs and could result in difficulties in maintaining a capable workforce.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 sustained labor shortage, lack of skilled labor, increased turnover or labor cost inflation as a result of general macroeconomic factors could lead to increased costs, such as increased overtime to meet demand and increased wage rates to attract and retain employees, which could negatively affect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efficiently operate our manufacturing and distribution facilities and overall business and have other adverse effects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fixed costs and, as a result, our operating income fluctuates disproportionately with changes in our 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climate change, or legal, regulatory or market measures to address environmental issues, may negatively affect our business and operations and cause us to incur significant costs.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and distribution facilities are subject to numerous federal, state, local and foreign laws and regulations designed to protect the environment, including increased government regulations to limit carbon dioxide and other greenhouse gas emissions as a result of concern over climate change, and we expect that additional requirements with respect to environmental matters, including reporting requirements, will be imposed on us in the future. In addition, we have contractual indemnification obligations for environmental remediation costs and liabilities that may arise relating to certain divested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also growing concern that carbon dioxide and other greenhouse gases in the atmosphere may have an adverse impact on global temperatures, weather patterns, and the frequency and severity of extreme weather and natural disasters. In the event that issues related to such climate change have a negative effect on our business, we may be subjected to decreased availability or less favorable pricing for certain raw materials, including natural rubber. Natural disasters and extreme weather conditions may also disrupt the productivity of our facilities, our supply chain or the operations of our customers. If the frequency or severity of extreme weather and natural disasters increases over time, we may experience a greater number of losses at certain of our facilities. Such losses could lead to further increases in the deductibles or cost of insurance for those facilities, a reduction of insurance available to us, or the unavailability of insurance on terms that are acceptable to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future expenditures may be necessary if compliance standards change, if material unknown conditions that require remediation are discovered, or if required remediation of known conditions becomes more extensive than expected. If we fail to comply with present and future environmental laws and regulations, we could be subject to future liabilities or the suspension of production, which could harm our business or results of operations. Environmental laws could also restrict our ability to expand our facilities or could require us to acquire costly equipment or to incur other significant expenses in connection with our manufacturing processes.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efficiency and reduce our costs. If these programs become unavailable or less attractive to us or our suppliers, our liquidity could be adversely affected.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substantial amount of debt. As of December 31, 2025, our debt (including finance leases) on a consolidated basis was approximately $6.2 billion. Our substantial amount of debt and other obligations could have important consequences. For example, it could:</w:t>
      </w:r>
    </w:p>
    <w:p>
      <w:pPr>
        <w:spacing w:after="0" w:line="54"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financing in the future for working capital, capital expenditures, research and development, acquisitions or general corporate requirements;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 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secured credit facilities and certain of our other outstanding indebtedness impose significant operating and financial restrictions on us. These restrictions may affect our ability to operate our business or implement strategic initiatives, and may limit our ability to take advantage of potential business opportunities as they arise. These restrictions limit our ability to, among other things:</w:t>
      </w:r>
    </w:p>
    <w:p>
      <w:pPr>
        <w:spacing w:after="0" w:line="68"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or make certain other restricted payments or investments;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or consolidations or transfers of substantially all of our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$275 million. To the extent that our eligible accounts receivable and inventory and other components of the borrowing base decline in value, our borrowing base will decrease and the availability under that facility 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 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2025, we had approximately $1.2 billion of variable rate debt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disruption in, or failure of, our information technology systems.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("IT") systems across all of our major business functions, including our research and development, manufacturing, retail, financial and administrative functions. We also face the challenge of supporting our older systems and simultaneously implementing upgrades. Our security measures are focused on the prevention, detection, response and recovery of damage from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 In addition, we are also dependent on third parties to provide important IT services relating to, among other things, human resources, electronic communications and certain finance functions.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collect and store sensitive data, including intellectual property, proprietary business information and the proprietary business information of our customers and suppliers, as well as personally identifiable information of our customers and associates, in data centers and on IT networks.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are subject to privacy, data protection, and information security laws and regulations (“Data Protection Laws”) in the United States and in jurisdictions around the globe that restrict the use, disclosure, transfer and processing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personal data. For example, we are subject to the GDPR, the California Privacy Rights Act, and the Brazilian Lei Geral de Proteção de Dados. Costs to comply with these Data Protection Laws are significant and the failure to comply with these laws could result in material legal exposure and business impact. The GDPR, for example, imposes meaningful accountability obligations on companies, with penalties for non-compliance of up to the greater of €20 million or four percent of annual global revenue. The GDPR, and other Data Protection Laws, also grant corrective powers to supervisory authorities, including the ability to impose a limit on processing personal data or to order companies to cease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Data Protection Laws are part of an evolving global data protection landscape in which the number, complexity, requirements and consequences of non-compliance with these laws are increasing. This landscape includes legislative proposals recently adopted or currently pending in the United States, at both the federal and state levels, as well as in other jurisdictions, implementing new or additional requirements for data protection that could further increase compliance costs and the cost and complexity of delivering our products and services, and could significantly affect our business.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system failure, accident or security breach involving our or our third party's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customers, employees or suppliers. While we have, from time to time, experienced system failures, accidents and security and privacy incidents involving our IT systems, these incidents have not had a material impact on our operations, and we are not aware of any resulting theft, loss or disclosure of, or damage to, material data or confidential information. To the extent that any system failure, accident or security or privacy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use and protect our proprietary technology and other intellectual property, which generally covers various aspects of the design and manufacture of our products and processes. We own and use tradenames and trademarks worldwide. We rely upon a combination of trade secrets, confidentiality policies, nondisclosure and other contractual arrangements and patent, copyright and trademark laws to protect our intellectual property rights. The steps we take in this regard may not be adequate to protect our intellectual property or to prevent or deter challenges or infringement or other violations of our intellectual property, and we may not be able to detect unauthorized use or take appropriate and timely steps to enforce our intellectual property rights.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laws of some countries may not protect and enforce our intellectual property rights to the same extent as the laws of the U.S. Further, while we believe we have rights to use all of the intellectual property we use, if we are found to infringe on the rights of others, we could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could have an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well-known and trusted brand names are a key competitive advantage. We believe that our future success depends, in part, on preserving, enhancing, and leveraging the value of our brands and executing our brand strategies, which are designed to drive end-user demand for our products. A decline in the reputation of one or more of our brands as a result of deficiencies or defects in the design or manufacture of our products, or from legal proceedings, product recalls or warranty claims resulting from such deficiencies or defects, may harm our reputation, reduce demand for our products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connection with our contingent liabilities and tax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deferred tax assets that have been reduced by valuation allowances due to our determination that it is more likely than not that the tax benefits associated with some or all of the deferred tax assets will not be realized. We must generate sufficient earnings of the appropriate character in order to utilize our deferred tax assets. If our earnings remain flat or decline over an extended period of time, we may not be able to utilize our deferred tax assets and we may need to record additional valuation allowances against them that could adversely affect our results of operations in the period in which the valuation allowance is recorded.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further information regarding our contingent liabilities and tax matters, refer to Notes to the Consolidated Financial Statements No. 20, Commitments and Contingent Liabilities, and No. 7, Income Taxes.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regulations that may materially adversely affect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Department of Transportation through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 and, in some cases, to assess penalties.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TREAD Act imposes numerous requirements with respect to the early warning reporting of warranty claims, property damage claims, and bodily injury and fatality claims and also requires tire manufacturers, among other things, to comply with rigorous tire testing standards. We have been subject to recalls in the past and it is possible that a recall of our tires could occur in the future. A substantial recall or related penalties could have a material adverse effect on our reputation, operating results and financial condition.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Two regulations, the Tire Safety Regulation and the Tire Labeling Regulation, applicable to tires sold in the European Union, have been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in Europe or tires produced or sold in Europe also have to comply, or may have to comply in the future, with various other standards, including REACH (Registration, Evaluation, Authorisation and Restriction of Chemical Substances), which regulates the use of chemicals in the European Union; CSRD (Corporate Sustainability Reporting Directive) and CSDDD (Corporate Sustainability Due Diligence Directive), as amended by the EU Omnibus Directive, which establish certain disclosure and due diligence requirements; ESPR (Ecodesign for Sustainable Products Regulation), which establishes product design requirements to meet certain sustainability criteria; and EUDR (European Union Deforestation Regulation), which requires due diligence for certain products, including natural rubber, to address deforestation.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Our costs or liabilities relating to them may be more than the amount we have reserved, and that difference may be material.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foreign currency translation and transaction risks that may materially adversely affect our operating results, financial condition and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2025, foreign currency translation unfavorably affected sales by $18 million and favorably affected segment operating income by $3 million compared to the year ended December 31, 2024. The volatility of currency exchange rates may materially adversely affect our operating results. For the year ended December 31, 2025, net foreign currency exchange losses were $14 million.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severe weather conditions or natural disasters. In addition, our operations could be adversely affected as a result of other disruptions at our facilities due to fire, electrical blackouts, power losses, telecommunications failures or other similar effects.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 Such losses could lead to further increases in the deductibles or cost of insurance for those facilities, a reduction of insurance available to us, or the unavailability of insurance on terms that are acceptable to us.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the importance of cybersecurity risk management, strategy and governance, and we have implemented policies and procedures reasonably designed to manage and reduce cybersecurity risk as part of our overall risk management program. Our global information technology organization, led by our Senior Vice President and Chief Information Officer (“CIO”), is responsible for enterprise-wide information technology, including our overall information security strategy, policies, operations, and threat detection and response. The global information technology organization manages and maintains the cybersecurity program with the goal of preventing, detecting and remediating incidents, and works to increase our system resilience to minimize the business impact should an incident occur. Our cybersecurity program is informed by multiple, overlapping cybersecurity frameworks. These include the National Institute of Standards and Technology Cyber Security Framework (NIST-CSF) and Trusted Information Security Assessment Exchange (TISAX). Our cybersecurity program has achieved TISAX certification, or “labeling”, for its demonstrated ability to identify, protect, detect, respond and recover from cyber risks. The “labeling” process requires independent, third-party auditors to test and confirm the controls we have implemented. Key elements of the program include formal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policies; employee training and awareness; phishing resiliency campaigns; periodic risk assessments; penetration tests; tabletop exercises; and incident response testing and reviews.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engage third-party services to conduct evaluations of our security controls, whether through penetration testing, independent audits, cybersecurity maturity assessments or consulting on best practices to address current and new challenges. These evaluations include testing both the design and operational effectiveness of our security controls.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a cybersecurity incident experienced by a supplier or joint venture partner could materially impact us. We assess third-party cybersecurity controls as part of our third-party IT risk due diligence and engage in cybersecurity consultant-led solution design reviews when integrating new tools or third parties. We contractually require third parties to meet specified baseline customary standards of information security and report cybersecurity incidents to us so we can assess the impact of the incident and any necessary regulatory reporting obligations that may be required.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what events may occur, our cybersecurity incident response team is always ready and supported by a 24/7/365 industry leading security operations center. These teams balance following existing protocols with agile response to novel threats. We escalate potentially significant incidents to the Cybersecurity Disclosure Committee and the Audit Committee of the Board of Directors, as outlined in Goodyear’s policies and support documents. Our Cybersecurity Disclosure Committee is comprised of senior leadership across multiple functional areas and is responsible for reviewing and evaluating potentially significant cybersecurity incidents and for determining whether any notification or disclosure is required under applicable laws, including federal securities laws.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did not identify any cybersecurity threats that have materially impacted Goodyear’s operations or financial position. Notwithstanding our risk management efforts related to cybersecurity, we may not be successful in preventing or mitigating a cybersecurity incident that could have a material or other adverse effect on us in the future. See Item 1A. “Risk Factors” for a discussion of our information technology and cybersecurity risks.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is responsible for overseeing the risks associated with information technology and cybersecurity threats, and reports on its activities to the full Board following each committee meeting. Management is responsible for identifying, monitoring and mitigating the material risks facing the Company, including cybersecurity risks.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exercises its risk oversight function by carefully evaluating information and cybersecurity reports they receive from management; assessing the priorities and roadmap of the cybersecurity program; and making inquiries of management with respect to areas of particular interest to the Board. Senior leadership, including our CIO and our Senior Director, Global IT Risk &amp; Security, periodically briefs the Audit Committee on our cybersecurity and information security programs and reviews relevant cybersecurity incidents.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CIO has more than two decades of experience in the manufacturing industry and has held multiple executive technology leadership roles at several companies in North America and Asia.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manufacture our products in 49 manufacturing facilities located around the world, including 16 plants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AMERICAS MANUFACTURING FACILITIES. </w:t>
      </w:r>
      <w:r>
        <w:rPr>
          <w:rFonts w:ascii="Times New Roman" w:cs="Times New Roman" w:eastAsia="Times New Roman" w:hAnsi="Times New Roman"/>
          <w:sz w:val="18"/>
          <w:szCs w:val="18"/>
          <w:color w:val="auto"/>
        </w:rPr>
        <w:t>Americas owns or leases and operates 26 manufacturing facilities in 7 countries, including:</w:t>
      </w:r>
    </w:p>
    <w:p>
      <w:pPr>
        <w:spacing w:after="0" w:line="121"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tire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chemical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tire manufacturing equipment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tire retread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aviation retread plants,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mix plant.</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MIDDLE EAST AND AFRICA MANUFACTURING FACILITIES. </w:t>
      </w:r>
      <w:r>
        <w:rPr>
          <w:rFonts w:ascii="Times New Roman" w:cs="Times New Roman" w:eastAsia="Times New Roman" w:hAnsi="Times New Roman"/>
          <w:sz w:val="18"/>
          <w:szCs w:val="18"/>
          <w:color w:val="auto"/>
        </w:rPr>
        <w:t>EMEA owns or leases and operates 15 manufacturing facilities in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including:</w:t>
      </w:r>
    </w:p>
    <w:p>
      <w:pPr>
        <w:spacing w:after="0" w:line="51"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tire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retread plant,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aviation retread plant.</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ASIA PACIFIC MANUFACTURING FACILITIES. </w:t>
      </w:r>
      <w:r>
        <w:rPr>
          <w:rFonts w:ascii="Times New Roman" w:cs="Times New Roman" w:eastAsia="Times New Roman" w:hAnsi="Times New Roman"/>
          <w:sz w:val="18"/>
          <w:szCs w:val="18"/>
          <w:color w:val="auto"/>
        </w:rPr>
        <w:t>Asia Pacific owns and operates 8 manufacturing facilities in 4 countries, including 7 tire plants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aviation retread plant.</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PLANT UTILIZATION. </w:t>
      </w:r>
      <w:r>
        <w:rPr>
          <w:rFonts w:ascii="Times New Roman" w:cs="Times New Roman" w:eastAsia="Times New Roman" w:hAnsi="Times New Roman"/>
          <w:sz w:val="18"/>
          <w:szCs w:val="18"/>
          <w:color w:val="auto"/>
        </w:rPr>
        <w:t>Our worldwide tire capacity utilization rate was approximately 83% during 2025 compared to approximately 83% in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81% in 2023. Our utilization rate can vary significantly between product lines, depending on the complexity of the tires, and between consumer and commercial tires, and can also vary between business segments. The reported capacity utilization is an overall average for the Company.</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FACILITIES. </w:t>
      </w:r>
      <w:r>
        <w:rPr>
          <w:rFonts w:ascii="Times New Roman" w:cs="Times New Roman" w:eastAsia="Times New Roman" w:hAnsi="Times New Roman"/>
          <w:sz w:val="18"/>
          <w:szCs w:val="18"/>
          <w:color w:val="auto"/>
        </w:rPr>
        <w:t>We also own and operate four research and development facilities and technical centers, two development centers, and seven 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proving grounds. We lease our Corporate and Americas headquarters and our research and development facility and technical center in Akron, Ohio. We operate approximately 750 retail outlets for the sale of our tires to consumer and commercial customers, approximately 30 tire retreading facilities and approximately 350 warehouse distribution facilities. Substantially all of these facilities are leased. We do not consider any one of these leased properties to be material to our operations. For additional information regarding leased properties, refer to Notes to the Consolidated Financial Statements No. 14, Property, Plant and Equipment, and No. 15, Leases. Certain of our manufacturing facilities are mortgaged as collateral for our secured credit facilities. Refer to Note to the Consolidated Financial Statements No. 16, Financing Arrangements and Derivative Financial Instruments.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one of numerous defendants in legal proceedings in certain state and federal courts involving approximately 30,400 claimants at December 31, 2025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$16 million during 2025.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Note to the Consolidated Financial Statements No. 20, Commitments and Contingent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15, 2025, we received a Notice of Violation from the U.S. Environmental Protection Agency alleging violations of the Clean Air Act at our former chemical manufacturing facility in Beaumont, Texas. Potential monetary penalties associated with the alleged violations could exceed our $1 million reporting threshold described below. Goodyear intends to defend this matter, the ultimate outcome of which cannot be predicted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We were one of the companies that was inspected. We are cooperating with the European Commission’s investigation.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number of civil lawsuits have been subsequently filed in the United States and elsewhere against companies active in the tire industry, including us, alleging violations of antitrust laws with respect to new replacement tires for passenger cars, vans, trucks and busses sold in the relevant jurisdictions, and similar additional lawsuits could be brought against us in the future. The U.S. lawsuits have been transferred to a multidistrict litigation in the U.S. District Court for the Northern District of Ohio. On February 25, 2025, the District Court granted our motion to dismiss the U.S. lawsuits and, on April 11, 2025, the plaintiffs filed motions for leave to file amended complaints. We intend to defend these lawsuits, the ultimate outcome of which cannot be predicted at this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 For additional information regarding our legal proceedings, refer to Note to the Consolidated Financial Statements No. 20, Commitments and Contingent Liabilities.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market for our common stock is the Nasdaq Global Select Market (Stock Exchange Symbol: GT). At December 31, 2025, there were 7,883 holders of record of the 286,247,045 shares of our common stock then outstanding.</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Set forth in the table below is certain information regarding the number of shares of our common stock that were subject to outstanding stock options or other compensation plan awards at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r>
      <w:tr>
        <w:trPr>
          <w:trHeight w:val="148"/>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Remaining Available for</w:t>
            </w: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 of Shares to be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Future Issuance under</w:t>
            </w:r>
          </w:p>
        </w:tc>
      </w:tr>
      <w:tr>
        <w:trPr>
          <w:trHeight w:val="148"/>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Issued upon Exercise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Equity Compensation</w:t>
            </w:r>
          </w:p>
        </w:tc>
      </w:tr>
      <w:tr>
        <w:trPr>
          <w:trHeight w:val="162"/>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Plans (Excluding Shares</w:t>
            </w:r>
          </w:p>
        </w:tc>
      </w:tr>
      <w:tr>
        <w:trPr>
          <w:trHeight w:val="166"/>
        </w:trPr>
        <w:tc>
          <w:tcPr>
            <w:tcW w:w="6260" w:type="dxa"/>
            <w:vAlign w:val="bottom"/>
            <w:gridSpan w:val="2"/>
          </w:tcPr>
          <w:p>
            <w:pPr>
              <w:ind w:left="270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Reflected in Column (a))</w:t>
            </w:r>
          </w:p>
        </w:tc>
      </w:tr>
      <w:tr>
        <w:trPr>
          <w:trHeight w:val="29"/>
        </w:trPr>
        <w:tc>
          <w:tcPr>
            <w:tcW w:w="6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186"/>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
        </w:trPr>
        <w:tc>
          <w:tcPr>
            <w:tcW w:w="6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70"/>
        </w:trPr>
        <w:tc>
          <w:tcPr>
            <w:tcW w:w="6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2,635,593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FF0FC"/>
          </w:tcPr>
          <w:p>
            <w:pPr>
              <w:spacing w:after="0"/>
              <w:rPr>
                <w:sz w:val="23"/>
                <w:szCs w:val="23"/>
                <w:color w:val="auto"/>
              </w:rPr>
            </w:pP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23,537,236 </w:t>
            </w:r>
            <w:r>
              <w:rPr>
                <w:rFonts w:ascii="Times New Roman" w:cs="Times New Roman" w:eastAsia="Times New Roman" w:hAnsi="Times New Roman"/>
                <w:sz w:val="23"/>
                <w:szCs w:val="23"/>
                <w:color w:val="auto"/>
                <w:vertAlign w:val="superscript"/>
              </w:rPr>
              <w:t>(1)</w:t>
            </w: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3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r>
      <w:tr>
        <w:trPr>
          <w:trHeight w:val="288"/>
        </w:trPr>
        <w:tc>
          <w:tcPr>
            <w:tcW w:w="6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2,635,593</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23,537,236</w:t>
            </w:r>
          </w:p>
        </w:tc>
        <w:tc>
          <w:tcPr>
            <w:tcW w:w="360" w:type="dxa"/>
            <w:vAlign w:val="bottom"/>
            <w:tcBorders>
              <w:bottom w:val="single" w:sz="8" w:color="CFF0FC"/>
            </w:tcBorders>
            <w:shd w:val="clear" w:color="auto" w:fill="CFF0FC"/>
          </w:tcPr>
          <w:p>
            <w:pPr>
              <w:spacing w:after="0"/>
              <w:rPr>
                <w:sz w:val="24"/>
                <w:szCs w:val="24"/>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Under our equity compensation plans, up to a maximum of 1,613,880 performance shares in respect of performance periods ending on or subsequent to December 31, 2025, 103,492 shares of restricted stock and 3,082,420 restricted stock units have been awarded. The number of performance shares indicated assumes the maximum possible payout that may be earned during the relevant performance periods.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4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49 manufacturing facilities in 19 countries, including the United States. We operate our business through three operating segments representing our regional tire businesses: Americas; Europe, Middle East and Africa ("EMEA"); and Asia Pacific.</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provides comparisons of material changes in the consolidated financial statements for the years ended December 31, 2025 and 2024. For a comparison of the years ended December 31, 2024 and 2023, refer to Management's Discussion and Analysis of Financial Condition and Results of Operations included in our Annual Report on Form 10-K for the year ended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Goodyear Forward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multi-year transformation plan, called “Goodyear Forward,” that was intended to optimize our portfolio, deliver margin expansion and reduce leverage was completed in 2025. In furtherance of the goals set out in our Goodyear Forward plan, key activities included delivering gross proceeds of approximately $2.2 billion from portfolio optimization by completing the sales of our off-the-road (“OTR”) tire business, the Dunlop brand and our polymer chemicals business during 2025. In addition, we executed margin enhancement actions driving an annual, run-rate benefit of approximately $1.5 billion, including actions related to our manufacturing footprint, plant optimization, further improvement of our purchasing leverage, reduction of Selling, Administrative and General expenses (“SAG”), improvements in our supply chain planning and logistics, and brand optimization and tiering. We also improved our leverage, utilizing proceeds from divestitures to reduce our debt.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Yokohama acquired our OTR tire business for a purchase price of $905 million in cash, subject to certain adjustments set forth in the OTR Purchase Agreement. In conjunction with the sale of the OTR tire business, we entered into several ancillary agreements, including a trademark license agreement, whereby we license certain trademarks to Yokohama for an initial period of ten years from the date of the sale, and a product supply agreement, pursuant to which we will supply to Yokohama certain OTR tires for an initial period of up to five years, subject to the terms and conditions set forth therein, including an exit and asset relocation plan to be mutually agreed upon by the parties pursuant to which, beginning no earlier than the second anniversary of closing of the transaction, the production of those OTR tires will transition to Yokohama’s facilities. The cash received of $905 million included $185 million for deferred amounts related to the trademark license and product supply agreements that are presented in operating activities and $720 million for proceeds that are presented in investing activities on our Consolidated Statements of Cash Flows.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continued to manufacture, sell and distribute Dunlop-branded consumer tires in Europe from the closing of the transaction until December 31, 2025, and during which we paid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which will be recognized upon transfer of title. The deferred amounts related to the transition agreements and inventory are presented in operating activities and the $526 million purchase price is presented in investing activities on our Consolidated Statements of Cash Flows.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2025, we completed the $650 million sale of our polymer chemicals business (the “Chemical Business”) pursuant to the Asset Purchase Agreement (the “Chemical Purchase Agreement”) with G-3 Chickadee Purchaser, LLC, a Delaware limited liability company (the “Purchaser”). At the closing, we received gross cash proceeds of approximately $580 million, which reflects working capital adjustments, including an adjustment for intercompany receivables. The purchase price remains subject to customary post-closing adjustments as set forth in the Chemical Purchase Agreement. The assets acquired and the liabilities assumed by the Purchaser are generally those primarily related to the Chemical Business, including our chemical plants in Houston, Texas and Beaumont, Texas and a research and development facility in Akron, Ohio.</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sale of the Chemical Business, we also entered into a number of ancillary agreements including (a) a master supply agreement, pursuant to which the Purchaser will, or will cause its affiliates to, supply to us certain polymer chemical products for a period of fifteen (15) years, (b) a transition services agreement, pursuant to which we will provide certain transition services to the Purchaser for the Chemical Business for a period of up to eighteen (18) months, and (c) a patent and know-how license agreement, pursuant to which the Purchaser will license back to us certain intellectual property related to the Chemical Business for use in connection with certain retained businesses. Under the terms of the master supply agreement we are required to purchase minimum quantities on a quarterly basis or we are subject to a shortfall fee. The cash received of $580 million included $110 million for deferred amounts primarily related to the master supply agreement that are presented in operating activities and $470 million for proceeds that are presented in investing activities on our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2025 include a 4.7% decrease in tire unit shipments compared to 2024 due to lower global replacement and OE tire volume. In 2025, we experienced approximately $211 million of inflationary cost pressures.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were $18,280 million in 2025, compared to $18,878 million in 2024. Net sales decreased in 2025 due to the impacts of our divestitures, primarily the sale of the OTR tire business, lower global tire volume and the negative impact of changes in foreign exchange rates. These decreases were partially offset by favorable price and product mix and benefits from the Goodyear Forward plan.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 net loss in 2025 was $1,721 million, or $5.99 per share, compared to Goodyear net income of $46 million, or $0.16 per share, in 2024. The change in Goodyear net income (loss) was primarily due to the change in U.S. and Foreign Tax Expense, driven by the establishment of a full valuation allowance on our net deferred tax assets in the U.S., a non-cash goodwill impairment charge in Americas and lower segment operating income, partially offset by gains on the sales of the OTR tire business, the Dunlop brand and the Chemical Business.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segment operating income for 2025 was $1,057 million, compared to $1,302 million in 2024. The $245 million decrease was primarily due to higher raw material costs of $443 million, increased conversion costs of $402 million, driven by inflation, higher SAG of $199 million when excluding Goodyear Forward savings, lower tire volume of $148 million, increases in other costs of $135 million, primarily related to tariff and transportation costs, the impact of the sale of the OTR tire business of $80 million, and a net decrease of $62 million from insurance proceeds for property damages and business interruptions received in 2024 and 2025. These decreases were partially offset by benefits from the Goodyear Forward plan of $772 million and global improvements in price and product mix of $465 million. Refer to "Results of Operations — Segment Information"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we had $801 million of Cash and Cash Equivalents as well as $4,421 million of unused availability under our various credit agreements, compared to $810 million and $3,555 million, respectively, at December 31, 2024. Net cash used by financing activities was $1,770 million, primarily due to net debt repayments of $1,759 million. Cash provided by investing activities was $997 million, primarily representing proceeds from the sales of the OTR tire business, the Dunlop brand and the Chemical Business, as well as other asset dispositions, of $1,802 million, partially offset by capital expenditures of $826 million. Net cash provided by operating activities was $796 million, driven by current year segment operating income and deferred revenue and income from asset sales. Refer to "Liquidity and Capital Resources"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backdrop of current macroeconomic and regulatory uncertainties, we have limited visibility to global tire unit volumes for 2026.</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Goodyear Forward plan to deliver approximately $300 million of incremental savings in 2026. In addition, the 2025 sales of the Dunlop brand and Chemical Business are expected to impact segment operating income by approximately $185 million in 2026.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spot prices, we expect raw material costs to provide a benefit of approximately $300 million in 2026 compared to 2025. Natural and synthetic rubber prices and other commodity prices historically have been volatile, and our raw material costs could change based on future price fluctuations and changes in foreign exchange rates. We continue to focus on price and product mix, to substitute lower cost materials where possible, to work to identify additional substitution opportunities, and to reduce the amount of material required in each tire to minimize the impact of higher raw material costs.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forecast an estimated annualized cost of tariffs on finished goods and raw materials of approximately $300 million in 2026, based on current tariff rates.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also to “Liquidity and Capital Resources” for commentary regarding our outlook on 2026 cash flows;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 net loss in 2025 was $1,721 million, or $5.99 per share, compared to Goodyear net income of $46 million, or $0.16 per share, in 2024. The change in Goodyear net income (loss) was primarily due to the change in U.S. and Foreign Tax Expense, driven by the establishment of a full valuation allowance on our net deferred tax assets in the U.S., a non-cash goodwill impairment charge in Americas and lower segment operating income, partially offset by gains on the sales of the OTR tire business, the Dunlop brand and the Chemical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 2025 of $18,280 million decreased $598 million, or 3.2%, compared to $18,878 million in 2024, due to the impacts of divestitures, primarily the sale of the OTR tire business, of $671 million, excluding product supply agreement revenue of $268 million, lower global tire volume of $669 million and the negative impact of changes in foreign exchange rates of $18 million. These decreases were partially offset by favorable global price and product mix of $370 million and benefits from the Goodyear Forward plan of $64 million. Goodyear worldwide tire unit net sales were $15,390 million and $15,993 million in 2025 and 2024, respectively. Consumer and commercial net sales were $12,234 million and $3,124 million in 2025, respectively. Consumer and commercial net sales were $12,303 million and $3,247 million in 2024,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tire unit sales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64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Replacement Units</w:t>
            </w:r>
          </w:p>
        </w:tc>
        <w:tc>
          <w:tcPr>
            <w:tcW w:w="1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OE Units</w:t>
            </w:r>
          </w:p>
        </w:tc>
        <w:tc>
          <w:tcPr>
            <w:tcW w:w="14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1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166.6</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worldwide tire unit sales of 7.9 million units, or 4.7%, compared to 2024, included a decrease of 7.6 million replacement tire units, or 6.3%, reflecting decreases in each region. OE tire units decreased by 0.3 million units, or 0.5%. Consumer and commercial unit sales in 2025 were 147.1 million and 10.0 million, respectively. Consumer and commercial unit sales in 2024 were 154.0 million and 10.9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Goods Sold ("CGS") was $14,909 million in 2025, decreasing $283 million, or 1.9%, from $15,192 million in 2024. CGS was 81.6% of sales in 2025 compared to 80.5% of sales in 2024. CGS in 2025 decreased primarily due to savings related to the Goodyear Forward plan of $578 million, lower tire volume of $521 million, benefits from divestitures, primarily related to the sale of the OTR tire business, of $262 million, and foreign currency translation of $19 million. These decreases were partially offset by higher raw material costs of $443 million, higher conversion costs of $402 million, an increase in other costs of $138 million, primarily related to tariff and transportation costs, a net decrease of $62 million ($30 million after-tax and minority) from insurance proceeds for property damages and business interruptions received in 2024 and 2025, an increase in asset write-offs, accelerated depreciation and accelerated lease charges of $32 million, primarily related to the closures of our Fulda, Germany ("Fulda"), Fürstenwalde, Germany ("Fürstenwalde"), and Kariega, South Africa ("Kariega") tire manufacturing facilities and the elimination of commercial tire production at our Danville, Virginia tire manufacturing facility ("Danville"), and a benefit received in 2024 related to a reduction in U.S. duty rates on various commercial tires from China of $14 million. CGS in 2024 included a favorable $8 million ($6 million after-tax and minority) tax item in Brazil and a $3 million ($3 million after-tax and minority) charge related to a flood in South Africa.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CGS in 2025 and 2024 included pension expense of $12 million and $15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Administrative and General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 was $2,719 million in 2025, decreasing $63 million, or 2.3%, from $2,782 million in 2024. SAG was 14.9% of sales in 2025 compared to 14.7% of sales in 2024. SAG decreased primarily due to savings related to the Goodyear Forward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plan of $132 million, benefits related to divestitures, primarily the sale of the OTR tire business, of $56 million, and a decrease in asset write-offs, accelerated depreciation and accelerated lease charges of $18 million. These decreases were partially offset by an increase in other costs of $151 million, including an investment in systems and technology for customer facing support and higher costs associated with product liability claims, an increase of $53 million related to inflation and wages and benefits and increased advertising costs of $30 million. SAG in 2025 also included costs related to the Goodyear Forward plan of $15 million ($15 million after-tax and minority) compared to $105 million ($80 million after-tax and minority) in 2024, primarily consisting of advisory, legal and consulting fees incurred to support development and execution of the plan, including costs associated with planned asset sales.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 in 2025 and 2024 included pension expense of $9 million and $11 million, respectively. SAG in 2025 included incremental savings from rationalization plans of $44 million compared to $46 million in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and SAG in 2025 included $160 million ($149 million after-tax and minority) of asset write-offs, accelerated depreciation and accelerated lease charges, primarily relate to the announced closures of Fulda, Fürstenwalde and Kariega and the plan to reduce our production capacity at Danville. Asset write-offs, accelerated depreciation and accelerated lease charges for 2025 were primarily recorded in CGS.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and SAG in 2024 included $146 million ($126 million after-tax and minority) of asset write-offs, accelerated depreciation and accelerated lease charges, primarily related to plant closures in Asia Pacific and EMEA, closure of a development center in the U.S. and the exit of our retail operations in Australia and New Zealand.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net rationalization charges of $194 million ($172 million after-tax and minority) in 2025. Net rationalization charges include $73 million related to the elimination of commercial tire production at Danville, $61 million related to the closures of Fulda and Fürstenwalde, $34 million related to the closure of Kariega, $13 million related to the plan to reduce headcount at our Fayetteville, North Carolina tire manufacturing facility ("Fayetteville"), $9 million related to the rationalization and workforce reorganization plan in EMEA, $5 million related to the closure of our tire manufacturing facility in Melksham, United Kingdom ("Melksham"), and various other plans to reduce headcount and improve operating efficiency. These charges were partially offset by reversals of $21 million, primarily related to voluntary attrition in our rationalization and workforce reorganization plan in EMEA.</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$86 million ($72 million after-tax and minority) in 2024. Net rationalization charges include $52 million related to Fulda and Fürstenwalde, $15 million related to the rationalization and workforce reorganization plan in EMEA, $15 million related to opening a shared service center in Costa Rica, the exit of certain Commercial Tire and Service Center locations and global SAG reductions, $12 million related to the closure of our tire manufacturing facility in Malaysia, $11 million related to the closure of Melksham, $4 million related to the closure of certain retail and warehouse locations in Americas, $3 million related to the permanent closure of our Gadsden, Alabama tire manufacturing facility, $3 million related to a plan to reduce SAG headcount globally and $3 million related to the plan to streamline our EMEA distribution network. These charges were partially offset by reversals of $45 million, primarily related to voluntary attrition in our rationalization and workforce reorganization plan in EMEA.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completion of new plans initiated in 2025, we estimate that annual segment operating income will improve by approximately $120 million (approximately $50 million SAG and approximately $70 million CGS). The savings realized in 2025 from rationalization plans totaled approximately $43 million (primarily SAG).</w:t>
      </w:r>
    </w:p>
    <w:p>
      <w:pPr>
        <w:spacing w:after="0" w:line="68" w:lineRule="exact"/>
        <w:rPr>
          <w:sz w:val="20"/>
          <w:szCs w:val="20"/>
          <w:color w:val="auto"/>
        </w:rPr>
      </w:pPr>
    </w:p>
    <w:p>
      <w:pPr>
        <w:ind w:right="150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refer to Note to the Consolidated Financial Statements No. 4, Costs Associated with Rationalization Programs. </w:t>
      </w:r>
      <w:r>
        <w:rPr>
          <w:rFonts w:ascii="Times New Roman" w:cs="Times New Roman" w:eastAsia="Times New Roman" w:hAnsi="Times New Roman"/>
          <w:sz w:val="18"/>
          <w:szCs w:val="18"/>
          <w:b w:val="1"/>
          <w:bCs w:val="1"/>
          <w:color w:val="auto"/>
        </w:rPr>
        <w:t>Goodwill and Intangible Asset Impairment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we recorded a non-cash impairment charge of $674 million ($674 million after-tax and minority) to fully impair our North America reporting unit's goodwill in our Americas segment. During 2024, we recorded a non-cash impairment charge of $125 million ($94 million after-tax and minority) primarily related to our lower tier indefinite-lived intangible assets related to the acquisition of Cooper Tire as a result of increased competition from lower tier imports in the market. For further information, refer to "Critical Accounting Policies - Goodwill and Intangible Assets" and Notes to the Consolidated Financial Statements No. 12, Goodwill and Intangible Assets, in this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$445 million in 2025, decreasing $77 million from $522 million in 2024. The decrease is due to lower interest rates on lower average debt levels in 2025, due to the repayment of debt with proceeds from asset sales. The average interest rate was 5.76% in 2025 compared to 6.24% in 2024. The average debt balance was $7,729 million in 2025 compared to $8,368 million in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on Asset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net gains on asset sales of $816 million ($747 million after-tax and minority) primarily relate to an estimated gain of $385 million ($368 million after-tax and minority) on the sale of the Dunlop brand, an estimated gain of $255 million ($232 million after-tax and minority) on the sale of the OTR tire business, an estimated gain of $104 million ($104 million after-tax and minority) on the sale of the Chemical Business, and other asset sales of $72 million ($43 million after-tax and minority), compared to net gains on asset sales of $93 million ($66 million after-tax and minority) during 2024, primarily due to the sale of a distribution center in EMEA.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Note to the Consolidated Financial Statements No. 2, Divestitures.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in 2025 was $288 million of expense, compared to $134 million of expense 2024. The change in Other (Income) Expense was primarily due to pension settlement charges of $201 million ($200 million after-tax and minority) in 2025 compared to pension settlement credits of $3 million ($2 million after-tax and minority) in 2024 and a decrease in interest income of $17 million, partially offset by an increase in royalty and other income of $43 million. 2024 included transaction costs of $19 million ($14 million after-tax and minority) related to the sale of the OTR tire business, an $8 million ($6 million after-tax and minority) loss related to the sale of receivables in Argentina and a favorable $2 million ($1 million after-tax and minority) tax item in Brazil.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Note to the Consolidated Financial Statements No. 6, Other (Income)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 2025 was $1,567 million on a loss before income taxes of $133 million. In 2025, income tax expense includes net discrete tax expense totaling $1,453 million ($1,450 million after minority interest). Discrete tax expense was primarily related to the establishment of a full valuation allowance on our net deferred tax assets in the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 2024 was $95 million on income before income taxes of $130 million. In 2024, income tax expense includes net discrete tax benefits totaling $2 million ($2 million after minority interest).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our effective tax rate and the U.S. statutory rate of 21% for 2025 is mainly impacted by the establishment of a full valuation allowance on our net deferred tax assets of $1.4 billion in the U.S. The difference between our effective tax rate and the U.S. statutory rate of 21% for 2024 primarily relates to losses in certain foreign jurisdictions in which no tax benefits are recorded, income in certain foreign jurisdictions taxed at rates higher than the U.S. statutory rate, and the discrete items noted above.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we had a cumulative loss for the three-year period ending December 31, 2025 primarily driven by non-recurring items such as goodwill and intangible asset impairments, rationalization charges, pension curtailments and settlements, and one-time costs associated with the Goodyear Forward plan. During 2025, industry disruption and various macroeconomic factors such as the impact of tariff, transportation, labor and energy costs have negatively impacted our U.S. operating results and future forecasted U.S. earnings. In addition, the One Big Beautiful Bill Act ("OBBBA") amended the business interest expense limitation. The reduction in current and expected future earnings, as a result of industry disruption, represented significant negative evidence in the assessment of the realizability of our deferred tax assets. We concluded that it is more likely than not that our U.S. net deferred tax assets will not be fully realized and recorded a non-cash charge of $1.4 billion to establish a full valuation allowance in the U.S. during the third quarter of 2025. We intend to maintain a valuation allowance until sufficient positive evidence exists to support realization of these deferred tax assets. At December 31, 2025 and December 31, 2024, we had approximately $1.4 billion and $1.3 billion of U.S. federal, state and local net deferred tax assets, respectively, and related valuation allowances totaling $1.4 billion and $26 million, respectively.</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and December 31, 2024, we also had approximately $1.5 billion of foreign net deferred tax assets and related valuation allowances of approximately $1.3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4, 2025, OBBBA was enacted in the U.S. The OBBBA includes significant provisions, such as the permanent extension of certain expiring provisions of the Tax Cuts and Jobs Act, modifications to the international tax framework,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restoration of tax treatment for certain business provisions. We did not have a material impact from OBBBA on our 2025 operating tax rates. We will continue to assess the impact on us as regulations develop in the future.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2025. The model rules include minimum domestic top-up taxes, income inclusion rules and undertaxed profit rules, all aimed to ensure that multinational corporations pay a minimum effective corporate tax rate of 15% in each jurisdiction in which they operate. The Pillar Two model rules did not materially impact our annual effective tax rate in 2025.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"Critical Accounting Policies" and Note to the Consolidated Financial Statements No. 7,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Shareholders’ Net Income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Minority shareholders’ net income was $21 million in 2025, primarily related to the sale of property in Asia Pacific, compared to a net loss of $11 million in 2024, primarily due to the closure of our Malaysia tire manufacturing facility.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accelerated depreciation charges and accelerated lease costs) and SAG (including certain allocated corporate administrative expenses). Segment operating income also includes certain royalties and equity in earnings of most affiliates. Segment operating income does not include net rationalization charges, asset sales, goodwill and intangible asset impairment charges and certain other items.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income in 2025 was $1,057 million, a decrease of $245 million, or 18.8%, from $1,302 million in 2024. Total segment operating margin (segment operating income divided by segment sales) in 2025 was 5.8% compared to 6.9% in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9,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10,768</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11,033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11,993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-676910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2025 decreased 3.4 million units, or 4.1%, to 78.2 million units. Replacement tire volume decreased 2.9 million units, or 4.3%, primarily due to a decrease in our consumer business, mainly driven by increased competitiveness in the U.S. from the lower tier market. OE tire volume decreased 0.5 million units, or 3.1%, primarily due to weakness in the OE industry in North America.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2025 were $10,768 million, decreasing $265 million, or 2.4%, from $11,033 million in 2024. The decrease in net sales was primarily due to lower tire volume of $363 million, the impact of the sale of the OTR tire business of $143 million, the impact of the sale of the Chemical Business of $82 million and the negative impact of changes in foreign exchange rates of $71 million, primarily related to the weakening of the Brazilian real and Mexican peso. These decreases were partially offset by favorable price and product mix of $172 million, product supply agreement revenue related to the sale of the OTR tire business of $145 million and a $64 million benefit related to the Goodyear Forward plan.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2025 was $735 million, decreasing $198 million, or 21.2%, from $933 in 2024. The decrease in operating income was due to higher conversion costs of $305 million, driven by the effect of lower tire production on fixed cost absorption and inflation, higher raw material costs of $277 million, higher SAG of $136 million when excluding Goodyear Forward savings, an increase in other costs of $131 million, primarily related to tariff and transportation costs, a $92 million benefit received in 2024 related to insurance proceeds for property damage and business interruptions resulting from storm damage events in prior years, and lower tire volume of $79 million. These decreases were partially offset by a $564 million benefit related to the Goodyear Forward plan and favorable price and product mix of $246 million. Operating income for 2025 included incremental savings from rationalization plans of $19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2025 excluded a non-cash goodwill impairment charge of $674 million, net rationalization charges of $94 million, asset write-offs, accelerated depreciation and accelerated lease costs of $71 million, and net gains on asset sales of $16 million. Operating income in 2024 excluded a non-cash intangible asset impairment of $125 million, net rationalization charges of $23 million, asset write-offs, accelerated depreciation and accelerated lease costs of $14 million, and net gains on asset sales of $13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results are highly dependent upon the United States, which accounted for 85% and 84% of Americas net sales in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in the United States are expected to continue to have a significant impact on Americas' future performance.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5,550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-676910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2025 decreased 1.0 million units, or 2.2%, to 47.9 million units. Replacement tire volume decreased 2.4 million units, or 7.0%, mainly driven by our consumer business, reflecting market softness and increased competition from the lower tier market. OE tire volume increased 1.4 million units, or 11.2%,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2025 were $5,550 million, increasing $125 million, or 2.3%, from $5,425 million in 2024. The increase in net sales was primarily driven by improvements in price and product mix of $157 million, higher sales in the other tire-related businesses of $69 million, primarily due to growth in fleet solutions, and the positive impact of changes in foreign exchange rates of $69 million, driven by a stronger euro, Polish zloty and British pound, partially offset by a weaker Turkish lira. These increases were partially offset by the impact of the sale of the OTR tire business of $195 million, excluding product supply agreement revenue of $120 million, and lower tire volume of $102 million.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2025 was $114 million, increasing $22 million, or 23.9%, from income of $92 million in 2024. The increase in operating income was primarily due to favorable price and product mix of $173 million, benefits related to the Goodyear Forward plan of $137 million and a net increase of $30 million from insurance proceeds received in 2024 and 2025 related to a fire that significantly damaged and caused a temporary shutdown of our tire manufacturing facility in Debica, Poland. These increases were partially offset by higher raw material costs of $119 million, higher conversion costs of $74 million, higher SAG of $62 million when excluding Goodyear Forward savings, lower tire volume of $21 million, lower earnings in other tire-related businesses of $17 million, primarily due to mileage contracts, higher transportation costs of $13 million and higher costs related to the sale of the OTR tire business of $12 million. Operating income in 2025 included incremental savings from rationalization plans of $24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2025 excluded net rationalization charges of $87 million and asset write-offs, accelerated depreciation and accelerated lease costs of $83 million. Operating income in 2024 excluded $79 million of net gains on asset sales, asset write-offs, accelerated depreciation and accelerated lease costs of $68 million, and net rationalization charges of $36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EMEA’s results are highly dependent upon Germany, which accounted for 17% and 15% of EMEA’s net sales in 2025 and 2024, respectively. Results of operations in Germany are expected to continue to have a significant impact on EMEA’s future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-676910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59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2025 decreased 3.5 million units, or 9.7%, to 32.6 million units. Replacement tire volume decreased 2.3 million units, or 12.7%, driven by actions taken to reduce lower margin business and softness in consumer replacement. OE tire volume decreased 1.2 million units, or 6.7%, primarily in China.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2025 were $1,962 million, decreasing $458 million, or 18.9%, from $2,420 million in 2024. The decrease in net sales was primarily due to lower tire volume of $204 million, the sale of the OTR tire business of $202 million, the sale of the Dunlop brand of $49 million, and the negative impact of changes in foreign exchange rates of $16 million. These decreases were partially offset by favorable price and product mix of $41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2025 was $208 million, decreasing $69 million, or 24.9%, from $277 million in 2024. The decrease in operating income was primarily due to decreased earnings of $81 million due to the sale of the OTR tire business, lower tire volume of $48 million, higher raw material costs of $47 million, and the negative impact of changes in foreign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exchange rates of $3 million. These decreases were partially offset by benefits related to the Goodyear Forward plan of $71 million and favorable price and product mix of $46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2025 excluded net gains on asset sales of $55 million and asset write-offs, accelerated depreciation and accelerated lease costs of $6 million. Operating income in 2024 excluded asset write-offs, accelerated depreciation and accelerate lease costs of $44 million, net rationalization charges of $13 million, and net gains on asset sales of $1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Pacific’s results are highly dependent upon China and India. China accounted for 44% and 38% of Asia Pacific’s net sales in 2025 and 2024, respectively. India accounted for 21% and 17% of Asia Pacific’s net sales for 2025 and 2024, respectively. Results of operations in China and India are expected to have a significant impact on Asia Pacific's future performance.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In 2025, we also improved our liquidity position through our Goodyear Forward portfolio optimization initiatives by completing the sales of the OTR tire business, the Dunlop brand and the Chemical Business.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we had $801 million of Cash and Cash Equivalents, compared to $810 million at December 31, 2024. Net cash used by financing activities was $1,770 million, primarily due to net debt repayments of $1,759 million. Cash provided by investing activities was $997 million, primarily representing proceeds from the sales of the OTR tire business, the Dunlop brand and the Chemical Business, as well as other asset dispositions, of $1,802 million, partially offset by capital expenditures of $826 million. Net cash provided by operating activities was $796 million, driven by our current year segment operating income and deferred revenue and income from asset sales.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we had $4,421 million and $3,555 million, respectively, of unused availability under our various credit agreements. The table below provides unused availability by our significant credit facilities as of December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4,421</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3,555</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2026 cash flow requirements to include capital expenditures of approximately $825 million. We also expect interest expense to be $400 million to $425 million. We estimate rationalization payments to be approximately $225 million; income tax payments to be $150 million to $175 million, excluding one-time items; and contributions to our funded pension plans to be $25 million to $50 million. We expect to generate approximately $100 million of cash from working capital in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December 31, 2025, approximately $731 million of net assets, including approximately $175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significant concentrations of cash and cash equivalents held by our international subsidiaries included the following amounts:</w:t>
      </w:r>
    </w:p>
    <w:p>
      <w:pPr>
        <w:spacing w:after="0" w:line="117" w:lineRule="exact"/>
        <w:rPr>
          <w:sz w:val="20"/>
          <w:szCs w:val="20"/>
          <w:color w:val="auto"/>
        </w:rPr>
      </w:pPr>
    </w:p>
    <w:p>
      <w:pPr>
        <w:ind w:left="5540" w:right="2160" w:hanging="5046"/>
        <w:spacing w:after="0" w:line="845" w:lineRule="auto"/>
        <w:tabs>
          <w:tab w:leader="none" w:pos="8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million or 37% in EMEA, primarily Luxembourg and Belgium ($193 million or 24% at December 31, 2024),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or 26% in Asia Pacific, primarily China, India and Taiwan ($242 million or 30% at December 31, 2024),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million or 26% in Americas, primarily Brazil, Chile and Mexico ($199 million or 25% at December 31, 2024).</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$796 million in 2025, compared to $698 million in 2024. The $98 million increase in net cash provided by operating activities was primarily due to $486 million of deferred revenue and income related to the product supply agreements, trademark licensing agreements and transition agreements entered into in connection with the sales of the OTR tire business, the Dunlop brand and the Chemical Business and a decrease in cash payments for interest of $101 million, partially offset by lower earnings in our SBUs of $245 million and an increase in rationalization payments of $233 million.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decrease in cash used for working capital of $36 million reflects an increase in cash provided by Accounts Receivable of $88 million and a decrease in cash used for Inventories of $118 million, partially offset by an increase in cash used for Accounts Payable - Trade of $170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$997 million in 2025, compared to net cash used for investing activities of $1,005 million in 2024. The $2,002 million increase in cash provided by investing activities was primarily due to net cash provided by the sales of the OTR tire business, the Dunlop brand and the Chemical Business, as well as other asset dispositions, of $1,802 million in 2025, compared to $115 million in 2024. Capital expenditures were $826 million in 2025, compared to $1,188 million in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was $1,770 million in 2025, compared to cash provided by financing activities of $225 million in 2024. The $1,995 million increase in cash used for financing activities reflects an increase in overall net debt repayments in 2025 of $1,759 million, due to the repayment of debt with proceeds from asset sales, compared to overall net borrowings in 2024 of $264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$10,525 million available at December 31, 2025, of which $4,421 million were unused, compared to $11,223 million available at December 31, 2024, of which $3,555 million were unused. At December 31, 2025, we had long term credit arrangements totaling $9,707 million, of which $4,145 million were unused, compared to $10,352 million and $3,263 million, respectively, at December 31, 2024. At December 31, 2025, we had short term committed and uncommitted credit arrangements totaling $818 million, of which $276 million were unused, compared to $871 million and $292 million, respectively, at December 31, 2024.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we had $4,391 million of outstanding notes, compared to $5,240 million at December 31, 2024.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December 31, 2025, our borrowing base was above the facility's stated amount of $2.75 billion.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we had no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we had no borrowings and no letters of credit outstanding under the European revolving credit facility.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GEBV and certain other of our European subsidiaries amended and restated our pan-European accounts receivable securitization facility. The principal change to the facility was the extension of its maturity from October 19, 2027 to October 18,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The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amounts available and utilized under this program totaled $292 million (€249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2025, the gross amount of receivables sold was $892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we had $206 million in letters of credit issued under bilateral letter of credit agreements and other foreign credit facilities.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$876 million and $775 million at December 31, 2025 and 2024, respectively. The amounts confirmed to the financial institutions were $551 million and $604 million at December 31,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contain covenants that, among other things, limit our ability to incur certain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December 31, 2025, our unused availability under this facility of $2,749 million plus our Available Cash of $92 million totaled $2,841 million, which is in excess of $275 million.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2025, we were in compliance with this financial covenant.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2025, 2024 or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2025, 2024 and 2023, we did not repurchase any shares from our employees.</w:t>
      </w:r>
    </w:p>
    <w:p>
      <w:pPr>
        <w:spacing w:after="0" w:line="54" w:lineRule="exact"/>
        <w:rPr>
          <w:sz w:val="20"/>
          <w:szCs w:val="20"/>
          <w:color w:val="auto"/>
        </w:rPr>
      </w:pPr>
    </w:p>
    <w:p>
      <w:pPr>
        <w:ind w:right="720"/>
        <w:spacing w:after="0" w:line="375" w:lineRule="auto"/>
        <w:rPr>
          <w:sz w:val="20"/>
          <w:szCs w:val="20"/>
          <w:color w:val="auto"/>
        </w:rPr>
      </w:pPr>
      <w:r>
        <w:rPr>
          <w:rFonts w:ascii="Times New Roman" w:cs="Times New Roman" w:eastAsia="Times New Roman" w:hAnsi="Times New Roman"/>
          <w:sz w:val="18"/>
          <w:szCs w:val="18"/>
          <w:color w:val="auto"/>
        </w:rPr>
        <w:t xml:space="preserve">The restrictions imposed by our credit facilities are not expected to affect our ability to pay dividends or repurchase our capital stock in the future. </w:t>
      </w:r>
      <w:r>
        <w:rPr>
          <w:rFonts w:ascii="Times New Roman" w:cs="Times New Roman" w:eastAsia="Times New Roman" w:hAnsi="Times New Roman"/>
          <w:sz w:val="18"/>
          <w:szCs w:val="18"/>
          <w:i w:val="1"/>
          <w:iCs w:val="1"/>
          <w:u w:val="single" w:color="auto"/>
          <w:color w:val="auto"/>
        </w:rPr>
        <w:t>Asset Dispositions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further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Annual Report on Form 10-K and are generally holding or operating companies, have guaranteed our obligations under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different pieces of legislation, but as a general matter these types of challenges may arise in circumstances where:</w:t>
      </w:r>
    </w:p>
    <w:p>
      <w:pPr>
        <w:spacing w:after="0" w:line="117"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820" w:right="20" w:hanging="326"/>
        <w:spacing w:after="0" w:line="26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820" w:right="20" w:hanging="326"/>
        <w:spacing w:after="0" w:line="266"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Summarized Balance</w:t>
            </w:r>
          </w:p>
        </w:tc>
      </w:tr>
      <w:tr>
        <w:trPr>
          <w:trHeight w:val="190"/>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Sheet</w:t>
            </w:r>
          </w:p>
        </w:tc>
      </w:tr>
      <w:tr>
        <w:trPr>
          <w:trHeight w:val="37"/>
        </w:trPr>
        <w:tc>
          <w:tcPr>
            <w:tcW w:w="9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1"/>
        </w:trPr>
        <w:tc>
          <w:tcPr>
            <w:tcW w:w="9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97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3"/>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7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7"/>
        </w:trPr>
        <w:tc>
          <w:tcPr>
            <w:tcW w:w="97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left="5540" w:right="3500" w:hanging="5532"/>
        <w:spacing w:after="0" w:line="779" w:lineRule="auto"/>
        <w:tabs>
          <w:tab w:leader="none" w:pos="326"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receivables due from Non-Guarantor Subsidiaries of $1,574 million as of December 31, 2025.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Summarized Statement</w:t>
            </w:r>
          </w:p>
        </w:tc>
      </w:tr>
      <w:tr>
        <w:trPr>
          <w:trHeight w:val="190"/>
        </w:trPr>
        <w:tc>
          <w:tcPr>
            <w:tcW w:w="9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of Operations</w:t>
            </w:r>
          </w:p>
        </w:tc>
      </w:tr>
      <w:tr>
        <w:trPr>
          <w:trHeight w:val="37"/>
        </w:trPr>
        <w:tc>
          <w:tcPr>
            <w:tcW w:w="97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71"/>
        </w:trPr>
        <w:tc>
          <w:tcPr>
            <w:tcW w:w="9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976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97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162"/>
        </w:trPr>
        <w:tc>
          <w:tcPr>
            <w:tcW w:w="9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0"/>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312"/>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r>
              <w:rPr>
                <w:rFonts w:ascii="Times New Roman" w:cs="Times New Roman" w:eastAsia="Times New Roman" w:hAnsi="Times New Roman"/>
                <w:sz w:val="23"/>
                <w:szCs w:val="23"/>
                <w:color w:val="auto"/>
                <w:vertAlign w:val="superscript"/>
              </w:rPr>
              <w:t>(3)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bl>
    <w:p>
      <w:pPr>
        <w:spacing w:after="0" w:line="142" w:lineRule="exact"/>
        <w:rPr>
          <w:sz w:val="20"/>
          <w:szCs w:val="20"/>
          <w:color w:val="auto"/>
        </w:rPr>
      </w:pPr>
    </w:p>
    <w:p>
      <w:pPr>
        <w:ind w:left="34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income from intercompany transactions with Non-Guarantor Subsidiaries of $557 million for the year ended December 31, 2025, primarily from royalties, dividends, interest and intercompany product sales.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U.S. tax expense primarily related to the establishment of a full valuation allowance on our net deferred tax assets in the U.S. See Note to the Consolidated Financial Statements No. 7, Income Taxes, for details.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and commitments to make future payments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Beyond</w:t>
            </w: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37"/>
        </w:trPr>
        <w:tc>
          <w:tcPr>
            <w:tcW w:w="27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7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Benefits</w:t>
            </w:r>
            <w:r>
              <w:rPr>
                <w:rFonts w:ascii="Times New Roman" w:cs="Times New Roman" w:eastAsia="Times New Roman" w:hAnsi="Times New Roman"/>
                <w:sz w:val="23"/>
                <w:szCs w:val="23"/>
                <w:color w:val="auto"/>
                <w:vertAlign w:val="superscript"/>
              </w:rPr>
              <w:t>(5)</w:t>
            </w: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Benefits</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(7)</w:t>
            </w: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Binding Commitments</w:t>
            </w:r>
            <w:r>
              <w:rPr>
                <w:rFonts w:ascii="Times New Roman" w:cs="Times New Roman" w:eastAsia="Times New Roman" w:hAnsi="Times New Roman"/>
                <w:sz w:val="23"/>
                <w:szCs w:val="23"/>
                <w:color w:val="auto"/>
                <w:vertAlign w:val="superscript"/>
              </w:rPr>
              <w:t>(8)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7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Positions</w:t>
            </w:r>
            <w:r>
              <w:rPr>
                <w:rFonts w:ascii="Times New Roman" w:cs="Times New Roman" w:eastAsia="Times New Roman" w:hAnsi="Times New Roman"/>
                <w:sz w:val="23"/>
                <w:szCs w:val="23"/>
                <w:color w:val="auto"/>
                <w:vertAlign w:val="superscript"/>
              </w:rPr>
              <w:t>(9)</w:t>
            </w: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w:t>
            </w:r>
          </w:p>
        </w:tc>
      </w:tr>
      <w:tr>
        <w:trPr>
          <w:trHeight w:val="27"/>
        </w:trPr>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obligations include Notes Payable and Overdrafts, and excludes the impact of deferred financing fees, unamortized discounts, and the fair value step-up related to the Cooper Tire acquisition.</w:t>
      </w:r>
    </w:p>
    <w:p>
      <w:pPr>
        <w:ind w:left="320" w:hanging="312"/>
        <w:spacing w:after="0" w:line="196"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minimum lease payments for finance lease obligations are $710 million.</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lease obligations have not been reduced by minimum sublease rentals of $8 million, $6 million, $5 million, $2 million, $2 million and $1 million in each of the periods above, respectively, for a total of $24 million. Payments, net of minimum sublease rentals, total $1,395 million. The present value of the net operating lease payments, including sublease rentals, is $1,038 million. The operating leases relate to, among other things, real estate, vehicles, data processing equipment and miscellaneous other assets. No asset is leased from any related party.</w:t>
      </w:r>
    </w:p>
    <w:p>
      <w:pPr>
        <w:jc w:val="both"/>
        <w:ind w:left="34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obligation related to pension benefits is actuarially determined and is reflective of obligations as of December 31, 2025.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90" w:lineRule="exact"/>
        <w:rPr>
          <w:rFonts w:ascii="Times New Roman" w:cs="Times New Roman" w:eastAsia="Times New Roman" w:hAnsi="Times New Roman"/>
          <w:sz w:val="23"/>
          <w:szCs w:val="23"/>
          <w:color w:val="auto"/>
          <w:vertAlign w:val="superscript"/>
        </w:rPr>
      </w:pPr>
    </w:p>
    <w:p>
      <w:pPr>
        <w:jc w:val="both"/>
        <w:ind w:left="340"/>
        <w:spacing w:after="0" w:line="26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made significant contributions to fully fund our U.S. pension plans in 2013 and 2014. We have no minimum funding requirements for our funded U.S. pension plans under the Employee Retirement Income Security Act of 1974 ("ERISA") or the provisions of our USW collective bargaining agreement, including a provision which requires us to maintain an annual ERISA funded status for the Goodyear U.S. hourly pension plan of at least 97%.</w:t>
      </w:r>
    </w:p>
    <w:p>
      <w:pPr>
        <w:spacing w:after="0" w:line="71" w:lineRule="exact"/>
        <w:rPr>
          <w:rFonts w:ascii="Times New Roman" w:cs="Times New Roman" w:eastAsia="Times New Roman" w:hAnsi="Times New Roman"/>
          <w:sz w:val="23"/>
          <w:szCs w:val="23"/>
          <w:color w:val="auto"/>
          <w:vertAlign w:val="superscript"/>
        </w:rPr>
      </w:pPr>
    </w:p>
    <w:p>
      <w:pPr>
        <w:jc w:val="both"/>
        <w:ind w:left="3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Future U.S. pension contributions will be affected by our ability to offset changes in future interest rates with returns from our asset portfolios and any changes to ERISA. For further information on the U.S. pension investment strategy, refer to Note to the Consolidated Financial Statements No. 18, Pension, Savings and Other Postretirement Benefit Plans.</w:t>
      </w:r>
    </w:p>
    <w:p>
      <w:pPr>
        <w:spacing w:after="0" w:line="67"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Future non-U.S. contributions are affected by factors such as:</w:t>
      </w:r>
    </w:p>
    <w:p>
      <w:pPr>
        <w:spacing w:after="0" w:line="117" w:lineRule="exact"/>
        <w:rPr>
          <w:rFonts w:ascii="Times New Roman" w:cs="Times New Roman" w:eastAsia="Times New Roman" w:hAnsi="Times New Roman"/>
          <w:sz w:val="23"/>
          <w:szCs w:val="23"/>
          <w:color w:val="auto"/>
          <w:vertAlign w:val="superscript"/>
        </w:rPr>
      </w:pPr>
    </w:p>
    <w:p>
      <w:pPr>
        <w:ind w:left="820" w:hanging="326"/>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rate levels,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asset returns,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contributions in excess of the minimum requirements could impact the amount and timing of future contributions.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340" w:hanging="332"/>
        <w:spacing w:after="0" w:line="235"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payments for workers’ compensation obligations are based upon recent historical payment patterns on claims. The present value of anticipated claims payments for workers’ compensation is $145 million.</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2025.</w:t>
      </w:r>
    </w:p>
    <w:p>
      <w:pPr>
        <w:ind w:left="340" w:right="20" w:hanging="332"/>
        <w:spacing w:after="0" w:line="21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primarily represent expected payments with interest for uncertain income tax positions as of December 31, 2025. We have reflected them in the period in which we believe they will be ultimately settled based upon our experience with these matters.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of up to $130 million to TireHub, LLC. At December 31, 2025, $103 million was drawn on this commitment, which includes $2 million of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w:t>
      </w:r>
    </w:p>
    <w:p>
      <w:pPr>
        <w:spacing w:after="0" w:line="54"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guarantees,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or held a contingent interest in transferred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 obligation under certain derivative instruments, or</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certain arrangements under which we have provided guarantees that are off-balance sheet arrangements. Those guarantees totaled $15 million at December 31, 2025. For further information about our guarantees, refer to Note to the Consolidated Financial Statements No. 20, Commitments and Contingent Liabilities.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72"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liability and other litigation,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postretirement benefits.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$42 million and $663 million, respectively, at December 31, 2025, compared to $756 million and $805 million, respectively, at December 31, 2024. The goodwill associated with the reporting unit in our Asia Pacific segment was $42 million at December 31, 2025. The goodwill associated with the reporting units in our Americas and Asia Pacific segments was $715 million and $41 million, respectively, at December 31, 2024. Goodwill associated with the reporting unit in our Americas segment was allocated to assets held for sale in the second quarter of 2025 in the amount of $41 million in connection with the anticipated sale of the Chemical Business, which was consummated in the fourth quarter of 2025. The remaining $674 million was written off, resulting in a non-cash impairment charge during the third quarter of 2025. We recorded an intangible asset impairment charge of $125 million in the third quarter of 2024 primarily related to our lower tier indefinite-lived intangible assets related to the acquisition of Cooper Tire.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2025, we experienced continued industry disruption in Americas, which resulted in a reduction in our near-term and long-term outlook. We also experienced a decline in our market capitalization as a result of a decrease in our stock price. Our stock price has a history of volatility; however, given the decrease was sustained throughout the quarter, combined with the reduction in outlook, we viewed these events as triggering events for purposes of testing goodwill for impairment and performed a quantitative analysis of the fair value of the North America reporting unit in our Americas segment. We determined the estimated fair value of our North America reporting unit based on a discounted cash flow model. The most critical assumptions used in the calculation of the fair value of our North America reporting unit are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projected revenue, projected operating margin and discount rate. Our forecast of future cash flows is based on our best estimate of projected revenue and projected operating margin, based primarily on pricing, raw material costs, market share, industry outlook and general economic conditions. Based on our interim impairment test, the fair value of the North America reporting unit as of September 30, 2025 was less than its carrying value, resulting in full goodwill impairment and a non-cash charge of $674 million during the third quarter of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qualitative impairment analysis of our Asia Pacific reporting unit. After considering the results of our most recent quantitative annual testing, the capital markets environment, macroeconomic conditions, tire industry competition and trends, our results of operations, and other factors, we concluded that it was not more likely than not that the fair value of our Asia Pacific reporting unit was less than the carrying value and, therefore, did not perform a quantitative analysis.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or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assessed the period from October 31, 2025 to December 31, 2025 and determined there were no factors that caused us to change our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goodwill and intangible assets, refer to Note to the Consolidated Financial Statements No. 12, Goodwill and Intangible Assets.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Product Liability and Other Litigation. </w:t>
      </w:r>
      <w:r>
        <w:rPr>
          <w:rFonts w:ascii="Times New Roman" w:cs="Times New Roman" w:eastAsia="Times New Roman" w:hAnsi="Times New Roman"/>
          <w:sz w:val="18"/>
          <w:szCs w:val="18"/>
          <w:color w:val="auto"/>
        </w:rPr>
        <w:t>We have recorded liabilities for both asserted and unasserted claims totaling $417 million and $406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including related legal fees expected to be incurred, for potential product liability and other tort claims, including asbestos claims, at December 31, 2025 and December 31, 2024, respectively.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 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 both asserted and unasserted asbestos claims, inclusive of defense costs, totaling $107 million and $115 million, respectively, at December 31, 2025 and December 31,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based on consultation with our outside legal counsel and takes into consideration agreements with certain of our insurance carriers, the financial viability and legal obligations of our insurance carriers, and other relevant factors.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December 31, 2024, we recorded a receivable related to asbestos claims of $57 million and $63 million, respectively, and we expect that approximately 55% of asbestos claim related losses would be recoverable through insurance through the period covered by the estimated liability. Of this amount, $10 million and $11 million was included in Current Assets as part of Accounts Receivable at December 31, 2025 and December 31, 2024, respectively.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2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Workers’ Compensation. </w:t>
      </w:r>
      <w:r>
        <w:rPr>
          <w:rFonts w:ascii="Times New Roman" w:cs="Times New Roman" w:eastAsia="Times New Roman" w:hAnsi="Times New Roman"/>
          <w:sz w:val="18"/>
          <w:szCs w:val="18"/>
          <w:color w:val="auto"/>
        </w:rPr>
        <w:t>We have recorded liabilities, on a discounted basis, of $145 million and $158 million for anticipated costs related to U.S. workers’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claims at December 31, 2025 and December 31, 2024,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on general and product liability and other litigation and workers’ compensation, refer to Note to the Consolidated Financial Statements No. 20, Commitments and Contingent Liabilities.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Tax Asset Valuation Allowances and Uncertain Income Tax Positions. </w:t>
      </w:r>
      <w:r>
        <w:rPr>
          <w:rFonts w:ascii="Times New Roman" w:cs="Times New Roman" w:eastAsia="Times New Roman" w:hAnsi="Times New Roman"/>
          <w:sz w:val="18"/>
          <w:szCs w:val="18"/>
          <w:color w:val="auto"/>
        </w:rPr>
        <w:t>At December 31, 2025 and December 31, 2024, our valuation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of our U.S. federal, state and local net deferred tax assets totaled $1.4 billion and $26 million, respectively, and our valuation allowances on our foreign net deferred tax assets totaled approximately $1.3 billion.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by year, including the impact of tax planning strategies, relative to the expiration dates, if any, of the assets.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we had a cumulative loss for the three-year period ending December 31, 2025 primarily driven by non-recurring items such as goodwill and intangible asset impairments, rationalization charges, pension curtailments and settlements, and one-time costs associated with the Goodyear Forward plan. During 2025, industry disruption and various macroeconomic factors such as the impact of tariff, transportation, labor and energy costs have negatively impacted our U.S. operating results and future forecasted U.S. earnings. In addition, OBBBA amended the business interest expense limitation. The reduction in current and expected future earnings, as a result of industry disruption, represented significant negative evidence in the assessment of the realizability of our deferred tax assets. We concluded that it is more likely than not that our U.S. net deferred tax assets will not be fully realized and recorded a non-cash charge of $1.4 billion to establish a full valuation allowance in the U.S. during the third quarter of 2025. We intend to maintain a valuation allowance until sufficient positive evidence exists to support realization of these deferred tax assets. At December 31, 2025 and December 31, 2024, we had approximately $1.4 billion and $1.3 billion of U.S. federal, state and local net deferred tax assets, respectively, and related valuation allowances totaling $1.4 billion and $26 million, respectively.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and December 31, 2024, we also had approximately $1.5 billion of foreign net deferred tax assets and related valuation allowances of approximately $1.3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sufficient positive evidence required to release valuation allowances on our foreign deferred tax assets having a significant impact on our financial position or results of operations will exist within the next twelve months.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we apply consistent transfer pricing policies and practices globally, support pricing with economic studies and seek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uncertain income tax positions and tax valuation allowances, refer to Note to the Consolidated Financial Statements No. 7, Income Taxes.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Pensions and Other Postretirement Benefits. </w:t>
      </w:r>
      <w:r>
        <w:rPr>
          <w:rFonts w:ascii="Times New Roman" w:cs="Times New Roman" w:eastAsia="Times New Roman" w:hAnsi="Times New Roman"/>
          <w:sz w:val="18"/>
          <w:szCs w:val="18"/>
          <w:color w:val="auto"/>
        </w:rPr>
        <w:t>We have recorded net liabilities for pensions of $138 million at December 31, 2025 and 2024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benefits of $231 million and $232 million, respectively, at December 31, 2025 and December 31, 2024. Our recorded liabilities and net periodic costs for pensions and other postretirement benefits are based on a number of assumptions, including:</w:t>
      </w:r>
    </w:p>
    <w:p>
      <w:pPr>
        <w:spacing w:after="0" w:line="67"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rates of return on plan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 care costs,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company-covered benefit costs.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by established rating agencies as of December 31 and is reviewed annually. Our expected benefit payment cash flows are discounted based on spot rates developed from the yield curve. The mortality assumption for our U.S. plans is based on actual historical experience or published actuarial tables,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net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used in estimating the total liability for our U.S. pension and other postretirement benefit plans was 5.19% and 5.29%, respectively, at December 31, 2025, compared to 5.55% and 5.62%, respectively, at December 31, 2024. The decrease in the discount rate at December 31, 2025 was due primarily to lower yields on highly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rated corporate bonds. Interest cost included in our U.S. net periodic pension cost was $158 million in 2025, compared to $174 million in 2024. Interest cost included in our global net periodic other postretirement benefits cost was $13 million in 2025, compared to $15 million in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Change at December 31, 2025</w:t>
            </w: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PBO/ABO</w:t>
            </w:r>
          </w:p>
        </w:tc>
        <w:tc>
          <w:tcPr>
            <w:tcW w:w="160" w:type="dxa"/>
            <w:vAlign w:val="bottom"/>
          </w:tcPr>
          <w:p>
            <w:pPr>
              <w:spacing w:after="0"/>
              <w:rPr>
                <w:sz w:val="16"/>
                <w:szCs w:val="16"/>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Annual Expense</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Assumption:</w:t>
            </w:r>
          </w:p>
        </w:tc>
        <w:tc>
          <w:tcPr>
            <w:tcW w:w="1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approximately 95% of the expected change in our U.S. pension benefit obligation.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our net actuarial loss included in Accumulated Other Comprehensive Loss ("AOCL") related to global pension plans was $1,951 million, $1,449 million of which related to our U.S. pension plans. The net actuarial loss included in AOCL related to our U.S. pension plans continues to decrease and is primarily due to declines in U.S. discount rates and plan asset losses that occurred prior to the funding and investment de-risking actions we undertook in 2013 and 2014, which were designed to mitigate further actuarial losses of a similar nature. For purposes of determining our 2025 U.S. pension total benefits cost, we recognized $295 million of the net actuarial losses in 2025. We will recognize approximately $85 million of net actuarial losses in 2026 U.S. net periodic pension cost. If our future experience is consistent with our assumptions as of December 31, 2025, actuarial loss recognition over the next few years will remain at an amount near that to be recognized in 2026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rate of return on our U.S. pension fund was 7.45%, 1.70% and 7.90% in 2025, 2024 and 2023, respectively, as compared to the expected rate of 6.20%, 5.95% and 6.27% in 2025, 2024 and 2023, respectively. We use the fair value of our pension assets in the calculation of pension expense for all of our U.S. pension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U.S. pension plans is approximately 14 years.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2025, 2024 and 2023, the amount of service cost included in CGS and SAG is approximately equal. Non-service related net periodic pension costs were recorded in Other (Income) Expense.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Globally, we expect our 2026 net periodic pension cost to be $90 million to $100 million, including approximately $20 million of service cost, compared to $108 million in 2025, which included $21 million of service cost.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actuarial gain of $76 million included in AOCL for our global other postretirement benefit plans as of December 31, 2025 is a result of past increases in discount rates. For purposes of determining 2025 global net periodic other postretirement benefits cost, we recognized $8 million of net actuarial gains in 2025. We will recognize approximately $6 million of net actuarial gains in 2026. If our future experience is consistent with our assumptions as of December 31, 2025, actuarial gain recognition over the next few years will remain at an amount near that to be recognized in 2026.</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pensions and other postretirement benefits, refer to Note to the Consolidated Financial Statements No. 18, Pension, Savings and Other Postretirement Benefit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9" w:lineRule="exact"/>
        <w:rPr>
          <w:sz w:val="20"/>
          <w:szCs w:val="20"/>
          <w:color w:val="auto"/>
        </w:rPr>
      </w:pPr>
    </w:p>
    <w:p>
      <w:pPr>
        <w:ind w:left="820" w:right="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obligations to the purchasers of our OTR tire business, the Dunlop brand and our Chemical Business may disrupt our current and future plans or operations;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energy and transportation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continue to be, negatively impacted by changes in tariffs, trade agreements or trade restrictions on imported tires, raw materials and other goods or equipment;</w:t>
      </w:r>
    </w:p>
    <w:p>
      <w:pPr>
        <w:spacing w:after="0" w:line="53"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net amount recorded;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December 31, 2025, 20% of our debt was at variable interest rates averaging 7.06% compared to 25% at an average rate of 9.23% at December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7"/>
        </w:trPr>
        <w:tc>
          <w:tcPr>
            <w:tcW w:w="81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foreign currency derivative information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 (asset)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01/26-12/26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01/25-12/25</w:t>
            </w:r>
          </w:p>
        </w:tc>
      </w:tr>
      <w:tr>
        <w:trPr>
          <w:trHeight w:val="27"/>
        </w:trPr>
        <w:tc>
          <w:tcPr>
            <w:tcW w:w="81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Sheets at December 31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700" w:type="dxa"/>
            <w:vAlign w:val="bottom"/>
            <w:tcBorders>
              <w:bottom w:val="single" w:sz="8" w:color="CFF0FC"/>
            </w:tcBorders>
          </w:tcPr>
          <w:p>
            <w:pPr>
              <w:spacing w:after="0"/>
              <w:rPr>
                <w:sz w:val="3"/>
                <w:szCs w:val="3"/>
                <w:color w:val="auto"/>
              </w:rPr>
            </w:pPr>
          </w:p>
        </w:tc>
        <w:tc>
          <w:tcPr>
            <w:tcW w:w="44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 (liability):</w:t>
            </w:r>
          </w:p>
        </w:tc>
        <w:tc>
          <w:tcPr>
            <w:tcW w:w="44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4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7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(3)</w:t>
            </w:r>
          </w:p>
        </w:tc>
      </w:tr>
      <w:tr>
        <w:trPr>
          <w:trHeight w:val="796"/>
        </w:trPr>
        <w:tc>
          <w:tcPr>
            <w:tcW w:w="3700" w:type="dxa"/>
            <w:vAlign w:val="bottom"/>
          </w:tcPr>
          <w:p>
            <w:pPr>
              <w:spacing w:after="0"/>
              <w:rPr>
                <w:sz w:val="24"/>
                <w:szCs w:val="24"/>
                <w:color w:val="auto"/>
              </w:rPr>
            </w:pPr>
          </w:p>
        </w:tc>
        <w:tc>
          <w:tcPr>
            <w:tcW w:w="44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37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16, Financing Arrangements and Derivative Financial Instruments.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Liquidity and Capital Resources” for a discussion of our management of counterparty risk.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996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i w:val="1"/>
                <w:iCs w:val="1"/>
                <w:color w:val="0000FF"/>
              </w:rPr>
              <w:t>Management's Report on Internal Control over Financial Reporting</w:t>
            </w: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9960" w:type="dxa"/>
            <w:vAlign w:val="bottom"/>
            <w:gridSpan w:val="12"/>
            <w:vMerge w:val="continue"/>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i w:val="1"/>
                <w:iCs w:val="1"/>
                <w:color w:val="0000FF"/>
              </w:rPr>
              <w:t>Report of Independent Registered Public Accounting Firm (PCAOB ID 238)</w:t>
            </w:r>
          </w:p>
        </w:tc>
        <w:tc>
          <w:tcPr>
            <w:tcW w:w="5000" w:type="dxa"/>
            <w:vAlign w:val="bottom"/>
            <w:gridSpan w:val="7"/>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58"/>
        </w:trPr>
        <w:tc>
          <w:tcPr>
            <w:tcW w:w="99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of The Goodyear Tire &amp; Rubber Company:</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2"/>
                <w:szCs w:val="22"/>
                <w:color w:val="auto"/>
              </w:rPr>
            </w:pPr>
          </w:p>
        </w:tc>
        <w:tc>
          <w:tcPr>
            <w:tcW w:w="92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each of the three years ended December 31, 2025, 2024 and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92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 for each of the three years ended December 31, 2025, 2024 and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77"/>
        </w:trPr>
        <w:tc>
          <w:tcPr>
            <w:tcW w:w="74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31, 2025 and December 31, 2024</w:t>
            </w:r>
          </w:p>
        </w:tc>
        <w:tc>
          <w:tcPr>
            <w:tcW w:w="3380" w:type="dxa"/>
            <w:vAlign w:val="bottom"/>
            <w:tcBorders>
              <w:top w:val="single" w:sz="8" w:color="0000FF"/>
            </w:tcBorders>
            <w:gridSpan w:val="5"/>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92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Shareholders’ Equity for each of the three years ended December 31, 2025, 2024 and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77"/>
        </w:trPr>
        <w:tc>
          <w:tcPr>
            <w:tcW w:w="740" w:type="dxa"/>
            <w:vAlign w:val="bottom"/>
          </w:tcPr>
          <w:p>
            <w:pPr>
              <w:spacing w:after="0"/>
              <w:rPr>
                <w:sz w:val="24"/>
                <w:szCs w:val="24"/>
                <w:color w:val="auto"/>
              </w:rPr>
            </w:pPr>
          </w:p>
        </w:tc>
        <w:tc>
          <w:tcPr>
            <w:tcW w:w="7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each of the three years ended December 31, 2025, 2024 and 2023</w:t>
            </w:r>
          </w:p>
        </w:tc>
        <w:tc>
          <w:tcPr>
            <w:tcW w:w="152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7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140" w:type="dxa"/>
            <w:vAlign w:val="bottom"/>
            <w:gridSpan w:val="4"/>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99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2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 schedule of The Goodyear Tire &amp; Rubber Company is filed as part of this Annual Report 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92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Form 10-K and should be read in conjunction with the Consolidated Financial Statements of The Goodyear Tire &amp; Rubber Company:</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for each of the three years ended December 31, 2025, 2024 and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2025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2025.</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stated in their report which is presented in this Annual Report on Form 10-K.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540" w:firstLine="2535"/>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Shareholders of The Goodyear Tire &amp; Rubber Company </w:t>
      </w: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 – North America Reporting Unit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1 and 12 to the consolidated financial statements, goodwill is assessed for impairment annually. In addition to annual testing, impairment testing is conducted when events occur or circumstances change that would more likely than not reduce the fair value of the asset below its carrying amount. During the third quarter of 2025, the Company experienced continued industry disruption in its Americas reportable segment, which resulted in a reduction in the near-term and long-term outlook. The Company also experienced a decline in market capitalization as a result of a decrease in the stock price. Management viewed these events as triggering events and performed a quantitative analysis of the fair value of the North America reporting unit as of September 30, 2025, which resulted in a full goodwill impairment of $674 million. Management determined the estimated fair value of the North America reporting unit based on a discounted cash flow model. The most critical assumptions used in the calculation of the fair value of the North America reporting unit were the projected revenue, projected operating margin, and discount rate.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impairment assessment of the North America reporting unit is a critical audit matter are (i) the significant judgment by management when developing the fair value estimate of the North America reporting unit; (ii) a high degree of auditor judgment, subjectivity, and effort in performing procedures and evaluating management’s significant assumptions related to the projected revenue, projected operating margin, and discount rate; and (iii) the audit effort involved the use of professionals with specialized skill and knowledge.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 including controls over the valuation of the North America reporting unit. These procedures also included, among others, (i) testing management's process for developing the fair value estimate of the North America reporting unit;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the projected revenue, projected operating margin, and discount rate. Evaluating management’s assumptions related to the projected revenue and projected operating margin involved evaluating whether the assumptions used by management were reasonable considering (i) the current and past performance of the North America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1898.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4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 Impairment (Note 12)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(Note 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(Note 6)</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 (Note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4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4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4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-187960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-565150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-925195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-1104900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-1104900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-1456690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-1456690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-3188335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-3188335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58" w:lineRule="exact"/>
        <w:rPr>
          <w:sz w:val="20"/>
          <w:szCs w:val="20"/>
          <w:color w:val="auto"/>
        </w:rPr>
      </w:pPr>
    </w:p>
    <w:p>
      <w:pPr>
        <w:jc w:val="center"/>
        <w:ind w:left="-3679"/>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41910</wp:posOffset>
            </wp:positionV>
            <wp:extent cx="2948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p>
      <w:pPr>
        <w:jc w:val="both"/>
        <w:ind w:left="4620"/>
        <w:spacing w:after="0"/>
        <w:tabs>
          <w:tab w:leader="none" w:pos="6180" w:val="left"/>
          <w:tab w:leader="none" w:pos="7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41910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41910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1860" w:space="720"/>
            <w:col w:w="8660"/>
          </w:cols>
          <w:pgMar w:left="320" w:top="114"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top w:val="single" w:sz="8" w:color="auto"/>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620" w:type="dxa"/>
            <w:vAlign w:val="bottom"/>
            <w:tcBorders>
              <w:top w:val="single" w:sz="8" w:color="auto"/>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580" w:type="dxa"/>
            <w:vAlign w:val="bottom"/>
            <w:tcBorders>
              <w:top w:val="single" w:sz="8" w:color="auto"/>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3"/>
        </w:trPr>
        <w:tc>
          <w:tcPr>
            <w:tcW w:w="6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net of tax of $0 in 2025 ($(7) in 2024, $2 in 2023)</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6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41"/>
        </w:trPr>
        <w:tc>
          <w:tcPr>
            <w:tcW w:w="6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2025 ($0 in 2024, $0 in 2023)</w:t>
            </w:r>
          </w:p>
        </w:tc>
        <w:tc>
          <w:tcPr>
            <w:tcW w:w="5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41"/>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benefit cost, net of tax of $4 in 2025 ($27 in 2024, $26 in 2023)</w:t>
            </w:r>
          </w:p>
        </w:tc>
        <w:tc>
          <w:tcPr>
            <w:tcW w:w="5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Decrease/(increase) in net actuarial losses, net of tax of $(4) in 2025 ($0 in 2024,</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 in 2023)</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 to</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6"/>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curtailments, settlements, and divestitures, net of tax of $0 in 2025 ($(1) in 2024, $11</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41"/>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 2023)</w:t>
            </w:r>
          </w:p>
        </w:tc>
        <w:tc>
          <w:tcPr>
            <w:tcW w:w="5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Prior service credit (cost) from plan amendments, net of tax of $0 in 2025 ($8 in 2024,</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 in 2023)</w:t>
            </w:r>
          </w:p>
        </w:tc>
        <w:tc>
          <w:tcPr>
            <w:tcW w:w="5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derivative gain:</w:t>
            </w:r>
          </w:p>
        </w:tc>
        <w:tc>
          <w:tcPr>
            <w:tcW w:w="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derivative losses, net of tax of $0 in 2025 ($0 in 2024, $0 in 2023)</w:t>
            </w: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61"/>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2025 ($0 in 2024, $0 in 2023)</w:t>
            </w:r>
          </w:p>
        </w:tc>
        <w:tc>
          <w:tcPr>
            <w:tcW w:w="5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7"/>
        </w:trPr>
        <w:tc>
          <w:tcPr>
            <w:tcW w:w="660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60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-565150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(Note 10)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Inventories (Note 11)</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Held for Sale (Note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(Note 12)</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(Note 12)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(Note 13)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15)</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14)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18,208</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 Trade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 (Note 16)</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due Within One Year (Note 15)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 and Finance Leases due Within One Year (Notes 15 and 16)</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15)</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and Finance Leases (Notes 15 and 16)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20)</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Authorized, 450 million shares, Outstanding shares — 286 million (285 million in 2024)</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Surplus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(Note 22)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Shareholders’ Equity — Nonredeemable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3,403</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4,823</w:t>
            </w:r>
          </w:p>
        </w:tc>
        <w:tc>
          <w:tcPr>
            <w:tcW w:w="0" w:type="dxa"/>
            <w:vAlign w:val="bottom"/>
          </w:tcPr>
          <w:p>
            <w:pPr>
              <w:spacing w:after="0"/>
              <w:rPr>
                <w:sz w:val="1"/>
                <w:szCs w:val="1"/>
                <w:color w:val="auto"/>
              </w:rPr>
            </w:pPr>
          </w:p>
        </w:tc>
      </w:tr>
      <w:tr>
        <w:trPr>
          <w:trHeight w:val="23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-393700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-744855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-4722495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-4902835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-7311390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GOODYEAR TIRE &amp; RUBBER COMPANY AND SUBSIDIARIES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right="240"/>
        <w:spacing w:after="0" w:line="295" w:lineRule="auto"/>
        <w:rPr>
          <w:sz w:val="20"/>
          <w:szCs w:val="20"/>
          <w:color w:val="auto"/>
        </w:rPr>
      </w:pPr>
      <w:r>
        <w:rPr>
          <w:rFonts w:ascii="Times New Roman" w:cs="Times New Roman" w:eastAsia="Times New Roman" w:hAnsi="Times New Roman"/>
          <w:sz w:val="13"/>
          <w:szCs w:val="13"/>
          <w:i w:val="1"/>
          <w:iCs w:val="1"/>
          <w:color w:val="auto"/>
        </w:rPr>
        <w:t>(Dollars in millions, except per share amounts)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71" w:lineRule="exact"/>
        <w:rPr>
          <w:sz w:val="20"/>
          <w:szCs w:val="20"/>
          <w:color w:val="auto"/>
        </w:rPr>
      </w:pPr>
    </w:p>
    <w:p>
      <w:pPr>
        <w:ind w:left="100" w:right="40"/>
        <w:spacing w:after="0" w:line="301" w:lineRule="auto"/>
        <w:rPr>
          <w:sz w:val="20"/>
          <w:szCs w:val="20"/>
          <w:color w:val="auto"/>
        </w:rPr>
      </w:pPr>
      <w:r>
        <w:rPr>
          <w:rFonts w:ascii="Times New Roman" w:cs="Times New Roman" w:eastAsia="Times New Roman" w:hAnsi="Times New Roman"/>
          <w:sz w:val="14"/>
          <w:szCs w:val="14"/>
          <w:color w:val="auto"/>
        </w:rPr>
        <w:t>(after deducting 41,391,555 common treasury shares)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 (loss)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p>
      <w:pPr>
        <w:spacing w:after="0" w:line="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Stock-based compensation plans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Common stock issued from treasury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71" w:lineRule="exact"/>
        <w:rPr>
          <w:sz w:val="20"/>
          <w:szCs w:val="20"/>
          <w:color w:val="auto"/>
        </w:rPr>
      </w:pPr>
    </w:p>
    <w:p>
      <w:pPr>
        <w:ind w:left="100" w:right="40"/>
        <w:spacing w:after="0" w:line="302" w:lineRule="auto"/>
        <w:rPr>
          <w:sz w:val="20"/>
          <w:szCs w:val="20"/>
          <w:color w:val="auto"/>
        </w:rPr>
      </w:pPr>
      <w:r>
        <w:rPr>
          <w:rFonts w:ascii="Times New Roman" w:cs="Times New Roman" w:eastAsia="Times New Roman" w:hAnsi="Times New Roman"/>
          <w:sz w:val="14"/>
          <w:szCs w:val="14"/>
          <w:color w:val="auto"/>
        </w:rPr>
        <w:t>(after deducting 40,501,644 common treasury shares)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1"/>
        </w:trPr>
        <w:tc>
          <w:tcPr>
            <w:tcW w:w="1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vMerge w:val="restart"/>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36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4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300" w:type="dxa"/>
            <w:vAlign w:val="bottom"/>
            <w:gridSpan w:val="2"/>
            <w:vMerge w:val="restart"/>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Equity — Non-</w:t>
            </w:r>
          </w:p>
        </w:tc>
        <w:tc>
          <w:tcPr>
            <w:tcW w:w="11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28"/>
        </w:trPr>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-8255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282,896,352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3,117</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5,764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(3,875)</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5,289</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5,452</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(687)</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9"/>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551"/>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283,786,263</w:t>
            </w:r>
          </w:p>
        </w:tc>
        <w:tc>
          <w:tcPr>
            <w:tcW w:w="10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1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3,133</w:t>
            </w:r>
          </w:p>
        </w:tc>
        <w:tc>
          <w:tcPr>
            <w:tcW w:w="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5,035</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(3,835)</w:t>
            </w:r>
          </w:p>
        </w:tc>
        <w:tc>
          <w:tcPr>
            <w:tcW w:w="8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4,617</w:t>
            </w:r>
          </w:p>
        </w:tc>
        <w:tc>
          <w:tcPr>
            <w:tcW w:w="10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4,779</w:t>
            </w: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-1302385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-710565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-419735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-1010920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280" w:space="200"/>
            <w:col w:w="87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 - (Continued)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240"/>
        <w:spacing w:after="0" w:line="295" w:lineRule="auto"/>
        <w:rPr>
          <w:sz w:val="20"/>
          <w:szCs w:val="20"/>
          <w:color w:val="auto"/>
        </w:rPr>
      </w:pPr>
      <w:r>
        <w:rPr>
          <w:rFonts w:ascii="Times New Roman" w:cs="Times New Roman" w:eastAsia="Times New Roman" w:hAnsi="Times New Roman"/>
          <w:sz w:val="13"/>
          <w:szCs w:val="13"/>
          <w:i w:val="1"/>
          <w:iCs w:val="1"/>
          <w:color w:val="auto"/>
        </w:rPr>
        <w:t>(Dollars in millions, except per share amounts)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71" w:lineRule="exact"/>
        <w:rPr>
          <w:sz w:val="20"/>
          <w:szCs w:val="20"/>
          <w:color w:val="auto"/>
        </w:rPr>
      </w:pPr>
    </w:p>
    <w:p>
      <w:pPr>
        <w:ind w:left="100" w:right="40"/>
        <w:spacing w:after="0" w:line="301" w:lineRule="auto"/>
        <w:rPr>
          <w:sz w:val="20"/>
          <w:szCs w:val="20"/>
          <w:color w:val="auto"/>
        </w:rPr>
      </w:pPr>
      <w:r>
        <w:rPr>
          <w:rFonts w:ascii="Times New Roman" w:cs="Times New Roman" w:eastAsia="Times New Roman" w:hAnsi="Times New Roman"/>
          <w:sz w:val="14"/>
          <w:szCs w:val="14"/>
          <w:color w:val="auto"/>
        </w:rPr>
        <w:t>(after deducting 40,501,644 common treasury shares)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 (loss)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1"/>
        </w:trPr>
        <w:tc>
          <w:tcPr>
            <w:tcW w:w="1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vMerge w:val="restart"/>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36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4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300" w:type="dxa"/>
            <w:vAlign w:val="bottom"/>
            <w:gridSpan w:val="2"/>
            <w:vMerge w:val="restart"/>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Equity — Non-</w:t>
            </w:r>
          </w:p>
        </w:tc>
        <w:tc>
          <w:tcPr>
            <w:tcW w:w="11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28"/>
        </w:trPr>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-7620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4"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283,786,263</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3,133</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5,035</w:t>
            </w:r>
          </w:p>
        </w:tc>
        <w:tc>
          <w:tcPr>
            <w:tcW w:w="5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(3,835)</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4,617</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4,779</w:t>
            </w:r>
          </w:p>
        </w:tc>
      </w:tr>
      <w:tr>
        <w:trPr>
          <w:trHeight w:val="229"/>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29"/>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6"/>
        </w:trPr>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-421640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-130175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2280" w:space="200"/>
            <w:col w:w="876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Dividends declared</w:t>
            </w: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(after deducting 39,313,644 common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100" w:type="dxa"/>
            <w:vAlign w:val="bottom"/>
          </w:tcPr>
          <w:p>
            <w:pPr>
              <w:spacing w:after="0"/>
              <w:rPr>
                <w:sz w:val="15"/>
                <w:szCs w:val="15"/>
                <w:color w:val="auto"/>
              </w:rPr>
            </w:pP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tcPr>
          <w:p>
            <w:pPr>
              <w:spacing w:after="0"/>
              <w:rPr>
                <w:sz w:val="15"/>
                <w:szCs w:val="15"/>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5,081</w:t>
            </w:r>
          </w:p>
        </w:tc>
        <w:tc>
          <w:tcPr>
            <w:tcW w:w="100" w:type="dxa"/>
            <w:vAlign w:val="bottom"/>
          </w:tcPr>
          <w:p>
            <w:pPr>
              <w:spacing w:after="0"/>
              <w:rPr>
                <w:sz w:val="15"/>
                <w:szCs w:val="15"/>
                <w:color w:val="auto"/>
              </w:rPr>
            </w:pP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tcPr>
          <w:p>
            <w:pPr>
              <w:spacing w:after="0"/>
              <w:rPr>
                <w:sz w:val="15"/>
                <w:szCs w:val="15"/>
                <w:color w:val="auto"/>
              </w:rPr>
            </w:pP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100" w:type="dxa"/>
            <w:vAlign w:val="bottom"/>
          </w:tcPr>
          <w:p>
            <w:pPr>
              <w:spacing w:after="0"/>
              <w:rPr>
                <w:sz w:val="15"/>
                <w:szCs w:val="15"/>
                <w:color w:val="auto"/>
              </w:rPr>
            </w:pP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tcPr>
          <w:p>
            <w:pPr>
              <w:spacing w:after="0"/>
              <w:rPr>
                <w:sz w:val="15"/>
                <w:szCs w:val="15"/>
                <w:color w:val="auto"/>
              </w:rPr>
            </w:pP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c>
          <w:tcPr>
            <w:tcW w:w="0" w:type="dxa"/>
            <w:vAlign w:val="bottom"/>
          </w:tcPr>
          <w:p>
            <w:pPr>
              <w:spacing w:after="0"/>
              <w:rPr>
                <w:sz w:val="1"/>
                <w:szCs w:val="1"/>
                <w:color w:val="auto"/>
              </w:rPr>
            </w:pPr>
          </w:p>
        </w:tc>
      </w:tr>
      <w:tr>
        <w:trPr>
          <w:trHeight w:val="198"/>
        </w:trPr>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shares)</w:t>
            </w: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-419735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-419735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-419735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 - (Continued)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240"/>
        <w:spacing w:after="0" w:line="295" w:lineRule="auto"/>
        <w:rPr>
          <w:sz w:val="20"/>
          <w:szCs w:val="20"/>
          <w:color w:val="auto"/>
        </w:rPr>
      </w:pPr>
      <w:r>
        <w:rPr>
          <w:rFonts w:ascii="Times New Roman" w:cs="Times New Roman" w:eastAsia="Times New Roman" w:hAnsi="Times New Roman"/>
          <w:sz w:val="13"/>
          <w:szCs w:val="13"/>
          <w:i w:val="1"/>
          <w:iCs w:val="1"/>
          <w:color w:val="auto"/>
        </w:rPr>
        <w:t>(Dollars in millions, except per share amounts)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71" w:lineRule="exact"/>
        <w:rPr>
          <w:sz w:val="20"/>
          <w:szCs w:val="20"/>
          <w:color w:val="auto"/>
        </w:rPr>
      </w:pPr>
    </w:p>
    <w:p>
      <w:pPr>
        <w:ind w:left="100" w:right="40"/>
        <w:spacing w:after="0" w:line="301" w:lineRule="auto"/>
        <w:rPr>
          <w:sz w:val="20"/>
          <w:szCs w:val="20"/>
          <w:color w:val="auto"/>
        </w:rPr>
      </w:pPr>
      <w:r>
        <w:rPr>
          <w:rFonts w:ascii="Times New Roman" w:cs="Times New Roman" w:eastAsia="Times New Roman" w:hAnsi="Times New Roman"/>
          <w:sz w:val="14"/>
          <w:szCs w:val="14"/>
          <w:color w:val="auto"/>
        </w:rPr>
        <w:t>(after deducting 39,313,644 common treasury shares)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 (loss)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p>
      <w:pPr>
        <w:spacing w:after="0" w:line="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Stock-based compensation plans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Common stock issued from treasury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p>
      <w:pPr>
        <w:spacing w:after="0" w:line="71" w:lineRule="exact"/>
        <w:rPr>
          <w:sz w:val="20"/>
          <w:szCs w:val="20"/>
          <w:color w:val="auto"/>
        </w:rPr>
      </w:pPr>
    </w:p>
    <w:p>
      <w:pPr>
        <w:ind w:left="100" w:right="40"/>
        <w:spacing w:after="0" w:line="302" w:lineRule="auto"/>
        <w:rPr>
          <w:sz w:val="20"/>
          <w:szCs w:val="20"/>
          <w:color w:val="auto"/>
        </w:rPr>
      </w:pPr>
      <w:r>
        <w:rPr>
          <w:rFonts w:ascii="Times New Roman" w:cs="Times New Roman" w:eastAsia="Times New Roman" w:hAnsi="Times New Roman"/>
          <w:sz w:val="14"/>
          <w:szCs w:val="14"/>
          <w:color w:val="auto"/>
        </w:rPr>
        <w:t>(after deducting 38,040,862 common treasury shares)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1"/>
        </w:trPr>
        <w:tc>
          <w:tcPr>
            <w:tcW w:w="1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vMerge w:val="restart"/>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36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4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300" w:type="dxa"/>
            <w:vAlign w:val="bottom"/>
            <w:gridSpan w:val="2"/>
            <w:vMerge w:val="restart"/>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Equity — Non-</w:t>
            </w:r>
          </w:p>
        </w:tc>
        <w:tc>
          <w:tcPr>
            <w:tcW w:w="11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28"/>
        </w:trPr>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-7620</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5,081</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r>
      <w:tr>
        <w:trPr>
          <w:trHeight w:val="22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9"/>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551"/>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286,247,045</w:t>
            </w:r>
          </w:p>
        </w:tc>
        <w:tc>
          <w:tcPr>
            <w:tcW w:w="10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1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3,175</w:t>
            </w:r>
          </w:p>
        </w:tc>
        <w:tc>
          <w:tcPr>
            <w:tcW w:w="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3,360</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(3,588)</w:t>
            </w:r>
          </w:p>
        </w:tc>
        <w:tc>
          <w:tcPr>
            <w:tcW w:w="8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3,233</w:t>
            </w:r>
          </w:p>
        </w:tc>
        <w:tc>
          <w:tcPr>
            <w:tcW w:w="10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3,403</w:t>
            </w: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-1302385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-710565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-419735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-1010920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280" w:space="200"/>
            <w:col w:w="87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(731)</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 Impairment (Note 12)</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for Deferred Income Taxes (Note 7)</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Pension Curtailments and Settlements (Note 18)</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Rationalization Payments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Gains on Asset Sales (Note 2)</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Insurance Recoveries for Damaged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Expense (Note 15)</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Payments (Note 15)</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3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1,032</w:t>
            </w:r>
          </w:p>
        </w:tc>
        <w:tc>
          <w:tcPr>
            <w:tcW w:w="0" w:type="dxa"/>
            <w:vAlign w:val="bottom"/>
          </w:tcPr>
          <w:p>
            <w:pPr>
              <w:spacing w:after="0"/>
              <w:rPr>
                <w:sz w:val="1"/>
                <w:szCs w:val="1"/>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2)</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Dispositions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Securities Acquired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Notes Receivable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(1,035)</w:t>
            </w:r>
          </w:p>
        </w:tc>
        <w:tc>
          <w:tcPr>
            <w:tcW w:w="0" w:type="dxa"/>
            <w:vAlign w:val="bottom"/>
          </w:tcPr>
          <w:p>
            <w:pPr>
              <w:spacing w:after="0"/>
              <w:rPr>
                <w:sz w:val="1"/>
                <w:szCs w:val="1"/>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Debt Incurred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14,420</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Debt Paid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Issued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7"/>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7"/>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0" w:type="dxa"/>
            <w:vAlign w:val="bottom"/>
          </w:tcPr>
          <w:p>
            <w:pPr>
              <w:spacing w:after="0"/>
              <w:rPr>
                <w:sz w:val="1"/>
                <w:szCs w:val="1"/>
                <w:color w:val="auto"/>
              </w:rPr>
            </w:pPr>
          </w:p>
        </w:tc>
      </w:tr>
      <w:tr>
        <w:trPr>
          <w:trHeight w:val="25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30"/>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-2228215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-2228215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-4088130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-4088130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-7482840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-7482840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used in the preparation of the accompanying consolidated financial statements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Preparation of the consolidated financial statements requires management to make estimates and assumptions that affect amounts reported in the consolidated financial statements and notes. Actual results could differ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Issued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for the quarter ended June 30, 2025, we identified errors in our previously issued financial statements related to our historical computation of currency remeasurement of our foreign operations in Turkey, which was designated as a highly inflationary economy beginning April 1, 2022. Upon that designation, the operations and balance sheet in that country should be remeasured into our parent company reporting currency, with remeasurement gains and losses recognized in earnings to reflect the impact of currency translation on our financial results. Our computation did not reflect the full inflationary impact. The identified errors impacted our previously issued 2023 and 2024 annual and interim financial statements. There were no impacts on previously reported cash flows from operating, investing and financing activities in any prior periods.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 amounts presented in these financial statements to correct the errors. The applicable notes to the accompanying financial statements have also been corrected to reflect the impact of the revisions of the previously filed consolidated annual financial statements. A summary of the revisions to the previously issued financial information is included in Note to the Consolidated Financial Statements No. 23, Revision Of Previously Issued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2025, we adopted an Accounting Standards Update ("ASU") to improve disclosures required for income taxes, specifically related to existing rate reconciliation and income taxes paid information and the transparency of income tax disclosures by requiring consistent categories and greater disaggregation of information in the rate reconciliation and requiring income taxes paid to be disaggregated by jurisdiction. The prospective adoption of this standards update did not impact our consolidated financial statements; however, it resulted in changes to our consolidated financial statement disclosures primarily related to our effective tax rate reconciliation. Refer to Note to the Consolidated Financial Statements No. 7, Income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Financial Accounting Standards Board ("FASB") issued a final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2025, the FASB issued a final ASU to modernize the accounting for internal-use software. This update replaces the previous stage-based capitalization model with a principles-based approach, allowing capitalization of software development costs once management has authorized and committed funding and it is probable the project will be completed and perform its intended function. The ASU also consolidates guidance for website development under the internal-use software framework and expands applicability to cloud-based and agile development methods. The standards update is effective for fiscal years beginning after December 15, 2026, with early adoption permitted. We are currently assessing the impact of this standards update on our accounting policies and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68"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liabilities and other litigation,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rationalization plans,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operating allowances and accruals, based on currently available information.</w:t>
      </w:r>
    </w:p>
    <w:p>
      <w:pPr>
        <w:spacing w:after="0" w:line="117" w:lineRule="exact"/>
        <w:rPr>
          <w:sz w:val="20"/>
          <w:szCs w:val="20"/>
          <w:color w:val="auto"/>
        </w:rPr>
      </w:pPr>
    </w:p>
    <w:p>
      <w:pPr>
        <w:ind w:right="1720"/>
        <w:spacing w:after="0" w:line="375" w:lineRule="auto"/>
        <w:rPr>
          <w:sz w:val="20"/>
          <w:szCs w:val="20"/>
          <w:color w:val="auto"/>
        </w:rPr>
      </w:pPr>
      <w:r>
        <w:rPr>
          <w:rFonts w:ascii="Times New Roman" w:cs="Times New Roman" w:eastAsia="Times New Roman" w:hAnsi="Times New Roman"/>
          <w:sz w:val="18"/>
          <w:szCs w:val="18"/>
          <w:color w:val="auto"/>
        </w:rPr>
        <w:t xml:space="preserve">Changes in facts and circumstances may alter such estimates and affect results of operations and financial position in future periods. </w:t>
      </w:r>
      <w:r>
        <w:rPr>
          <w:rFonts w:ascii="Times New Roman" w:cs="Times New Roman" w:eastAsia="Times New Roman" w:hAnsi="Times New Roman"/>
          <w:sz w:val="18"/>
          <w:szCs w:val="18"/>
          <w:b w:val="1"/>
          <w:bCs w:val="1"/>
          <w:i w:val="1"/>
          <w:iCs w:val="1"/>
          <w:color w:val="auto"/>
        </w:rPr>
        <w:t>Revenue Recognition and Accounts Receivable Valuation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include, among other things, materials, equipment, compensation and contract services. These costs are expensed as incurred and included as a component of CGS. Research and development expenditures were $380 million, $426 million and $461 million in 2025,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20, Commitments and Contingent Liabilities.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Cleanup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 of the relevant costs. Our estimated liability is not discounted or reduced for possible recoveries from insurance carriers. Refer to Note to the Consolidated Financial Statements No. 20, Commitments and Contingent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 a liability for estimated legal and defense costs related to pending general and product liability claims, environmental matters and workers’ compensation claims. Refer to Note to the Consolidated Financial Statements No. 20, Commitments and Contingent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 for our cooperative advertising programs with dealers and franchisees, were $362 million, $327 million and $364 million in 2025,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contract termination and relocation costs. A liability for these costs is recognized in the period in which the liability is incurred. Rationalization actions related to accelerated depreciation or amortization, asset impairments, and non-cancelable leases, are recorded in CGS or SAG. Refer to Note to the Consolidated Financial Statements No. 4, Costs Associated with Rationalization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global intangible low-taxed income provisions, we will treat it as a component of income tax expense in the period incurred. Our policy is to utilize an item-by-item approach to release stranded income tax effects from Accumulated Other Comprehensive Loss ("AOCL"). Refer to Note to the Consolidated Financial Statements No. 7, Income Taxes.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Held for Sale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December 31, 2025, Assets Held for Sale of $58 million, related to the sale of the Dunlop tire inventory in Europe were included in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Balance Sheets. At December 31, 2024, assets classified as held for sale of $466 million and liabilities classified as held for sale of $51 million related to the sale of our off-the-road ("OTR") tire business were included within Assets Held for Sale and Other Current Liabilities, respectively, in the Consolidated Balance Sheets. Refer to Note to the Consolidated Financial Statements No. 2, Divestitures,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 Consolidated Statements of Cash Flows / Restricted Cash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2025, our cash investments with any single counterparty did not exceed approximately $205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$3 million, $8 million and $19 million originating in the years ended December 31, 2025, 2024 and 2023, respectively. Cash flows from investing activities in 2025 exclude $238 million of accrued capital expenditures remaining unpaid at December 31, 2025, and include payment for $302 million of capital expenditures that were accrued and unpaid at December 31, 2024. Cash flows from investing activities in 2024 exclude $302 million of accrued capital expenditures remaining unpaid at December 31, 2024, and include payment for $348 million of capital expenditures that were accrued and unpaid at December 31, 2023. Cash flows from investing activities in 2023 exclude $348 million of accrued capital expenditures remaining unpaid at December 31, 2023, and include payment for $324 million of capital expenditures that were accrued and unpaid at December 31, 2022.</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Restricted cash at December 31, 2025 also includes amounts collected in connection with ongoing agreements related to the sale of our OTR tire business. At December 31, 2025 and 2024, $109 million and $54 million was recorded in Prepaid Expenses and Other Current Assets in the Consolidated Balance Sheets,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2025, approximately $731 million of net assets were subject to such regulations or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11, Inventories.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 the carrying amount, then an impairment loss will be recorded for the difference between the carrying value and the fair value.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annual testing, impairment testing is conducted when events occur or circumstances change, including the macroeconomic environment, our business performance or our market capitalization,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12, Goodwill and Intangible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third-party insurance coverage for property damage, repair expenses and business interruption, subject to a $50 million deductible per occurrence. After consultation with our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for property damage and repair expenses as incurred. For business interruption recoveries, we do not record a receivable until the claim is substantially complete.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AOCL, net of tax. Our investments in TireHub, LLC (“TireHub”), a distribution joint venture in the U.S., and ACTR Company Limited ("ACTR"), a tire manufacturing joint venture in Vietnam, are accounted for under the equity method.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 Financial Statements No. 13, Other Assets and Investments, No. 17, Fair Value Measurements, and No. 22, Accumulated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$1,015 million, $1,011 million and $967 million in 2025, 2024 and 2023, respectively. Refer to Notes to the Consolidated Financial Statements No. 5, Interest Expense, and No. 14,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restrictive covenants. We have lease agreements with lease and non-lease components, which are accounted for separately.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 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15, Leases.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transact in U.S. dollars.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Investment Hedging — </w:t>
      </w:r>
      <w:r>
        <w:rPr>
          <w:rFonts w:ascii="Times New Roman" w:cs="Times New Roman" w:eastAsia="Times New Roman" w:hAnsi="Times New Roman"/>
          <w:sz w:val="18"/>
          <w:szCs w:val="18"/>
          <w:color w:val="auto"/>
        </w:rPr>
        <w:t>Nonderivative instruments denominated in foreign currencies are used from time to time to hedge net investments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Contracts — </w:t>
      </w:r>
      <w:r>
        <w:rPr>
          <w:rFonts w:ascii="Times New Roman" w:cs="Times New Roman" w:eastAsia="Times New Roman" w:hAnsi="Times New Roman"/>
          <w:sz w:val="18"/>
          <w:szCs w:val="18"/>
          <w:color w:val="auto"/>
        </w:rPr>
        <w:t>Gains and losses (including deferred gains and losses in AOCL) are recognized in Other (Income) Expense when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 of a hedged position, or that otherwise no longer qualify for hedge accounting, are recognized in Other (Income) Expense. Refer to Note to the Consolidated Financial Statements No. 16, Financing Arrangements and Derivative Financial Instruments.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 price of a share of our common stock on the date of the grant, modified as appropriate to take into account the features of such grants.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Assumptions used to estimate compensation expense are determined as follows:</w:t>
      </w:r>
    </w:p>
    <w:p>
      <w:pPr>
        <w:spacing w:after="0" w:line="54" w:lineRule="exact"/>
        <w:rPr>
          <w:sz w:val="20"/>
          <w:szCs w:val="20"/>
          <w:color w:val="auto"/>
        </w:rPr>
      </w:pPr>
    </w:p>
    <w:p>
      <w:pPr>
        <w:ind w:left="82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of time that options granted are expected to be outstanding based on our historical experience of option exercises;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equivalent to the implied yield on zero-coupon U.S. Treasury bonds with a remaining maturity equal to the expected term of the awards;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based substantially on the history of cancellations of similar awards granted in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to the Consolidated Financial Statements No. 19, Stock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8, Earnings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4" w:lineRule="exact"/>
        <w:rPr>
          <w:sz w:val="20"/>
          <w:szCs w:val="20"/>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 In certain cases where there is limited activity or less transparency around inputs to the valuation, securities would be classified within Level 3 of the valuation hierarchy.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traded less actively, would be classified within Level 3 of the valuation hierarchy. Refer to Notes to the Consolidated Financial Statements No. 16, Financing Arrangements and Derivative Financial Instruments, and No. 17, Fair Value Measurements.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gains on asset sales were $816 million, $93 million and $104 million for the years ended December 31, 2025, 2024 and 2023, respectively. None of our divestitures meet the criteria for presentation as discontinued operations as they do not represent a strategic shift that will have a major effect on our operations or financial results.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In conjunction with the sale of the OTR tire business, we entered into several ancillary agreements, including a trademark license agreement, whereby we license certain trademarks to Yokohama for an initial period of ten years from the date of the sale, a product supply agreement, pursuant to which we supply to Yokohama certain OTR tires for an initial period of up to five years, and a transition services agreement, pursuant to which we are providing certain support services for a period of up to eighteen months. The activity related to these agreements is primarily recorded in Prepaid Expenses and Other Current Assets and Other Current Liabilities in the Consolidated Balance Sheets.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transaction, considering the receipt of the purchase price of $905 million, subject to certain adjustments set forth in the OTR Purchase Agreement, amounts allocated to deferred income related to the trademark license agreement of $90 million, amounts allocated to deferred revenue related to the product supply agreement of $95 million, and transaction costs of $26 million, and based upon the net assets of the OTR tire business of $439 million, we recorded a pre-tax gain of $255 million. We estimated the fair value of the deferred income related to the trademark license agreement using the relief-from-royalty method, with the most critical assumptions based on projected revenue, royalty rate and discount rate. We estimated the fair value of the deferred revenue related to the product supply agreement using a cost-plus-margin approach, with the most critical assumption based on projected cost of goods sold. The pre-tax income from the assets sold included within the Consolidated Statements of Operations was $72 million and $69 million for the twelve months ended December 31, 2024 and 2023, respectively. These amounts exclude any ongoing obligations related to the product supply agreement and transition services agreement, as well as any amortization of deferred revenue or income.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continued to manufacture, sell and distribute Dunlop-branded consumer tires in Europe from the closing of the transaction until December 31, 2025, and during which we paid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which will be recognized upon transfer of title. We recognized an estimated pre-tax gain of $385 million based on the net assets sold of $133 million during the second quarter of 2025, net of transaction costs of $26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2025, we completed the $650 million sale of our polymer chemicals business (the “Chemical Business”) pursuant to the Asset Purchase Agreement (the “Chemical Purchase Agreement”) with G-3 Chickadee Purchaser, LLC, a Delaware limited liability company (the “Purchaser”). At the closing, we received gross cash proceeds of approximately $580 million, which reflects working capital adjustments, including an adjustment for intercompany receivables. The purchase price remains subject to customary post-closing adjustments as set forth in the Chemical Purchase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the liabilities assumed by the Purchaser are generally those primarily related to the Chemical Business, including our chemical plants in Houston, Texas and Beaumont, Texas and a research and development facility in Akron, Ohio.</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sale of the Chemical Business, we also entered into a number of ancillary agreements including (a) a master supply agreement, pursuant to which the Purchaser will, or will cause its affiliates to, supply to us certain polymer chemical products for a period of fifteen (15) years (the "Chemical Supply Agreement"), (b) a transition services agreement, pursuant to which we will provide certain transition services to the Purchaser for the Chemical Business for a period of up to eighteen (18) months, and (c) a patent and know-how license agreement, pursuant to which the Purchaser will license back to us certain intellectual property related to the Chemical Business for use in connection with certain retained businesses. The Chemical Supply Agreement is a take-or-pay contract which requires us to purchase minimum quantities on a quarterly basis.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transaction, considering the purchase price and related working capital adjustments, including an adjustment for intercompany receivables, of $580 million, amounts allocated to deferred income of $110 million and transaction costs of $29 million, and based upon the net assets of the Chemical Business of $337 million, we recognized an estimated pre-tax gain of approximately $104 million during the fourth quarter of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gains on asset sales for the year ended December 31, 2025 also included a $55 million gain ($26 million after-tax and minority) related to the sale of property in Asia Pacific and a $12 million gain related to the sale of Commercial Tire and Service Centers in Americas. Net gains on asset sales for the year ended December 31, 2024 were $93 million, primarily related to the sale of a distribution center in EMEA. Net gains on asset sales for the year ended December 31, 2023 were $104 million, primarily related to gains on sale and leaseback transactions of $88 million, with the remainder relating to the sale and exit of certain retail locations in Americas.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5,550</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18,280</w:t>
            </w: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5,425</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18,878</w:t>
            </w: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7"/>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5,606</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in 2025 primarily consist of tires sold to Yokohama pursuant to our product supply agreement.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$34 million and $13 million at December 31, 2025 and 2024, respectively. Deferred revenue included in Other Long Term Liabilities in the Consolidated Balance Sheets totaled $76 million and $6 million at December 31, 2025 and 2024, respectively. We recognize deferred revenue after we have transferred control of the goods or services to the customer and all revenue recognition criteria are met. Revenue deferred during 2025 primarily relates to the product supply agreement we entered into in connection with the sale of our OTR tire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deferred revenue related to contracts with customers, and changes during the year ended December 31:</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9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8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8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-33655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-213995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-908050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Costs Associated with Rationalization Programs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roll-forward of the liability balance between periods: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6"/>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Associate-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 Costs</w:t>
            </w: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Costs</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6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charges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$14 million and $0 million, respectively</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6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charges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$(24) million and $(1) million, respectively</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6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charges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$38 million and $1 million, respectively</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6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7"/>
        </w:trPr>
        <w:tc>
          <w:tcPr>
            <w:tcW w:w="66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-16510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-16510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-873760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-873760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-1567815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-1567815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-2262505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-2262505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Charges of $211 million exclude $4 million of benefit plan termination benefit charges recorded in Rationalizations in the Statement of Operations.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approved a plan to reduce headcount in our Fayetteville, North Carolina tire manufacturing facility. The proposed plan includes approximately 300 net headcount reductions. Total estimated pre-tax charges are expected to be approximately $17 million. We have accrued approximately $10 million for this plan at December 31,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we approved a plan to close our manufacturing facility in Kariega, South Africa in the EMEA business unit in the third quarter of 2025. The plan includes approximately 900 job reductions, including associates and contracted positions. The total charges associated with this action are expected to be between $100 million and $110 million, of which $45 million to $55 million are expected to be cash charges primarily for associate-related and other exit costs and the remaining costs are expected to be non-cash charges primarily for accelerated depreciation and other asset-related charges. We have accrued approximately $4 million for this plan at December 31, 2025.</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approved a rationalization plan to eliminate our production of commercial tires in our Danville, Virginia tire manufacturing facility ("Danville") in the second quarter of 2025 in order to reduce our production cost per tire in Americas. The plan includes approximately 950 job reductions, including associates and contracted positions. Total pre-tax charges are expected to be between $150 million and $160 million, of which $70 million to $80 million are expected to be cash charges primarily for associate-related and other exit costs and the remaining costs are expected to be non-cash charges primarily for accelerated depreciation, pension termination benefit charges and other asset-related charges. We have accrued approximately $13 million for this plan at December 31, 2025.</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approved a plan to reduce SAG headcount in Americas and Corporate. The plan includes approximately 80 net headcount reductions. Total estimated pre-tax charges are expected to be approximately $6 million. We have accrued approximately $1 million for this plan at December 31,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remainder of the accrual balance at December 31, 2025 includes $102 million related to the closures of our Fulda, Germany ("Fulda") and our Fürstenwalde, Germany ("Fürstenwalde") tire manufacturing facilities, $41 million related to a rationalization and workforce reorganization plan in EMEA, which reflects $13 million of reversals due to voluntary attrition, $5 million related to the closed Amiens, France tire manufacturing facility, and various other plans to reduce headcount and improve operating efficiency.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December 31, 2024, $193 million and $296 million were recorded in Other Current Liabilities in the Consolidated Balance Sheets,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10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10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6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1020" w:type="dxa"/>
            <w:vAlign w:val="bottom"/>
            <w:tcBorders>
              <w:bottom w:val="single" w:sz="8" w:color="CFF0FC"/>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1020" w:type="dxa"/>
            <w:vAlign w:val="bottom"/>
            <w:tcBorders>
              <w:bottom w:val="single" w:sz="8" w:color="CFF0FC"/>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6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1020" w:type="dxa"/>
            <w:vAlign w:val="bottom"/>
            <w:tcBorders>
              <w:bottom w:val="single" w:sz="8" w:color="CFF0FC"/>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1020" w:type="dxa"/>
            <w:vAlign w:val="bottom"/>
            <w:tcBorders>
              <w:top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r>
      <w:tr>
        <w:trPr>
          <w:trHeight w:val="27"/>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net</w:t>
            </w:r>
          </w:p>
        </w:tc>
        <w:tc>
          <w:tcPr>
            <w:tcW w:w="1020" w:type="dxa"/>
            <w:vAlign w:val="bottom"/>
            <w:tcBorders>
              <w:bottom w:val="single" w:sz="8" w:color="CFF0FC"/>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-599440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-599440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-1293495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-1293495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-1979295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-1979295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new charges in 2025 relate to future cash outflows. Current year plan charges for the year ended December 31, 2025 relate to the new plans approved during 2025 that are described above.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prior year plan charges for the year ended December 31, 2025 include $61 million related to the closures of Fulda and Fürstenwalde, $9 million related to the rationalization and workforce reorganization plan in EMEA, $5 million related to the closure of our Melksham, United Kingdom tire manufacturing facility ("Melksham"), $4 million related to plans to reduce SAG headcount, $4 million related to the closure of certain retail and warehouse locations in Americas, $3 million related to the plan to open a shared service center in Costa Rica and to exit certain Commercial Tire and Service Center ("CTSC") locations, and reversals of $20 million primarily related to voluntary attrition in our rationalization and workforce reorganization plan in EMEA.</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$950 million in rationalization charges through 2025 and approximately $100 million is expected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2,200 associates will be released under new plans initiated in 2025, of which approximately 1,750 were released through December 31, 2025. In 2025, approximately 1,800 associates were released under plans initiated in prior years. Approximately 1,000 associates remain to be released under all ongoing rationalization plans.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Rationalization activities initiated in 2024 include current year charges primarily related to the plans to reduce SAG and manufacturing costs, a plan to open a shared service center in Costa Rica and to exit certain CTSC locations and the closure of our Malaysia tire manufacturing facility. Net prior year plan charges recognized in the year ended December 31, 2024 include $52 million related to the closures of Fulda and Fürstenwalde, $15 million related to the rationalization and workforce organization plan in EMEA, $11 million related to the closure of Melksham, $4 million related to the closure of certain retail and warehouse locations in Americas, $3 million related to the permanent closure of our Gadsden, Alabama tire manufacturing facility ("Gadsden"), $3 million related to a plan to reduce SAG headcount globally, $3 million related to the plan to streamline our EMEA distribution network, and reversals of $45 million primarily related to voluntary attrition in our rationalization and workforce reorganization plan in EMEA.</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Rationalization activities initiated in 2023 include current year charges primarily related to the Goodyear Forward plan that resulted in the closure of certain retail and warehouse locations, primarily in Americas, the rationalization and workforce reorganization plan in EMEA to improve our cost structure, the closures of Fulda and Fürstenwalde and a plan to improve profitability in Australia and New Zealand. Net prior year plan charges recognized in the year ended December 31, 2023 include $16 million related to the closure of Melksham, $9 million related to the integration of Cooper Tire, $6 million related to the permanent closure of Gadsden, $2 million related to a plan in South Africa, and $2 million related to discontinued operations in Russia. Net prior plan charges also include reversals of $8 million for actions no longer needed for their originally intended purposes.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 (recoveries), accelerated depreciation, and accelerated lease costs in 2025 primarily relate to the announced closures of our Fulda, Fürstenwalde and South Africa tire manufacturing facilities, and the announced elimination of commercial tire production at Danville. Asset write-off, accelerated depreciation, and accelerated lease charges for 2025 were primarily recorded in CGS.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 (recoveries), accelerated depreciation, and accelerated lease costs in 2024 primarily related to plans to improve our cost structure through the closures of our Fulda, Fürstenwalde and Malaysia tire manufacturing facilities, as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well as the closure of a development center and warehouse in the U.S. Asset write-off, accelerated depreciation, and accelerated lease charges for 2024 were primarily recorded in CGS.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 (recoveries) and accelerated depreciation in 2023 primarily related to the integration of Cooper Tire, the closure of Melksham, and the announced closures of Fulda and Fürstenwalde, partially offset by recoveries of previously written-off accounts receivable and other assets in Russia. Asset write-off and accelerated depreciation charges for 2023 were primarily recorded in CGS.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and the amortization of deferred financing fees and debt discounts, less amounts capitalized,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before capitalization</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559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Pr>
          <w:p>
            <w:pPr>
              <w:spacing w:after="0"/>
              <w:rPr>
                <w:sz w:val="21"/>
                <w:szCs w:val="21"/>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(27)</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b w:val="1"/>
                <w:bCs w:val="1"/>
                <w:color w:val="auto"/>
              </w:rPr>
              <w:t>445</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b w:val="1"/>
                <w:bCs w:val="1"/>
                <w:color w:val="auto"/>
              </w:rPr>
              <w:t>532</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-565150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 were $414 million, $515 million and $514 million in 2025,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(Income)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losses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and 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expense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-1422400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-1422400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includes pension settlement charges of $201 million in 2025, a net pension settlement credit of $3 million in 2024, and pension settlement charges of $40 million in 2023. For further information, refer to Note to the Consolidated Financial Statements No. 18, Pension, Savings and Other Postretirement Benefit Plans.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foreign currency exchange losses include losses of $8 million, $5 million and $80 million related to the Argentine peso in 2025, 2024 and 2023, respectively, losses of $20 million and $7 million related to the Turkish lira in 2025 and 2024, respectively, and a $12 million gain related to the euro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includes interest income in Argentina of $3 million, $6 million and $44 million in 2025, 2024 and 2023,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Royalty and other income in 2025 includes $27 million, primarily related to royalty income, and $37 million related to royalty income from the OTR tire business and Chemical Business license agreements and transition services income from the OTR tire business and the Dunlop brand transition services agreements. Royalty and other income for 2024 and 2023 is primarily related to royalty income.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Miscellaneous (income) expense in 2024 includes $19 million of transaction costs related to the sale of the OTR tire business and an $8 million loss related to the sale of receivables in Argentina. Miscellaneous (income) expense in 2023 includes non-indemnified costs for product liability claims related to products manufactured by a formerly consolidated joint venture entity totaling $31 million and a $10 million loss related to the sale of a receivable in Argentina, partially offset by $5 million of income for the write-off of accumulated foreign currency translation related to our exited business in Russia. Miscellaneous (income) expense in 2023 also includes $11 million of income related to a favorable court decision setting aside a previous unfavorable verdict on intellectual property-related legal claims.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primarily due to accounts receivable factoring programs; and general and product liability expense - discontinued products, which consists of charges for claims against us related primarily to asbestos personal injury claims, net of probable insurance recoveries.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follow: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center"/>
              <w:ind w:left="615"/>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6"/>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6"/>
              </w:rPr>
              <w:t>130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-565150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-565150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adoption of ASU 2023-09, a reconciliation of income taxes at the U.S. statutory rate to United States and Foreign Tax Expense for the year ended December 31, 2025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2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80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4"/>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Luxembourg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r>
      <w:tr>
        <w:trPr>
          <w:trHeight w:val="243"/>
        </w:trPr>
        <w:tc>
          <w:tcPr>
            <w:tcW w:w="8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Rate differential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0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(1,173.7)%</w:t>
            </w: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-33655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360" w:right="20" w:hanging="334"/>
        <w:spacing w:after="0" w:line="229" w:lineRule="auto"/>
        <w:tabs>
          <w:tab w:leader="none" w:pos="215"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taxes in Pennsylvania, Illinois, Michigan, Kansas, California, Louisiana and Georgia made up the majority (greater than 50 percent) of the tax effect in this category.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prior to the adoption of ASU 2023-09, a reconciliation of income taxes at the U.S. statutory rate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and Foreign Tax Expense for the years then ended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940" w:type="dxa"/>
            <w:vAlign w:val="bottom"/>
            <w:tcBorders>
              <w:bottom w:val="single" w:sz="8" w:color="CFF0FC"/>
            </w:tcBorders>
          </w:tcPr>
          <w:p>
            <w:pPr>
              <w:spacing w:after="0"/>
              <w:rPr>
                <w:sz w:val="3"/>
                <w:szCs w:val="3"/>
                <w:color w:val="auto"/>
              </w:rPr>
            </w:pPr>
          </w:p>
        </w:tc>
        <w:tc>
          <w:tcPr>
            <w:tcW w:w="54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losses with no tax due to valuation allowances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for foreign income taxed at different rates and nontaxable foreign items</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charges (benefits) related to foreign tax credits, R&amp;D and foreign derived intangible deduction</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uncertain tax positions</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of foreign valuation allowances and write-off of deferred taxes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of U.S. valuation allowances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9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United States and Foreign Tax Expense by taxing jurisdiction, follow:</w:t>
            </w:r>
          </w:p>
        </w:tc>
        <w:tc>
          <w:tcPr>
            <w:tcW w:w="9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940" w:type="dxa"/>
            <w:vAlign w:val="bottom"/>
            <w:tcBorders>
              <w:bottom w:val="single" w:sz="8" w:color="CFF0FC"/>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-2408555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-2588260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-4311015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-1259840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-1259840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-1945640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-1945640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 2025 was $1,567 million on a loss before income taxes of $133 million. In 2025, income tax expense includes net discrete tax expense totaling $1,453 million. Discrete tax expense was primarily related to the establishment of a full valuation allowance on our net deferred tax assets in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income tax expense was $95 million on income before income taxes of $130 million and includes net discrete tax benefits totaling $2 million.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income tax expense was $10 million on a loss before income taxes of $721 million and includes net discrete tax benefits totaling $9 million, primarily related to additional prior year withholding tax creditable in the U.S. as a result of a tax law change.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U.S., we had a cumulative loss for the three-year period ending December 31, 2025 primarily driven by non-recurring items such as goodwill and intangible asset impairments, rationalization charges, pension curtailments and settlements, and one-time costs associated with the Goodyear Forward plan. During 2025, industry disruption and various macroeconomic factors such as the impact of tariff, transportation, labor and energy costs have negatively impacted our</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operating results and future forecasted U.S. earnings. In addition, the One Big Beautiful Bill Act ("OBBBA") amended the business interest expense limitation. The reduction in current and expected future earnings, as a result of industry disruption, represented significant negative evidence in the assessment of the realizability of our deferred tax assets. We concluded that it is more likely than not that our U.S. net deferred tax assets will not be fully realized and recorded a non-cash charge of $1.4 billion to establish a full valuation allowance in the U.S. during the third quarter of 2025. We intend to maintain a valuation allowance until sufficient positive evidence exists to support realization of these deferred tax assets. At December 31, 2025 and December 31, 2024, we had approximately $1.4 billion and $1.3 billion of U.S. federal, state and local net deferred tax assets, respectively, and related valuation allowances totaling $1.4 billion and $26 million, respectively.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and December 31, 2024, we also had approximately $1.5 billion of foreign net deferred tax assets and related valuation allowances of approximately $1.3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OBBBA was enacted in the U.S. The OBBBA includes significant provisions, such as the permanent extension of certain expiring provisions of the Tax Cuts and Jobs Act, modifications to the international tax framework, and the restoration of tax treatment for certain business provisions. We did not have a material impact from OBBBA on our 2025 operating tax rates. We will continue to assess the impact on us as regulations develop in the future.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2025. The model rules include minimum domestic top-up taxes, income inclusion rules and undertaxed profit rules, all aimed to ensure that multinational corporations pay a minimum effective corporate tax rate of 15% in each jurisdiction in which they operate. The Pillar Two model rules did not materially impact our annual effective tax rate in 2025.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giving rise to deferred tax assets and liabilities at December 31 follow: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20" w:type="dxa"/>
            <w:vAlign w:val="bottom"/>
            <w:tcBorders>
              <w:bottom w:val="single" w:sz="8" w:color="CFF0FC"/>
            </w:tcBorders>
          </w:tcPr>
          <w:p>
            <w:pPr>
              <w:spacing w:after="0"/>
              <w:rPr>
                <w:sz w:val="3"/>
                <w:szCs w:val="3"/>
                <w:color w:val="auto"/>
              </w:rPr>
            </w:pPr>
          </w:p>
        </w:tc>
        <w:tc>
          <w:tcPr>
            <w:tcW w:w="28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loss carryforwards and credits</w:t>
            </w:r>
          </w:p>
        </w:tc>
        <w:tc>
          <w:tcPr>
            <w:tcW w:w="320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deductible as paid</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royalty income</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prepayments income</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Postretirement benefits and pensions</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and other provisions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and sick pay</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28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spacing w:after="0"/>
              <w:rPr>
                <w:sz w:val="21"/>
                <w:szCs w:val="21"/>
                <w:color w:val="auto"/>
              </w:rPr>
            </w:pP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3,077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28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property basis differences related to Cooper Tire acquisition</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286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53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3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-1464945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-3882390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we had a valuation allowance of $1,428 million for all U.S. federal and state deferred tax assets as recovery is uncertain. Approximately $228 million of our U.S. federal and state tax assets had limited lives, primarily for net operating loss and tax credit carryforwards that are subject to expiration from 2026 to 2046. At December 31, 2025, we had $1,083 million of tax assets for net operating loss, capital loss and tax credit carryforwards related to certain foreign subsidiaries. These carryforwards are primarily from countries with unlimited carryforward periods, but include $84 million of tax credit carryforwards in various European countries that are subject to expiration from 2026 to 2035. A valuation allowance totaling $1,306 million has been recorded against these and other deferred tax assets where recovery of the asset or carryforward is uncertain.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we had unrecognized tax benefits of $107 million that, if recognized, would have a favorable impact on our tax expense of $78 million. We had accrued interest of $1 million as of December 31, 2025. If not favorably settled, $22 million of the unrecognized tax benefits and all the accrued interest would require the use of our cash. A summary of our unrecognized tax benefits and changes during the year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92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center"/>
              <w:ind w:left="712"/>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-1422400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-1422400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U.S. from 2021 onward and in Germany from 2018 onward. Generally, for our remaining tax jurisdictions, years from 2020 onward are still open to examination.</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an audit by the Internal Revenue Service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We are currently challenging the proposed adjustment through established IRS administrative procedures and are engaging in settlement discussions with the IRS. If the income recognition associated with the transaction is disallowed in full or in part, we will not be able to use a portion of the deferred tax assets that we utilized to offset the related federal taxes and we will need to write-off those deferred tax assets. However, since our U.S. deferred tax assets are in a full valuation allowance as of December 31, 2025, any such write-off of deferred tax assets would not have a material impact on our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concluded that no provision for tax in the U.S. is required on undistributed earnings and profits of our foreign subsidiaries because substantially all has been or will be reinvested in property, plant and equipment and working capital outside of the U.S. A foreign withholding tax charge would be required if these earnings and profits were distributed to the U.S. We estimate the foreign withholding tax charge to be approximately $100 million (net of foreign tax credits) using various assumptions. Future events, including changes in our business operations and tax law changes, could impact our current estimate.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adoption of ASU 2023-09, below is a summary of income taxes paid, net of refunds received, by jurisdiction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00" w:type="dxa"/>
            <w:vAlign w:val="bottom"/>
          </w:tcPr>
          <w:p>
            <w:pPr>
              <w:spacing w:after="0"/>
              <w:rPr>
                <w:sz w:val="16"/>
                <w:szCs w:val="16"/>
                <w:color w:val="auto"/>
              </w:rPr>
            </w:pPr>
          </w:p>
        </w:tc>
        <w:tc>
          <w:tcPr>
            <w:tcW w:w="2180" w:type="dxa"/>
            <w:vAlign w:val="bottom"/>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60" w:type="dxa"/>
            <w:vAlign w:val="bottom"/>
            <w:tcBorders>
              <w:bottom w:val="single" w:sz="8" w:color="CFF0FC"/>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44"/>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700" w:type="dxa"/>
            <w:vAlign w:val="bottom"/>
            <w:tcBorders>
              <w:bottom w:val="single" w:sz="8" w:color="CFF0FC"/>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7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360" w:type="dxa"/>
            <w:vAlign w:val="bottom"/>
            <w:tcBorders>
              <w:bottom w:val="single" w:sz="8" w:color="CFF0FC"/>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U.S.</w:t>
            </w:r>
          </w:p>
        </w:tc>
        <w:tc>
          <w:tcPr>
            <w:tcW w:w="700" w:type="dxa"/>
            <w:vAlign w:val="bottom"/>
            <w:tcBorders>
              <w:bottom w:val="single" w:sz="8" w:color="CFF0FC"/>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70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3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70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7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3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70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83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CFF0FC"/>
            </w:tcBorders>
            <w:shd w:val="clear" w:color="auto" w:fill="CFF0FC"/>
          </w:tcPr>
          <w:p>
            <w:pPr>
              <w:spacing w:after="0"/>
              <w:rPr>
                <w:sz w:val="23"/>
                <w:szCs w:val="23"/>
                <w:color w:val="auto"/>
              </w:rPr>
            </w:pP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w:t>
            </w: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7"/>
        </w:trPr>
        <w:tc>
          <w:tcPr>
            <w:tcW w:w="8360" w:type="dxa"/>
            <w:vAlign w:val="bottom"/>
            <w:tcBorders>
              <w:bottom w:val="single" w:sz="8" w:color="CFF0FC"/>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8"/>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0"/>
        </w:trPr>
        <w:tc>
          <w:tcPr>
            <w:tcW w:w="8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218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prior to the adoption of ASU 2023-09, net cash payments for income taxes were $170 million and $200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-2082165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-2082165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Weighted average shares outstanding — diluted for 2025 excludes approximately 3 million equivalent shares related to options with exercise prices greater than the average market price of our common shares (i.e., "underwater" options). There were approximately 1 million equivalent shares and 2 million equivalent shares related to underwater options for 2024 and 2023, respectively. Additionally, weighted average shares outstanding — diluted for 2025 also excludes approximately 2 million equivalent shares, related primarily to options with exercise prices less than the average market price of our common shares (i.e., "in-the-money" options) and unvested restricted stock units, as their inclusion would have been anti-dilutive due to the Goodyear net loss. There were approximately 2 million equivalent shares related to in-the-money options and unvested restricted stock units for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year ended December 31, 2025, we operated our business through operating segments representing our regional tire businesses: Americas; Europe, Middle East and Africa; and Asia Pacific. Segment information is reported on the basis used for reporting to our Chief Executive Officer. Each of the SBUs is involved in the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manufacture, distribution and sale of tires. Certain of the SBUs also provide related products and services, which include retreads and automotive and commercial truck maintenance and repair services.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 and in the compensation of certain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operating income, and the reconciliation of segment operating income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6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18,280</w:t>
            </w: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w:t>
            </w: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Impairments (Note 12)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(Note 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(Note 6)</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 on asset sales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and accelerated depreciation, net (Note 4)</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50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CFF0FC"/>
            </w:tcBorders>
          </w:tcPr>
          <w:p>
            <w:pPr>
              <w:spacing w:after="0"/>
              <w:rPr>
                <w:sz w:val="23"/>
                <w:szCs w:val="23"/>
                <w:color w:val="auto"/>
              </w:rPr>
            </w:pPr>
          </w:p>
        </w:tc>
        <w:tc>
          <w:tcPr>
            <w:tcW w:w="1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4"/>
        </w:trPr>
        <w:tc>
          <w:tcPr>
            <w:tcW w:w="5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r>
      <w:tr>
        <w:trPr>
          <w:trHeight w:val="27"/>
        </w:trPr>
        <w:tc>
          <w:tcPr>
            <w:tcW w:w="50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-1902460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-1902460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-1902460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-2973705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-2973705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-2973705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60" w:right="480" w:hanging="334"/>
        <w:spacing w:after="0" w:line="229" w:lineRule="auto"/>
        <w:tabs>
          <w:tab w:leader="none" w:pos="217"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144" w:lineRule="exact"/>
        <w:rPr>
          <w:rFonts w:ascii="Times New Roman" w:cs="Times New Roman" w:eastAsia="Times New Roman" w:hAnsi="Times New Roman"/>
          <w:sz w:val="23"/>
          <w:szCs w:val="23"/>
          <w:color w:val="auto"/>
          <w:vertAlign w:val="superscript"/>
        </w:rPr>
      </w:pPr>
    </w:p>
    <w:p>
      <w:pPr>
        <w:ind w:left="360" w:right="20" w:hanging="334"/>
        <w:spacing w:after="0" w:line="229" w:lineRule="auto"/>
        <w:tabs>
          <w:tab w:leader="none" w:pos="23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and other income attributable to the strategic business units ("SBUs"). Other also includes $15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-659130</wp:posOffset>
            </wp:positionV>
            <wp:extent cx="9429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w:t>
            </w: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Impairments (Note 12)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(Note 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(Note 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 on asset sales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write-offs and accelerated depreciation, net (Note 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27"/>
        </w:trPr>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-1902460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-1902460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-1902460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-2973705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-2973705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-2973705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144" w:lineRule="exact"/>
        <w:rPr>
          <w:rFonts w:ascii="Times New Roman" w:cs="Times New Roman" w:eastAsia="Times New Roman" w:hAnsi="Times New Roman"/>
          <w:sz w:val="22"/>
          <w:szCs w:val="22"/>
          <w:color w:val="auto"/>
          <w:vertAlign w:val="superscript"/>
        </w:rPr>
      </w:pPr>
    </w:p>
    <w:p>
      <w:pPr>
        <w:ind w:left="360" w:right="40" w:hanging="334"/>
        <w:spacing w:after="0" w:line="229" w:lineRule="auto"/>
        <w:tabs>
          <w:tab w:leader="none" w:pos="23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$105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-521970</wp:posOffset>
            </wp:positionV>
            <wp:extent cx="9429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6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6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w:t>
            </w: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16,514</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Impairments (Note 12)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(Note 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(Note 6)</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 on asset sales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and accelerated depreciation, net (Note 4)</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0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CFF0FC"/>
            </w:tcBorders>
          </w:tcPr>
          <w:p>
            <w:pPr>
              <w:spacing w:after="0"/>
              <w:rPr>
                <w:sz w:val="23"/>
                <w:szCs w:val="23"/>
                <w:color w:val="auto"/>
              </w:rPr>
            </w:pPr>
          </w:p>
        </w:tc>
        <w:tc>
          <w:tcPr>
            <w:tcW w:w="1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5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r>
      <w:tr>
        <w:trPr>
          <w:trHeight w:val="27"/>
        </w:trPr>
        <w:tc>
          <w:tcPr>
            <w:tcW w:w="50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-1902460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-1902460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-2973705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-2973705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125" w:lineRule="exact"/>
        <w:rPr>
          <w:rFonts w:ascii="Times New Roman" w:cs="Times New Roman" w:eastAsia="Times New Roman" w:hAnsi="Times New Roman"/>
          <w:sz w:val="22"/>
          <w:szCs w:val="22"/>
          <w:color w:val="auto"/>
          <w:vertAlign w:val="superscript"/>
        </w:rPr>
      </w:pPr>
    </w:p>
    <w:p>
      <w:pPr>
        <w:ind w:left="200" w:hanging="174"/>
        <w:spacing w:after="0"/>
        <w:tabs>
          <w:tab w:leader="none" w:pos="2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unallocated corporate costs and the elimination of royalty income attributable to the SBUs.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-385445</wp:posOffset>
            </wp:positionV>
            <wp:extent cx="9429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17,319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18,530</w:t>
            </w:r>
          </w:p>
        </w:tc>
      </w:tr>
      <w:tr>
        <w:trPr>
          <w:trHeight w:val="270"/>
        </w:trPr>
        <w:tc>
          <w:tcPr>
            <w:tcW w:w="81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43"/>
        </w:trPr>
        <w:tc>
          <w:tcPr>
            <w:tcW w:w="8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18,208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r>
      <w:tr>
        <w:trPr>
          <w:trHeight w:val="27"/>
        </w:trPr>
        <w:tc>
          <w:tcPr>
            <w:tcW w:w="81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ind w:left="200" w:hanging="174"/>
        <w:spacing w:after="0" w:line="230" w:lineRule="auto"/>
        <w:tabs>
          <w:tab w:leader="none" w:pos="2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includes substantially all of our U.S. 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-144780</wp:posOffset>
            </wp:positionV>
            <wp:extent cx="19456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any individual country outside the United States to be significant to the consolidated financial statements. For long-lived assets, only the United States and China were considered to be significant.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-1782445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-1782445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significant concentrations of cash and cash equivalents held by our international subsidiaries included the following amounts:</w:t>
      </w:r>
    </w:p>
    <w:p>
      <w:pPr>
        <w:spacing w:after="0" w:line="117" w:lineRule="exact"/>
        <w:rPr>
          <w:sz w:val="20"/>
          <w:szCs w:val="20"/>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million or 37% in EMEA, primarily Luxembourg and Belgium ($193 million or 24% at December 31, 2024),</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or 26% in Asia Pacific, primarily China, India and Taiwan ($242 million or 30% at December 31, 2024),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million or 26% in Americas, primarily Brazil, Chile and Mexico ($199 million or 25% at December 31,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 impairment, as described in Note to the Consolidated Financial Statements No. 12, Goodwill and Intangible Assets; rationalizations, as described in Note to the Consolidated Financial Statements No. 4, Costs Associated with Rationalization Programs; net (gains) losses on asset sales, as described in Note to the Consolidated Financial Statements No. 2, Divestitures; and asset write-offs, accelerated depreciation and accelerated lease costs were not charged (credited) to the SBUs for performance evaluation purposes but were attributable to the SBUs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FF0FC"/>
            </w:tcBorders>
          </w:tcPr>
          <w:p>
            <w:pPr>
              <w:spacing w:after="0"/>
              <w:rPr>
                <w:sz w:val="3"/>
                <w:szCs w:val="3"/>
                <w:color w:val="auto"/>
              </w:rPr>
            </w:pPr>
          </w:p>
        </w:tc>
        <w:tc>
          <w:tcPr>
            <w:tcW w:w="14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Intangible Asset Impairment</w:t>
            </w:r>
          </w:p>
        </w:tc>
        <w:tc>
          <w:tcPr>
            <w:tcW w:w="14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7"/>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Goodwill and Intangible Asset Impairment</w:t>
            </w:r>
          </w:p>
        </w:tc>
        <w:tc>
          <w:tcPr>
            <w:tcW w:w="14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FF0FC"/>
            </w:tcBorders>
          </w:tcPr>
          <w:p>
            <w:pPr>
              <w:spacing w:after="0"/>
              <w:rPr>
                <w:sz w:val="3"/>
                <w:szCs w:val="3"/>
                <w:color w:val="auto"/>
              </w:rPr>
            </w:pPr>
          </w:p>
        </w:tc>
        <w:tc>
          <w:tcPr>
            <w:tcW w:w="14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14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4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182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CFF0FC"/>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51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-3025140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-3025140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-2013585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-2013585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on Asset Sales</w:t>
            </w: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Gains on Asset Sales</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 Costs, net</w:t>
            </w: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0" w:type="dxa"/>
            <w:vAlign w:val="bottom"/>
            <w:shd w:val="clear" w:color="auto" w:fill="CFF0FC"/>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 Accelerated Lease</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shd w:val="clear" w:color="auto" w:fill="CFF0FC"/>
          </w:tcPr>
          <w:p>
            <w:pPr>
              <w:spacing w:after="0"/>
              <w:rPr>
                <w:sz w:val="17"/>
                <w:szCs w:val="17"/>
                <w:color w:val="auto"/>
              </w:rPr>
            </w:pP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58"/>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Costs, net</w:t>
            </w:r>
          </w:p>
        </w:tc>
        <w:tc>
          <w:tcPr>
            <w:tcW w:w="360" w:type="dxa"/>
            <w:vAlign w:val="bottom"/>
            <w:tcBorders>
              <w:bottom w:val="single" w:sz="8" w:color="auto"/>
            </w:tcBorders>
            <w:vMerge w:val="continue"/>
            <w:shd w:val="clear" w:color="auto" w:fill="CFF0FC"/>
          </w:tcPr>
          <w:p>
            <w:pPr>
              <w:spacing w:after="0"/>
              <w:rPr>
                <w:sz w:val="22"/>
                <w:szCs w:val="22"/>
                <w:color w:val="auto"/>
              </w:rPr>
            </w:pPr>
          </w:p>
        </w:tc>
        <w:tc>
          <w:tcPr>
            <w:tcW w:w="112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vMerge w:val="continue"/>
            <w:shd w:val="clear" w:color="auto" w:fill="CFF0FC"/>
          </w:tcPr>
          <w:p>
            <w:pPr>
              <w:spacing w:after="0"/>
              <w:rPr>
                <w:sz w:val="22"/>
                <w:szCs w:val="22"/>
                <w:color w:val="auto"/>
              </w:rPr>
            </w:pPr>
          </w:p>
        </w:tc>
        <w:tc>
          <w:tcPr>
            <w:tcW w:w="104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vMerge w:val="continue"/>
            <w:shd w:val="clear" w:color="auto" w:fill="CFF0FC"/>
          </w:tcPr>
          <w:p>
            <w:pPr>
              <w:spacing w:after="0"/>
              <w:rPr>
                <w:sz w:val="22"/>
                <w:szCs w:val="22"/>
                <w:color w:val="auto"/>
              </w:rPr>
            </w:pPr>
          </w:p>
        </w:tc>
        <w:tc>
          <w:tcPr>
            <w:tcW w:w="1140" w:type="dxa"/>
            <w:vAlign w:val="bottom"/>
            <w:tcBorders>
              <w:bottom w:val="single" w:sz="8" w:color="auto"/>
            </w:tcBorders>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-7037070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-7037070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-7722870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-7722870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-6145530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-6145530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-4259580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-4259580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-2682240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-2682240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-899160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-899160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Accounts Receivable</w:t>
      </w:r>
    </w:p>
    <w:p>
      <w:pPr>
        <w:sectPr>
          <w:pgSz w:w="11900" w:h="16838" w:orient="portrait"/>
          <w:cols w:equalWidth="0" w:num="1">
            <w:col w:w="11240"/>
          </w:cols>
          <w:pgMar w:left="320" w:top="114" w:right="339" w:bottom="1440" w:gutter="0" w:footer="0" w:header="0"/>
        </w:sect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33020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3">
            <w:col w:w="7780" w:space="720"/>
            <w:col w:w="860" w:space="720"/>
            <w:col w:w="116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Inventories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-1448435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-1628140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-736600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6"/>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5"/>
                <w:szCs w:val="15"/>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Divestitures</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5"/>
                <w:szCs w:val="15"/>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center"/>
              <w:ind w:left="835"/>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center"/>
              <w:ind w:left="77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center"/>
              <w:ind w:left="835"/>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Pr>
          <w:p>
            <w:pPr>
              <w:spacing w:after="0"/>
              <w:rPr>
                <w:sz w:val="20"/>
                <w:szCs w:val="20"/>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 the goodwill allocated to the sale of the Chemical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Divestitures</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9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781</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540" w:right="5220" w:hanging="5532"/>
        <w:spacing w:after="0" w:line="444" w:lineRule="auto"/>
        <w:tabs>
          <w:tab w:leader="none" w:pos="326"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reflect the goodwill allocated to the sale of the OTR tire business.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intangible assets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19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1"/>
        </w:trPr>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1960" w:type="dxa"/>
            <w:vAlign w:val="bottom"/>
          </w:tcPr>
          <w:p>
            <w:pPr>
              <w:spacing w:after="0"/>
              <w:rPr>
                <w:sz w:val="15"/>
                <w:szCs w:val="15"/>
                <w:color w:val="auto"/>
              </w:rPr>
            </w:pP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2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62"/>
        </w:trPr>
        <w:tc>
          <w:tcPr>
            <w:tcW w:w="1960" w:type="dxa"/>
            <w:vAlign w:val="bottom"/>
          </w:tcPr>
          <w:p>
            <w:pPr>
              <w:spacing w:after="0"/>
              <w:rPr>
                <w:sz w:val="14"/>
                <w:szCs w:val="14"/>
                <w:color w:val="auto"/>
              </w:rPr>
            </w:pP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/Impairment Charges /</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/Impairment Charges /</w:t>
            </w:r>
          </w:p>
        </w:tc>
        <w:tc>
          <w:tcPr>
            <w:tcW w:w="280" w:type="dxa"/>
            <w:vAlign w:val="bottom"/>
          </w:tcPr>
          <w:p>
            <w:pPr>
              <w:spacing w:after="0"/>
              <w:rPr>
                <w:sz w:val="14"/>
                <w:szCs w:val="14"/>
                <w:color w:val="auto"/>
              </w:rPr>
            </w:pP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27"/>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8"/>
              </w:rPr>
              <w:t>Amount</w:t>
            </w:r>
            <w:r>
              <w:rPr>
                <w:rFonts w:ascii="Times New Roman" w:cs="Times New Roman" w:eastAsia="Times New Roman" w:hAnsi="Times New Roman"/>
                <w:sz w:val="18"/>
                <w:szCs w:val="18"/>
                <w:b w:val="1"/>
                <w:bCs w:val="1"/>
                <w:color w:val="auto"/>
                <w:w w:val="98"/>
                <w:vertAlign w:val="superscript"/>
              </w:rPr>
              <w:t>(1)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Divestitures</w:t>
            </w:r>
            <w:r>
              <w:rPr>
                <w:rFonts w:ascii="Times New Roman" w:cs="Times New Roman" w:eastAsia="Times New Roman" w:hAnsi="Times New Roman"/>
                <w:sz w:val="9"/>
                <w:szCs w:val="9"/>
                <w:b w:val="1"/>
                <w:bCs w:val="1"/>
                <w:color w:val="auto"/>
              </w:rPr>
              <w:t>(1)(2)</w:t>
            </w: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Amount</w:t>
            </w:r>
            <w:r>
              <w:rPr>
                <w:rFonts w:ascii="Times New Roman" w:cs="Times New Roman" w:eastAsia="Times New Roman" w:hAnsi="Times New Roman"/>
                <w:sz w:val="18"/>
                <w:szCs w:val="18"/>
                <w:b w:val="1"/>
                <w:bCs w:val="1"/>
                <w:color w:val="auto"/>
                <w:w w:val="98"/>
                <w:vertAlign w:val="superscript"/>
              </w:rPr>
              <w:t>(1)</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Divestitures</w:t>
            </w:r>
            <w:r>
              <w:rPr>
                <w:rFonts w:ascii="Times New Roman" w:cs="Times New Roman" w:eastAsia="Times New Roman" w:hAnsi="Times New Roman"/>
                <w:sz w:val="9"/>
                <w:szCs w:val="9"/>
                <w:b w:val="1"/>
                <w:bCs w:val="1"/>
                <w:color w:val="auto"/>
              </w:rPr>
              <w:t>(1)(3)</w:t>
            </w:r>
          </w:p>
        </w:tc>
        <w:tc>
          <w:tcPr>
            <w:tcW w:w="280" w:type="dxa"/>
            <w:vAlign w:val="bottom"/>
          </w:tcPr>
          <w:p>
            <w:pPr>
              <w:spacing w:after="0"/>
              <w:rPr>
                <w:sz w:val="19"/>
                <w:szCs w:val="19"/>
                <w:color w:val="auto"/>
              </w:rPr>
            </w:pPr>
          </w:p>
        </w:tc>
        <w:tc>
          <w:tcPr>
            <w:tcW w:w="12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5"/>
        </w:trPr>
        <w:tc>
          <w:tcPr>
            <w:tcW w:w="1960" w:type="dxa"/>
            <w:vAlign w:val="bottom"/>
            <w:tcBorders>
              <w:top w:val="single" w:sz="8" w:color="CFF0FC"/>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with</w:t>
            </w:r>
          </w:p>
        </w:tc>
        <w:tc>
          <w:tcPr>
            <w:tcW w:w="10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r>
      <w:tr>
        <w:trPr>
          <w:trHeight w:val="241"/>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indefinite lives</w:t>
            </w:r>
          </w:p>
        </w:tc>
        <w:tc>
          <w:tcPr>
            <w:tcW w:w="1080" w:type="dxa"/>
            <w:vAlign w:val="bottom"/>
            <w:tcBorders>
              <w:bottom w:val="single" w:sz="8" w:color="CFF0FC"/>
            </w:tcBorders>
            <w:shd w:val="clear" w:color="auto" w:fill="CFF0FC"/>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patents</w:t>
            </w:r>
          </w:p>
        </w:tc>
        <w:tc>
          <w:tcPr>
            <w:tcW w:w="10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1080" w:type="dxa"/>
            <w:vAlign w:val="bottom"/>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r>
      <w:tr>
        <w:trPr>
          <w:trHeight w:val="27"/>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1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impact of foreign currency translation.</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impact of the sale of the rights to use the Dunlop brand name and related trademarks, previously included as intangible assets with indefinite lives.</w:t>
      </w:r>
    </w:p>
    <w:p>
      <w:pPr>
        <w:ind w:left="340" w:hanging="332"/>
        <w:spacing w:after="0" w:line="219" w:lineRule="auto"/>
        <w:tabs>
          <w:tab w:leader="none" w:pos="32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impact of the impairment recognized during 2024 against the intangible assets with indefinite lives related to the acquisition of Cooper Tire of $125 million.</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primarily comprised of rights to use the Cooper brand names and related trademarks, Cooper Tire customer relationships, and certain other brand names and trademarks.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totaled $30 million in 2025, $32 million in 2024, and $33 million in 2023. We estimate that annual amortization expense related to intangible assets will be $30 million in 2026, and an average of $27 million in 2027 through 2030.</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2025, we experienced continued industry disruption in Americas, which resulted in a reduction in our near-term and long-term outlook. We also experienced a decline in our market capitalization as a result of a decrease in our stock price. Our stock price has a history of volatility; however, given the decrease was sustained throughout the quarter, combined with the reduction in outlook, we viewed these events as triggering events and performed a quantitative analysis of the fair value of the North America reporting unit in our Americas segment as of September 30, 2025. We determined the estimated fair value of our North America reporting unit based on a discounted cash flow model. The most critical assumptions used in the calculation of the fair value of our North America reporting unit are the projected revenue, projected operating margin and discount rate. Based on our interim impairment test, we determined the fair value of the North America reporting unit was less than its carrying value, which resulted in a full goodwill impairment and a non-cash charge of $674 million during the third quarter of 2025.</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after evaluating macroeconomic conditions and our current and future results of operations, including current results for our Asia Pacific business and brands associated with our indefinite-lived intangible assets, we concluded that there were no triggering events and it was not more likely than not that the fair values of our reporting unit within our Asia Pacific segment or our indefinite-lived intangible assets recorded within our Americas and Asia Pacific segments were less than their respective carrying values and, therefore, did not have any impairment of those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qualitative impairment analysis of our Asia Pacific reporting unit. After considering the results of our most recent quantitative annual testing, the capital markets environment, macroeconomic conditions, tire industry competition and trends, our results of operations, and other factors, we concluded that it was not more likely than not that the fair value of our Asia Pacific reporting unit was less than the carrying value.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or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assessed the period from October 31, 2025 to December 31, 2025 and determined there were no factors that caused us to change our conclusions as of October 31, 2025. Future changes in the judgments, assumptions and estimates that are used in our impairment testing for indefinite-lived intangible assets, including discount rates, royalty rates and cash flow projections, could result in significantly different estimates of the fair values. A significant reduction in the estimated fair values could result in additional impairment charges that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Assets and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received from our consolidated subsidiaries were $117 million, $131 million and $150 million in 2025, 2024 and 2023, respectively. Dividends received in 2025 were primarily from Singapore, Canada and Mexico and paid to the United States. Dividends received in 2024 and 2023 were primarily from Brazil, Mexico, Singapore and Canada and paid to the United States. Dividends received from our affiliates accounted for using the equity method were $33 million, $7 million and $19 million in 2025,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our net investment in TireHub was $44 million and $110 million, which includes an outstanding loan receivable of $103 million and $119 million, at December 31, 2025 and 2024, respectively, and was included in Other Assets on our Consolidated Balance Sheets. Our investment in TireHub is accounted for under the equity method of accounting and, as such, includes our 50% share of the net income (losses) of TireHub, which was a net loss of $41 million and $35 million in 2025 and 2024,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ACTR Company Limited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 35% equity interest in ACTR Company Limited, a tire manufacturing joint venture in Vietnam, valued at $74 million and $84 million at December 31, 2025 and 2024, respectively. Our investment in ACTR is accounted for under the equity method of accounting and, as such, includes our 35% share of the net income of ACTR, which totaled $14 million and $8 million in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Property, Plant and Equipment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1"/>
        </w:trPr>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3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r>
      <w:tr>
        <w:trPr>
          <w:trHeight w:val="243"/>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243"/>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7"/>
        </w:trPr>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19,950</w:t>
            </w: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w:t>
            </w:r>
          </w:p>
        </w:tc>
      </w:tr>
      <w:tr>
        <w:trPr>
          <w:trHeight w:val="237"/>
        </w:trPr>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Spare parts</w:t>
            </w:r>
          </w:p>
        </w:tc>
        <w:tc>
          <w:tcPr>
            <w:tcW w:w="2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7"/>
        </w:trPr>
        <w:tc>
          <w:tcPr>
            <w:tcW w:w="3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7,649</w:t>
            </w:r>
          </w:p>
        </w:tc>
        <w:tc>
          <w:tcPr>
            <w:tcW w:w="8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7,886</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r>
      <w:tr>
        <w:trPr>
          <w:trHeight w:val="27"/>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-1773555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-1773555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-1773555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-1773555</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-1773555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range of useful lives of property used in arriving at the annual amount of depreciation is as follows: buildings and improvements, 3 to 45 years; and machinery and equipment, 3 to 40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Income (Loss) before Income Taxes for the years ended December 31, 2025, 2024 and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20"/>
                <w:szCs w:val="20"/>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2"/>
        </w:trPr>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2025, 2024 and 2023 is as follows: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783"/>
        </w:trPr>
        <w:tc>
          <w:tcPr>
            <w:tcW w:w="6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6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-3839845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-3839845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2025 and 2024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998</w:t>
            </w:r>
          </w:p>
        </w:tc>
        <w:tc>
          <w:tcPr>
            <w:tcW w:w="10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951</w:t>
            </w:r>
          </w:p>
        </w:tc>
      </w:tr>
      <w:tr>
        <w:trPr>
          <w:trHeight w:val="27"/>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due Within One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804</w:t>
            </w:r>
          </w:p>
        </w:tc>
      </w:tr>
      <w:tr>
        <w:trPr>
          <w:trHeight w:val="237"/>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1,058</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1,004</w:t>
            </w:r>
          </w:p>
        </w:tc>
      </w:tr>
      <w:tr>
        <w:trPr>
          <w:trHeight w:val="27"/>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196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261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r>
      <w:tr>
        <w:trPr>
          <w:trHeight w:val="419"/>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our lease liabilities, excluding subleases, as of December 31, 2025 are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8"/>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7"/>
        </w:trPr>
        <w:tc>
          <w:tcPr>
            <w:tcW w:w="7940" w:type="dxa"/>
            <w:vAlign w:val="bottom"/>
            <w:tcBorders>
              <w:bottom w:val="single" w:sz="8" w:color="CFF0FC"/>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79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79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1,058</w:t>
            </w:r>
          </w:p>
        </w:tc>
        <w:tc>
          <w:tcPr>
            <w:tcW w:w="3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-3488055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-3668395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-4199890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-4379595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-5057140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-5768340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-6137275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have additional operating and finance leases that have not yet commenced for which the present value of lease payments over the respective lease terms totals $76 million. Accordingly, these leases are not recorded on the Consolidated Balance Sheets at December 31, 2025. These leases will commence in 2027 with lease terms of 12 to 30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we had total credit arrangements of $10,525 million, of which $4,421 million were unused. At that date, approximately 20% of our debt was at variable interest rates averaging 7.06%.</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we had short term committed and uncommitted credit arrangements totaling $818 million, of which $276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558</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bottom w:val="single" w:sz="8" w:color="CFF0FC"/>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Mexican credit facility</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 Notes due 2025</w:t>
            </w:r>
          </w:p>
        </w:tc>
        <w:tc>
          <w:tcPr>
            <w:tcW w:w="24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0"/>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40" w:type="dxa"/>
            <w:vAlign w:val="bottom"/>
          </w:tcPr>
          <w:p>
            <w:pPr>
              <w:spacing w:after="0"/>
              <w:rPr>
                <w:sz w:val="23"/>
                <w:szCs w:val="23"/>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364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832</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bottom w:val="single" w:sz="8" w:color="CFF0FC"/>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1,390</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-419735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-1662430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-1842770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-2193925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we had long term credit arrangements totaling $9,707 million, of which $4,145 million were unused.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284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00" w:type="dxa"/>
            <w:vAlign w:val="bottom"/>
          </w:tcPr>
          <w:p>
            <w:pPr>
              <w:spacing w:after="0"/>
              <w:rPr>
                <w:sz w:val="16"/>
                <w:szCs w:val="16"/>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6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37"/>
        </w:trPr>
        <w:tc>
          <w:tcPr>
            <w:tcW w:w="48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 due 2025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 due 2026</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4.875% due 2027</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7.625% due 2027</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 due 2028</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2.75% Euro Notes due 2028</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 due 2029</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6.625% due 2030</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5.25% due April 2031</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5.25% due July 2031</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5.625% due 2033</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lien revolving credit facility due 2030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8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3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3"/>
                <w:szCs w:val="23"/>
                <w:color w:val="auto"/>
              </w:rPr>
            </w:pPr>
          </w:p>
        </w:tc>
        <w:tc>
          <w:tcPr>
            <w:tcW w:w="16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FF0FC"/>
          </w:tcPr>
          <w:p>
            <w:pPr>
              <w:spacing w:after="0"/>
              <w:rPr>
                <w:sz w:val="23"/>
                <w:szCs w:val="23"/>
                <w:color w:val="auto"/>
              </w:rPr>
            </w:pPr>
          </w:p>
        </w:tc>
        <w:tc>
          <w:tcPr>
            <w:tcW w:w="16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3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6,392</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-4525645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-4525645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-4525645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financing additions of $2 million during the twelve month period ended December 31, 2025 and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9.5% Senior Notes due 2025</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redemption price equal to 100% of the principal amount redeemed plus accrued and unpaid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we redeemed $400 million of our 5% senior notes due 2026 at a redemption price equal to 100% of the principal amount redeemed plus accrued and unpaid interest. On July 3, 2025, we redeemed the remaining $500 million of our 5% senior notes due 2026 at redemption price equal to 100% of the principal amount redeemed plus accrued and unpaid interest.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$700 million 4.875% Senior Notes due 2027</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first lien revolving credit facility described below.</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$117 million 7.625% Senior Notes due 2027</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Cooper Tire acquisition and at December 31, 2025, $117 million aggregate principal amount of 7.625% senior notes due 2027 were outstanding. These notes also included a $19 million fair value step-up, which is being amortized against interest expense over the remaining life of the notes. Amortization since the Cooper Tire acquisition was approximately $15 million. These notes are unsecured senior obligations and will mature on March 15, 2027. These notes are not redeemable prior to maturity.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2022, Goodyear assumed Cooper Tire's obligations under these notes.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enter into certain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$150 million 7% Senior Notes due 2028</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$150 million aggregate principal amount of 7% notes due 2028 were outstanding. These notes are unsecured senior obligations and will mature on March 15, 2028.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€400 million 2.75% Senior Notes due 2028 of GEBV</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€400 million aggregate principal amount of Goodyear Europe B.V. ("GEBV") 2.75% senior notes due 2028 were outstanding. These notes were sold at 100% of the principal amount and will mature on August 15, 2028. These notes are unsecured senior obligations of GEBV and are guaranteed, on an unsecured senior basis, by the Company and our U.S. and Canadian subsidiaries that also guarantee our obligations under our U.S. first lien revolving credit facility described below.</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August 15, 2025 at a redemption price of 100.688% and 100% during the 12-month periods commencing on August 15, 2025, and 2026 and thereafter, respectively, plus accrued and unpaid interest to the redemption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$850 million 5% Senior Notes due 2029</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$850 million aggregate principal amount of 5% senior notes due 2029 were outstanding. These notes were sold at 100% of the principal amount and will mature on July 15, 2029.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a redemption price equal to 100% of the principal amount of the notes redeemed plus accrued and unpaid interest to the redemption date.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6.625% Senior Notes due 2030</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 These notes were sold at 100% of the principal amount and will mature on July 15, 2030. These notes are unsecured senior obligations and are guaranteed by our U.S. and Canadian subsidiaries that also guarantee our obligations under our U.S. first lien revolving credit facility described below.</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July 15, 2027 at a redemption price of 103.313%, 101.656% and 100% during the 12-month periods commencing on July 15, 2027, 2028 and 2029 and thereafter, respectively, plus accrued and unpaid interest to the redemption date. Prior to July 15, 2027, we may redeem these notes, in whole or in part, at a redemption price equal to 100% of the principal amount plus a make-whole premium and accrued and unpaid interest to the redemption date. In addition, prior to July 15, 2027, we may redeem up to 35% of the original aggregate principal amount of these notes from the net cash proceeds of certain equity offerings at a redemption price equal to 106.625% of the principal amount plus accrued and unpaid interest to the redemption date.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$550 million 5.25% Senior Notes due April 2031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$550 million aggregate principal amount of 5.25% senior notes due April 2031 were outstanding. These notes were sold at 100% of the principal amount and will mature on April 30, 2031. These notes are unsecured senior obligations and are guaranteed by our U.S. and Canadian subsidiaries that also guarantee our obligations under our U.S. first lien revolving credit facility described below.</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$600 million 5.25% Senior Notes due July 2031</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$600 million aggregate principal amount of 5.25% senior notes due July 2031 were outstanding. These notes were sold at 100% of the principal amount and will mature on July 15, 2031.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$450 million 5.625% Senior Notes due 2033</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$450 million aggregate principal amount of 5.625% senior notes due 2033 were outstanding. These notes were sold at 100% of the principal amount and will mature on April 30, 2033.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 based on our current liquidity as described below.</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collateral that includes, subject to certain exceptions:</w:t>
      </w:r>
    </w:p>
    <w:p>
      <w:pPr>
        <w:spacing w:after="0" w:line="54" w:lineRule="exact"/>
        <w:rPr>
          <w:sz w:val="20"/>
          <w:szCs w:val="20"/>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Canadian accounts receivable and inventory;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U.S. manufacturing facilities;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our U.S. subsidiaries and up to 65% of the voting equity interests in most of our directly owned foreign subsidiaries;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other tangible and intangible assets, including equipment, contract rights and intellectual property.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December 31, 2025, our borrowing base was above the facility's stated amount of $2.75 billion.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contains covenants that, among other things, limit our ability and the ability of certain of our subsidiaries to (i) incur additional debt or issue redeemable preferred stock, (ii) pay dividends, repurchase shares or make certain other restricted payments or investments, (iii) incur liens, (iv) sell assets,</w:t>
      </w:r>
    </w:p>
    <w:p>
      <w:pPr>
        <w:jc w:val="both"/>
        <w:ind w:firstLine="8"/>
        <w:spacing w:after="0" w:line="253"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$275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we had no borrowings and $1 million of letters of credit issued under the revolving credit facility. At December 31, 2024, we had $700 million of borrowings and $1 million of letters of credit issued under the revolving credit facility.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68" w:lineRule="exact"/>
        <w:rPr>
          <w:sz w:val="20"/>
          <w:szCs w:val="20"/>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principal subsidiaries of GEBV; and</w:t>
      </w:r>
    </w:p>
    <w:p>
      <w:pPr>
        <w:spacing w:after="0" w:line="117"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ind w:right="1420"/>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2025 and 2024, we had no borrowings and no letters of credit outstanding under the European revolving credit facility. </w:t>
      </w: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GEBV and certain other of our European subsidiaries amended and restated our pan-European accounts receivable securitization facility. The principal change to the facility was the extension of its maturity from October 19, 2027 to October 18,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amounts available and utilized under this program totaled $292 million (€249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2025, the gross amount of receivables sold was $892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$876 million and $775 million at December 31, 2025 and 2024, respectively. The amounts confirmed to the financial institutions were $551 million and $604 million at December 31, 2025 and 2024, respectively, and are included in Accounts Payable — Trade in our Consolidated Balance Sheets. All activity related to these obligations is presented within operating activities on the Consolidated Statements of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 in the balance of the supplier financing arrangements during the year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97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added to the program</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7"/>
        </w:trPr>
        <w:tc>
          <w:tcPr>
            <w:tcW w:w="9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7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December 31, 2025 and 2024, the amounts available and utilized under this facility were $200 million. The facility ultimately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820" w:type="dxa"/>
            <w:vAlign w:val="bottom"/>
            <w:tcBorders>
              <w:bottom w:val="single" w:sz="8" w:color="CFF0FC"/>
            </w:tcBorders>
          </w:tcPr>
          <w:p>
            <w:pPr>
              <w:spacing w:after="0"/>
              <w:rPr>
                <w:sz w:val="3"/>
                <w:szCs w:val="3"/>
                <w:color w:val="auto"/>
              </w:rPr>
            </w:pPr>
          </w:p>
        </w:tc>
        <w:tc>
          <w:tcPr>
            <w:tcW w:w="33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w:t>
            </w:r>
          </w:p>
        </w:tc>
        <w:tc>
          <w:tcPr>
            <w:tcW w:w="3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FF0FC"/>
            </w:tcBorders>
          </w:tcPr>
          <w:p>
            <w:pPr>
              <w:spacing w:after="0"/>
              <w:rPr>
                <w:sz w:val="2"/>
                <w:szCs w:val="2"/>
                <w:color w:val="auto"/>
              </w:rPr>
            </w:pPr>
          </w:p>
        </w:tc>
        <w:tc>
          <w:tcPr>
            <w:tcW w:w="33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1/25-8/28</w:t>
            </w:r>
          </w:p>
        </w:tc>
        <w:tc>
          <w:tcPr>
            <w:tcW w:w="0" w:type="dxa"/>
            <w:vAlign w:val="bottom"/>
          </w:tcPr>
          <w:p>
            <w:pPr>
              <w:spacing w:after="0"/>
              <w:rPr>
                <w:sz w:val="1"/>
                <w:szCs w:val="1"/>
                <w:color w:val="auto"/>
              </w:rPr>
            </w:pPr>
          </w:p>
        </w:tc>
      </w:tr>
      <w:tr>
        <w:trPr>
          <w:trHeight w:val="783"/>
        </w:trPr>
        <w:tc>
          <w:tcPr>
            <w:tcW w:w="4820" w:type="dxa"/>
            <w:vAlign w:val="bottom"/>
          </w:tcPr>
          <w:p>
            <w:pPr>
              <w:spacing w:after="0"/>
              <w:rPr>
                <w:sz w:val="24"/>
                <w:szCs w:val="24"/>
                <w:color w:val="auto"/>
              </w:rPr>
            </w:pPr>
          </w:p>
        </w:tc>
        <w:tc>
          <w:tcPr>
            <w:tcW w:w="33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As of December 31, 2025, these arrangements had been paid in full. As of December 31, 2024, the unused amounts available under these facilities were $31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aggregate maturities of our debt (excluding the impact of deferred financing fees, unamortized discounts and the fair value step-up related to the Cooper Tire acquisition), finance leases and notes payable and overdrafts for the five years subsequent to December 31, 2025 are presented below. Maturities of credit agreements have been reported on the basis that the commitments to lend under these agreements will be terminated effective at the end of their current terms.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37"/>
        </w:trPr>
        <w:tc>
          <w:tcPr>
            <w:tcW w:w="35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5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35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these outstanding foreign currency derivatives had notional amounts of $1,942 million and $1,779 million, respectively, and were primarily related to intercompany loans. Other (Income) Expense included net transaction losses on derivatives of $92 million in 2025 and net transaction gains on derivatives of $76 million in 2024. These amounts were substantially offset in Other (Income) Expense by the effect of changing exchange rates on the underlying currency exposures.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and 2024, we did not have any open foreign currency hedge contracts that meet the criteria to be accounted for as cash flow hedging instruments.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920" w:type="dxa"/>
            <w:vAlign w:val="bottom"/>
            <w:tcBorders>
              <w:bottom w:val="single" w:sz="8" w:color="CFF0FC"/>
            </w:tcBorders>
          </w:tcPr>
          <w:p>
            <w:pPr>
              <w:spacing w:after="0"/>
              <w:rPr>
                <w:sz w:val="3"/>
                <w:szCs w:val="3"/>
                <w:color w:val="auto"/>
              </w:rPr>
            </w:pPr>
          </w:p>
        </w:tc>
        <w:tc>
          <w:tcPr>
            <w:tcW w:w="16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of gains (losses) deferred to AOCL</w:t>
            </w:r>
          </w:p>
        </w:tc>
        <w:tc>
          <w:tcPr>
            <w:tcW w:w="2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823"/>
        </w:trPr>
        <w:tc>
          <w:tcPr>
            <w:tcW w:w="4920" w:type="dxa"/>
            <w:vAlign w:val="bottom"/>
          </w:tcPr>
          <w:p>
            <w:pPr>
              <w:spacing w:after="0"/>
              <w:rPr>
                <w:sz w:val="24"/>
                <w:szCs w:val="24"/>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9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December 31, 2025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240" w:type="dxa"/>
            <w:vAlign w:val="bottom"/>
          </w:tcPr>
          <w:p>
            <w:pPr>
              <w:spacing w:after="0"/>
              <w:rPr>
                <w:sz w:val="15"/>
                <w:szCs w:val="15"/>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9"/>
              </w:rPr>
              <w:t>Value in the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4"/>
                <w:szCs w:val="14"/>
                <w:color w:val="auto"/>
              </w:rPr>
            </w:pPr>
          </w:p>
        </w:tc>
        <w:tc>
          <w:tcPr>
            <w:tcW w:w="188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40" w:type="dxa"/>
            <w:vAlign w:val="bottom"/>
          </w:tcPr>
          <w:p>
            <w:pPr>
              <w:spacing w:after="0"/>
              <w:rPr>
                <w:sz w:val="15"/>
                <w:szCs w:val="15"/>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5"/>
                <w:szCs w:val="15"/>
                <w:color w:val="auto"/>
              </w:rPr>
            </w:pPr>
          </w:p>
        </w:tc>
        <w:tc>
          <w:tcPr>
            <w:tcW w:w="1200" w:type="dxa"/>
            <w:vAlign w:val="bottom"/>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40" w:type="dxa"/>
            <w:vAlign w:val="bottom"/>
          </w:tcPr>
          <w:p>
            <w:pPr>
              <w:spacing w:after="0"/>
              <w:rPr>
                <w:sz w:val="17"/>
                <w:szCs w:val="17"/>
                <w:color w:val="auto"/>
              </w:rPr>
            </w:pPr>
          </w:p>
        </w:tc>
        <w:tc>
          <w:tcPr>
            <w:tcW w:w="1220" w:type="dxa"/>
            <w:vAlign w:val="bottom"/>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and variable rate debt, excluding finance leases,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198" w:lineRule="exact"/>
        <w:rPr>
          <w:sz w:val="20"/>
          <w:szCs w:val="20"/>
          <w:color w:val="auto"/>
        </w:rPr>
      </w:pPr>
    </w:p>
    <w:p>
      <w:pPr>
        <w:jc w:val="both"/>
        <w:ind w:left="340" w:hanging="332"/>
        <w:spacing w:after="0" w:line="235" w:lineRule="auto"/>
        <w:tabs>
          <w:tab w:leader="none" w:pos="32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Notes Payable and Overdrafts of $506 million and $558 million at December 31, 2025 and 2024, respectively, of which $216 million and $241 million, respectively, are at fixed rates and $290 million and $317 million, respectively, are at variable rates. The carrying value of Notes Payable and Overdrafts approximates fair value due to the short term nature of the facilities.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$4,291 million and $4,921 million at December 31, 2025 and 2024, respectively, were estimated using quoted Level 1 market prices. The carrying value of the remaining debt approximates fair value since the terms of the financing arrangements are similar to terms that could be obtained under current lending market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Pension, Savings and Other Postretirement Benefit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employees with defined benefit pension or defined contribution savings plans. Our hourly U.S. pension plans are frozen, except for certain grandfathered participants in the Cooper Tire hourly pension plans who continue to accrue benefits, and provide benefits based on length of service. The principal salaried U.S. pension plan is frozen and provides benefits based on compensation and length of service. Salaried employees who made voluntary contributions to this plan receive higher benefits. We also provide certain U.S. employees and employees at certain non-U.S. subsidiaries with health care benefits or life insurance benefits upon retirement. Substantial portions of retiree health care benefits are not insured and are funded from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we recognized pension settlement charges of $201 million in Other (Income) Expense. The settlement charges resulted from total lump sum payments exceeding annual service and interest cost of the applicable plans, primarily related to the offer of lump sum payments over a limited time to certain active and former employees in the U.S. defined benefit pension plans and the purchase of a group annuity contract for certain former employees in the U.S. hourly defined benefit pension plan. A total of $126 million in payments related to the offer of lump sum payments and $142 million for the purchase of a group annuity contract were made from existing plan assets during 2025. In addition, net termination benefits/curtailment charges of $4 million and $1 million were recorded related to the exit of employees under approved rationalization plans and the sale of the OTR tire business,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we recognized a net pension settlement credit of $3 million in Other (Income) Expense, primarily related to a premium refund from the purchase of a group annuity contract for the Cooper Tire U.S. salaried defined benefit pension plan described below. Excess plan assets of $5 million from the plan were used to fund obligations associated with our U.S. salaried defined contribution savings plan.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we recognized pension settlement charges of $40 million in Other (Income) Expense, primarily related to the settlement of all plan benefits of the Cooper Tire U.S. salaried defined benefit pension plan with lump sum payments to electing participants and the purchase of a group annuity contract. After settlement, excess plan assets of $18 million were used to fund obligations associated with our U.S. salaried defined contribution savings plan. During 2023, we recognized termination benefits charges of $1 million in Rationalizations related to the closure of our Fulda, Germany tire manufacturing facility.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U.K. pension plan obligations include approximately $27 million at December 31, 2025, to recognize the impact to our plans from court rulings in 2018 and later, involving a plan with similar features to ours that was sponsored by another company, that required equal guaranteed minimum pension benefits for males and females. The total amount recognized includes an estimated $7 million related to benefits for certain participants that are still subject to finalization of plan amendments. These amounts have been recognized in AOCL, including $1 million of actuarial losses in both 2025 and 2024, from agreements with the plan trustees on implementation of changes for certain participants in our U.K. pension plans.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cost (credit) and amounts recognized in other comprehensive (income) loss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80" w:type="dxa"/>
            <w:vAlign w:val="bottom"/>
            <w:gridSpan w:val="7"/>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72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cost (credit):</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(gains)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Net periodic cost (credit)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curtailments/settlements/termination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benefits cost (credit)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other</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before tax and minority:</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 (credit) from plan</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net actuarial</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in net periodic cost</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gains in</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cost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 and unrecognized gains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losses due to curtailments,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7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other</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before tax and minority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720" w:type="dxa"/>
            <w:vAlign w:val="bottom"/>
            <w:shd w:val="clear" w:color="auto" w:fill="CFF0FC"/>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total benefits</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cost (credit) and other</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58"/>
        </w:trPr>
        <w:tc>
          <w:tcPr>
            <w:tcW w:w="2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before tax and minority</w:t>
            </w: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72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tcBorders>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fair value of pension assets in the calculation of pension expense for all plans.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(credit) cost for our other postretirement benefits was $(3) million, $3 million and $5 million for our U.S. plans in 2025, 2024 and 2023, respectively, and $1 million, $3 million and $3 million for our non-U.S. plans in 2025, 2024 and 2023,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we approved changes to one of our U.S. other postretirement benefit plans, effective January 1, 2025, which resulted in a $28 million reduction of our U.S. other postretirement benefit obligation.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benefit obligation and plan assets for 2025 and 2024 and the amounts recognized in our Consolidated Balance Sheets at December 31, 2025 and 2024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20" w:type="dxa"/>
            <w:vAlign w:val="bottom"/>
            <w:gridSpan w:val="4"/>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4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cost — benefits earned</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Plan amendments</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 gain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Curtailments/settlements/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benefits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contributions to plan assets</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funding of direct participant payments</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3,041</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3,447</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-393700</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-393700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-393700</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-393700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-393700</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-4311015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-4311015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-4311015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-4311015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actuarial gains or losses related to changes in benefit obligations for 2025 and 2024 primarily resulted from changes in discount rates.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postretirement benefits unfunded status was $148 million and $153 million for our U.S. plans at December 31, 2025 and 2024, respectively, and $83 million and $79 million for our non-U.S. plans at December 31, 2025 and 2024,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at December 31 recognized in the Consolidated Balance Sheets consists 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4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4"/>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-736600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-736600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-736600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-736600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-736600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recorded in AOCL at December 31, net of tax and minority interest, consist 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20" w:type="dxa"/>
            <w:vAlign w:val="bottom"/>
            <w:gridSpan w:val="4"/>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4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Gross amount recorded</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-1087755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-1087755</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-1087755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-1087755</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-1087755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 obligations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30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37"/>
        </w:trPr>
        <w:tc>
          <w:tcPr>
            <w:tcW w:w="50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6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2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5.19%</w:t>
            </w:r>
          </w:p>
        </w:tc>
        <w:tc>
          <w:tcPr>
            <w:tcW w:w="2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4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5.03</w:t>
            </w:r>
          </w:p>
        </w:tc>
        <w:tc>
          <w:tcPr>
            <w:tcW w:w="2060" w:type="dxa"/>
            <w:vAlign w:val="bottom"/>
            <w:tcBorders>
              <w:bottom w:val="single" w:sz="8" w:color="CFF0FC"/>
            </w:tcBorders>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6.32</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tcBorders>
              <w:bottom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2.86</w:t>
            </w:r>
          </w:p>
        </w:tc>
        <w:tc>
          <w:tcPr>
            <w:tcW w:w="20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benefits cost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940" w:type="dxa"/>
            <w:vAlign w:val="bottom"/>
          </w:tcPr>
          <w:p>
            <w:pPr>
              <w:spacing w:after="0"/>
              <w:rPr>
                <w:sz w:val="16"/>
                <w:szCs w:val="16"/>
                <w:color w:val="auto"/>
              </w:rPr>
            </w:pPr>
          </w:p>
        </w:tc>
      </w:tr>
      <w:tr>
        <w:trPr>
          <w:trHeight w:val="37"/>
        </w:trPr>
        <w:tc>
          <w:tcPr>
            <w:tcW w:w="30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08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3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08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1"/>
        </w:trPr>
        <w:tc>
          <w:tcPr>
            <w:tcW w:w="308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Discount rate for determining interest</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45"/>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5.06 %</w:t>
            </w:r>
          </w:p>
        </w:tc>
        <w:tc>
          <w:tcPr>
            <w:tcW w:w="80" w:type="dxa"/>
            <w:vAlign w:val="bottom"/>
          </w:tcPr>
          <w:p>
            <w:pPr>
              <w:spacing w:after="0"/>
              <w:rPr>
                <w:sz w:val="21"/>
                <w:szCs w:val="21"/>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5.07 %</w:t>
            </w:r>
          </w:p>
        </w:tc>
        <w:tc>
          <w:tcPr>
            <w:tcW w:w="80" w:type="dxa"/>
            <w:vAlign w:val="bottom"/>
          </w:tcPr>
          <w:p>
            <w:pPr>
              <w:spacing w:after="0"/>
              <w:rPr>
                <w:sz w:val="21"/>
                <w:szCs w:val="21"/>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5.34 %</w:t>
            </w:r>
          </w:p>
        </w:tc>
        <w:tc>
          <w:tcPr>
            <w:tcW w:w="100" w:type="dxa"/>
            <w:vAlign w:val="bottom"/>
          </w:tcPr>
          <w:p>
            <w:pPr>
              <w:spacing w:after="0"/>
              <w:rPr>
                <w:sz w:val="21"/>
                <w:szCs w:val="21"/>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5.29 %</w:t>
            </w:r>
          </w:p>
        </w:tc>
        <w:tc>
          <w:tcPr>
            <w:tcW w:w="100" w:type="dxa"/>
            <w:vAlign w:val="bottom"/>
          </w:tcPr>
          <w:p>
            <w:pPr>
              <w:spacing w:after="0"/>
              <w:rPr>
                <w:sz w:val="21"/>
                <w:szCs w:val="21"/>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5.37 %</w:t>
            </w: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2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7.64</w:t>
            </w:r>
          </w:p>
        </w:tc>
      </w:tr>
      <w:tr>
        <w:trPr>
          <w:trHeight w:val="221"/>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long term return on plan</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2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Borders>
              <w:bottom w:val="single" w:sz="8" w:color="CFF0FC"/>
            </w:tcBorders>
            <w:gridSpan w:val="3"/>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1"/>
                <w:szCs w:val="21"/>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21"/>
                <w:szCs w:val="21"/>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2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21"/>
                <w:szCs w:val="21"/>
                <w:color w:val="auto"/>
              </w:rPr>
            </w:pPr>
          </w:p>
        </w:tc>
        <w:tc>
          <w:tcPr>
            <w:tcW w:w="12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a weighted average discount rate of 5.06% was used to determine interest cost for the U.S. pension plans. This rate was derived from spot rates along a yield curve developed from a portfolio of corporate bonds from issuers rated AA or higher by established rating agencies as of December 31, 2024, applied to our expected benefit payment cash flows. For</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non-U.S. locations, a weighted average discount rate of 4.90% was used. This rate was developed based on the nature of the liabilities and local environments, using available bond indices, yield curves, projected cash flows, and long term inflation.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an assumed weighted average long term rate of return of 6.20% was used for the U.S. pension plans. In developing the long term rate of return, we evaluated input from our pension fund consultant on asset class return expectations, including determining the appropriate rate of return for our plans, which are substantially invested in fixed income securities. For our non-U.S. locations, an assumed weighted average long term rate of return of 5.21% was used. Input from local pension fund consultants concerning asset class return expectations and long term inflation form the basis of this assumption.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pension plan mortality assumption is based on our actual historical experience or published actuarial tables, and expected future mortality improvements based on published actuarial tables. For our non-U.S. locations, mortality assumptions are based on published actuarial tables which include projections of future mortality improvements.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from the plans as of December 31, 2025. Benefit payments for other postretirement benefits are presented net of retiree contributions and Medicare Part D Subsidy Receipts: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09"/>
        </w:trPr>
        <w:tc>
          <w:tcPr>
            <w:tcW w:w="6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restart"/>
          </w:tcPr>
          <w:p>
            <w:pPr>
              <w:jc w:val="center"/>
              <w:ind w:right="116"/>
              <w:spacing w:after="0" w:line="12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on our pension plans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0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plans:</w:t>
            </w: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Plans not fully-funded:</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non-U.S. subsidiaries maintain unfunded pension plans consistent with local practices and requirements. At December 31, 2025, these plans accounted for $187 million of our accumulated pension benefit obligation, $216 million of our projected pension benefit obligation, and $11 million of our AOCL adjustment. At December 31, 2024, these plans accounted for $168 million of our accumulated pension benefit obligation, $197 million of our projected pension benefit obligation, and $15 million of our AOCL adjustment.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$25 million to $50 million to our funded pension plans in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at December 31 follow: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6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8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the next year</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6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2031</w:t>
            </w:r>
          </w:p>
        </w:tc>
      </w:tr>
      <w:tr>
        <w:trPr>
          <w:trHeight w:val="796"/>
        </w:trPr>
        <w:tc>
          <w:tcPr>
            <w:tcW w:w="7960" w:type="dxa"/>
            <w:vAlign w:val="bottom"/>
          </w:tcPr>
          <w:p>
            <w:pPr>
              <w:jc w:val="right"/>
              <w:ind w:right="2114"/>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7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-1250950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pension plan weighted average investment allocation at December 31, by asset category,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7"/>
        </w:trPr>
        <w:tc>
          <w:tcPr>
            <w:tcW w:w="47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5680" w:type="dxa"/>
            <w:vAlign w:val="bottom"/>
            <w:gridSpan w:val="2"/>
          </w:tcPr>
          <w:p>
            <w:pPr>
              <w:ind w:left="5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r>
      <w:tr>
        <w:trPr>
          <w:trHeight w:val="37"/>
        </w:trPr>
        <w:tc>
          <w:tcPr>
            <w:tcW w:w="470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3"/>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short term securities</w:t>
            </w:r>
          </w:p>
        </w:tc>
        <w:tc>
          <w:tcPr>
            <w:tcW w:w="104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58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10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83"/>
        </w:trPr>
        <w:tc>
          <w:tcPr>
            <w:tcW w:w="5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FF0FC"/>
          </w:tcPr>
          <w:p>
            <w:pPr>
              <w:spacing w:after="0"/>
              <w:rPr>
                <w:sz w:val="24"/>
                <w:szCs w:val="24"/>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pension investment policies recognize the long-term nature of pension liabilities, and are primarily designed to offset the future impact of discount rate movements on the funded status for our plans, with target return-seeking allocations based upon given funded ratio levels.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portfolio of our U.S. pension plan assets includes holdings of global high quality and high yield fixed income securities, short term interest bearing deposits, and private credit and equity securities. The target asset allocation of our U.S. pension plans is 94% in duration-matched fixed income securities and 6% in private credit and equity securities. Actual U.S. pension fund asset allocations are reviewed on a periodic basis and the pension funds are rebalanced to target ranges on an as needed basis.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portfolios of our non-U.S. pension plans include holdings of global high quality and high yield fixed income securities, U.S. and non-U.S. equities, real estate funds, insurance contracts, repurchase agreements, and short term interest bearing deposits. The weighted average target asset allocation of the non-U.S. pension funds is approximately 90% in fixed income securities and 10% in cash, equities and real estate funds.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2025 by asset category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Active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Active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4"/>
                <w:szCs w:val="14"/>
                <w:color w:val="auto"/>
              </w:rPr>
            </w:pPr>
          </w:p>
        </w:tc>
        <w:tc>
          <w:tcPr>
            <w:tcW w:w="1360" w:type="dxa"/>
            <w:vAlign w:val="bottom"/>
            <w:gridSpan w:val="3"/>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for</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1360" w:type="dxa"/>
            <w:vAlign w:val="bottom"/>
            <w:gridSpan w:val="3"/>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60" w:type="dxa"/>
            <w:vAlign w:val="bottom"/>
          </w:tcPr>
          <w:p>
            <w:pPr>
              <w:spacing w:after="0"/>
              <w:rPr>
                <w:sz w:val="14"/>
                <w:szCs w:val="14"/>
                <w:color w:val="auto"/>
              </w:rPr>
            </w:pPr>
          </w:p>
        </w:tc>
        <w:tc>
          <w:tcPr>
            <w:tcW w:w="1360" w:type="dxa"/>
            <w:vAlign w:val="bottom"/>
            <w:gridSpan w:val="3"/>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4"/>
                <w:szCs w:val="14"/>
                <w:color w:val="auto"/>
              </w:rPr>
            </w:pPr>
          </w:p>
        </w:tc>
        <w:tc>
          <w:tcPr>
            <w:tcW w:w="1360" w:type="dxa"/>
            <w:vAlign w:val="bottom"/>
            <w:gridSpan w:val="3"/>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5"/>
                <w:szCs w:val="15"/>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5"/>
                <w:szCs w:val="15"/>
                <w:color w:val="auto"/>
              </w:rPr>
            </w:pPr>
          </w:p>
        </w:tc>
        <w:tc>
          <w:tcPr>
            <w:tcW w:w="1360" w:type="dxa"/>
            <w:vAlign w:val="bottom"/>
            <w:gridSpan w:val="3"/>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5"/>
                <w:szCs w:val="15"/>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8"/>
        </w:trPr>
        <w:tc>
          <w:tcPr>
            <w:tcW w:w="25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and Short Term Securities </w:t>
            </w: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Bonds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 Agreements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5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2,709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Partnership Interests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Partnership Interests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2024 by asset category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Active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Active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4"/>
                <w:szCs w:val="14"/>
                <w:color w:val="auto"/>
              </w:rPr>
            </w:pPr>
          </w:p>
        </w:tc>
        <w:tc>
          <w:tcPr>
            <w:tcW w:w="13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for</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6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5"/>
                <w:szCs w:val="15"/>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5"/>
                <w:szCs w:val="15"/>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8"/>
        </w:trPr>
        <w:tc>
          <w:tcPr>
            <w:tcW w:w="25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and Short Term Securities </w:t>
            </w: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Bonds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 Agreements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5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2,860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Partnership Interests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Partnership Interests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Commingled Funds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Partnership Interests</w:t>
            </w:r>
          </w:p>
        </w:tc>
        <w:tc>
          <w:tcPr>
            <w:tcW w:w="2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7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7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3,447</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-33655</wp:posOffset>
            </wp:positionV>
            <wp:extent cx="596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-213995</wp:posOffset>
            </wp:positionV>
            <wp:extent cx="596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-565150</wp:posOffset>
            </wp:positionV>
            <wp:extent cx="596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the Plans did not directly hold any of our common stock.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77" w:lineRule="exact"/>
        <w:rPr>
          <w:sz w:val="20"/>
          <w:szCs w:val="20"/>
          <w:color w:val="auto"/>
        </w:rPr>
      </w:pPr>
    </w:p>
    <w:p>
      <w:pPr>
        <w:jc w:val="both"/>
        <w:ind w:left="820" w:hanging="326"/>
        <w:spacing w:after="0" w:line="267"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Short Term Securities</w:t>
      </w:r>
      <w:r>
        <w:rPr>
          <w:rFonts w:ascii="Times New Roman" w:cs="Times New Roman" w:eastAsia="Times New Roman" w:hAnsi="Times New Roman"/>
          <w:sz w:val="18"/>
          <w:szCs w:val="18"/>
          <w:color w:val="auto"/>
        </w:rPr>
        <w:t>: Cash and cash equivalents consist of U.S. and foreign currencies. Foreign currencies are reported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based on currency exchange rates readily available in active markets. Short term securities held in commingled funds are valued at the NAV of units held at year end, as determined by the investment manager.</w:t>
      </w:r>
    </w:p>
    <w:p>
      <w:pPr>
        <w:spacing w:after="0" w:line="65"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Common and preferred stock, which are held in non-U.S. companies,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4" w:lineRule="exact"/>
        <w:rPr>
          <w:rFonts w:ascii="Times New Roman" w:cs="Times New Roman" w:eastAsia="Times New Roman" w:hAnsi="Times New Roman"/>
          <w:sz w:val="18"/>
          <w:szCs w:val="18"/>
          <w:color w:val="auto"/>
        </w:rPr>
      </w:pPr>
    </w:p>
    <w:p>
      <w:pPr>
        <w:jc w:val="both"/>
        <w:ind w:left="820" w:hanging="326"/>
        <w:spacing w:after="0" w:line="254"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Corporate and government bonds, including asset backed securities,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80"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Alternatives</w:t>
      </w:r>
      <w:r>
        <w:rPr>
          <w:rFonts w:ascii="Times New Roman" w:cs="Times New Roman" w:eastAsia="Times New Roman" w:hAnsi="Times New Roman"/>
          <w:sz w:val="18"/>
          <w:szCs w:val="18"/>
          <w:color w:val="auto"/>
        </w:rPr>
        <w:t>: Commingled and mutual funds, which primarily consist of real estate funds, are valued based on the NAV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manager using the most recent financial information available, or the closing price on the active market on which the individual securities are traded, if an active market is available. Partnership interests are invested in real estate and priced based on valuations using the partnership's latest available financial statements and the plan's percent ownership, adjusted for any cash transactions which occurred between the date of those financial statements and our year end.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a weighted average discount rate of 3.1% and 3.2% at December 31, 2025 and 2024, respectively.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non-U.S. pension plan insurance contracts classified as Level 3:</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sales, issuance and settlements (net)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gains relating to instruments still held at the reporting date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-33655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-213995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-908050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employees in the U.S. and employees of certain non-U.S. locations are eligible to participate in defined contribution savings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recognized for contributions to these plans were $118 million, $134 million and $131 million for 2025,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2022 Performance Plan, was adopted on April 11, 2022 and expires on February 28, 2032. A total of 33.4 million shares of our common stock may be issued in respect of grants made under the 2022 Performance Plan. Any shares of common stock that are subject to awards of stock options or SARs will be counted as one share for each share granted for purposes of the aggregate share limit and any shares of common stock that are subject to any other awards will be counted as two shares for each share granted for purposes of the aggregate share limit. In addition, shares of common stock that are subject to awards issued under the 2022 Performance Plan or certain prior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2022 Performance Plan. Shares issued under our Plans are usually issued from shares of our common stock held in treasury.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options during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3,837,588</w:t>
            </w:r>
          </w:p>
        </w:tc>
        <w:tc>
          <w:tcPr>
            <w:tcW w:w="1080" w:type="dxa"/>
            <w:vAlign w:val="bottom"/>
            <w:tcBorders>
              <w:bottom w:val="single" w:sz="8" w:color="CFF0FC"/>
            </w:tcBorders>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16.00</w:t>
            </w:r>
          </w:p>
        </w:tc>
        <w:tc>
          <w:tcPr>
            <w:tcW w:w="1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1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(312,718)</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27.16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cancelled</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(801,777)</w:t>
            </w:r>
          </w:p>
        </w:tc>
        <w:tc>
          <w:tcPr>
            <w:tcW w:w="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11.98</w:t>
            </w:r>
          </w:p>
        </w:tc>
        <w:tc>
          <w:tcPr>
            <w:tcW w:w="100" w:type="dxa"/>
            <w:vAlign w:val="bottom"/>
            <w:tcBorders>
              <w:bottom w:val="single" w:sz="8" w:color="CFF0FC"/>
            </w:tcBorders>
            <w:shd w:val="clear" w:color="auto" w:fill="CFF0FC"/>
          </w:tcPr>
          <w:p>
            <w:pPr>
              <w:spacing w:after="0"/>
              <w:rPr>
                <w:sz w:val="23"/>
                <w:szCs w:val="23"/>
                <w:color w:val="auto"/>
              </w:rPr>
            </w:pPr>
          </w:p>
        </w:tc>
        <w:tc>
          <w:tcPr>
            <w:tcW w:w="17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2,635,593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15.67</w:t>
            </w:r>
          </w:p>
        </w:tc>
        <w:tc>
          <w:tcPr>
            <w:tcW w:w="100" w:type="dxa"/>
            <w:vAlign w:val="bottom"/>
          </w:tcPr>
          <w:p>
            <w:pPr>
              <w:spacing w:after="0"/>
              <w:rPr>
                <w:sz w:val="22"/>
                <w:szCs w:val="22"/>
                <w:color w:val="auto"/>
              </w:rPr>
            </w:pP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3.3</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2,635,593</w:t>
            </w:r>
          </w:p>
        </w:tc>
        <w:tc>
          <w:tcPr>
            <w:tcW w:w="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15.67</w:t>
            </w:r>
          </w:p>
        </w:tc>
        <w:tc>
          <w:tcPr>
            <w:tcW w:w="1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CFF0FC"/>
            </w:tcBorders>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44"/>
        </w:trPr>
        <w:tc>
          <w:tcPr>
            <w:tcW w:w="502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2,635,593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15.67</w:t>
            </w:r>
          </w:p>
        </w:tc>
        <w:tc>
          <w:tcPr>
            <w:tcW w:w="100" w:type="dxa"/>
            <w:vAlign w:val="bottom"/>
          </w:tcPr>
          <w:p>
            <w:pPr>
              <w:spacing w:after="0"/>
              <w:rPr>
                <w:sz w:val="21"/>
                <w:szCs w:val="21"/>
                <w:color w:val="auto"/>
              </w:rPr>
            </w:pP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grant at December 31</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23,537,236</w:t>
            </w:r>
          </w:p>
        </w:tc>
        <w:tc>
          <w:tcPr>
            <w:tcW w:w="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020" w:type="dxa"/>
            <w:vAlign w:val="bottom"/>
          </w:tcPr>
          <w:p>
            <w:pPr>
              <w:spacing w:after="0"/>
              <w:rPr>
                <w:sz w:val="24"/>
                <w:szCs w:val="24"/>
                <w:color w:val="auto"/>
              </w:rPr>
            </w:pPr>
          </w:p>
        </w:tc>
        <w:tc>
          <w:tcPr>
            <w:tcW w:w="150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-753745</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-933450</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-1165225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-1344930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-2416810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aggregate intrinsic value of options exercised in 2024 and 2023 was $0.5 million and $1 million, respectively.</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option groups outstanding at December 31, 2025 and related weighted average exercise price and remaining contractual term information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2/25/2020</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1,986,167</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1,986,167</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2/27/2017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2/22/2016</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315,602</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315,602</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Borders>
              <w:bottom w:val="single" w:sz="8" w:color="CFF0FC"/>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CFF0FC"/>
            </w:tcBorders>
          </w:tcPr>
          <w:p>
            <w:pPr>
              <w:spacing w:after="0"/>
              <w:rPr>
                <w:sz w:val="23"/>
                <w:szCs w:val="23"/>
                <w:color w:val="auto"/>
              </w:rPr>
            </w:pPr>
          </w:p>
        </w:tc>
        <w:tc>
          <w:tcPr>
            <w:tcW w:w="1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9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2,635,593</w:t>
            </w:r>
          </w:p>
        </w:tc>
        <w:tc>
          <w:tcPr>
            <w:tcW w:w="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2,635,593</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in the “All Other” category had exercise prices ranging from $27.49 to $32.72. The weighted average exercise price for options outstanding and exercisable in that category was $29.20 for both, while the remaining weighted average contractual term was 0.4 years for both.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share units granted under the Plans are earned over a three-year period beginning January 1 of the year of grant. Total units earned for grants made in 2025, 2024 and 2023 may vary between 0% and 200%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performance share units during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1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1,079,495</w:t>
            </w:r>
          </w:p>
        </w:tc>
        <w:tc>
          <w:tcPr>
            <w:tcW w:w="3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(532,991)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7"/>
        </w:trPr>
        <w:tc>
          <w:tcPr>
            <w:tcW w:w="81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40" w:type="dxa"/>
            <w:vAlign w:val="bottom"/>
            <w:tcBorders>
              <w:bottom w:val="single" w:sz="8" w:color="CFF0FC"/>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1,191,771</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vested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vested but not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974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14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2,579,631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3,082,420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4,478,752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460" w:space="720"/>
            <w:col w:w="3060"/>
          </w:cols>
          <w:pgMar w:left="320" w:top="11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measure the fair value of grants of restricted stock units based on the closing market price of a share of our common stock on the date of the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cash payments made to settle SARs and cash received from the exercise of stock options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After-tax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to settle SARs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6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-376555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-376555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-556895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-556895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-908050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unearned compensation cost related to the unvested portion of all stock-based awards was $18 million and is expected to be recognized over the remaining vesting period of the respective grants, through the fourth quarter of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$79 million and $81 million at December 31, 2025 and 2024, respectively, for anticipated costs related to various environmental matters, primarily the remediation of numerous waste disposal sites and certain properties sold by us. Of these amounts, $22 million and $24 million were included in Other Current Liabilities at December 31, 2025 and 2024,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$145 million and $158 million for anticipated costs related to workers’ compensation at December 31, 2025 and 2024, respectively. Of these amounts, $28 million and $31 million were included in Current Liabilities as part of Compensation and Benefits at December 31, 2025 and 2024,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 of these matters may differ from these estimates. We periodically, and at least annually, update our loss development factors based on actuarial analyses. At December 31, 2025 and 2024, the liability was discounted using a risk-free rate of return. At December 31, 2025, we estimate that it is reasonably possible that the liability could exceed our recorded amounts by approximately $25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$417 million and $406 million, including related legal fees expected to be incurred, for potential product liability and other tort claims, including asbestos claims, at December 31, 2025 and 2024, respectively. Of these amounts, $66 million and $60 million were included in Other Current Liabilities at December 31, 2025 and 2024,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2025,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$3 million and within Other Assets of $2 million from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167,000 claims by defending, obtaining a dismissal thereof, or entering into a settlement. The sum of our accrued asbestos-related liability and gross payments to date, including legal costs, by us and our insurers totaled $597 million and $589 million through December 31, 2025 and 2024, respectively.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year</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 during the year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year</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-213995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-942340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-942340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4"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$107 million and $115 million at December 31, 2025 and 2024,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$57 million and $63 million at December 31, 2025 and 2024, respectively. We expect that approximately 55% of asbestos claim related losses would be recoverable through insurance during the ten-year period covered by the estimated liability. Of these amounts, $10 million and $11 million were included in Current Assets as part of Accounts Receivable at December 31, 2025 and December 31, 2024, respectively. The recorded receivable consists of an amount we expect to collect under coverage-in-place agreements with certain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and excess insurance carriers as well as an amount we believe is probable of recovery from certain of our other excess insurance carriers.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2025, we had approximately $510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68" w:lineRule="exact"/>
        <w:rPr>
          <w:sz w:val="20"/>
          <w:szCs w:val="20"/>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environment,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 governing the compensation of asbestos claimants,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receivables due to potential insolvency of insurance carriers,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defending and resolving claims,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payments made to claimants from other sources, including other defendants and 524(g) trusts.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in the case of an income tax settlement, would result in a reduction in our effective tax rate in the period of resolution.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We are currently challenging the proposed adjustment through established IRS administrative procedures and are engaging in settlement discussions with the IRS. If the income recognition associated with the transaction is disallowed in full or in part, we will not be able to use a portion of the deferred tax assets that we utilized to offset the related federal taxes and we will need to write-off those deferred tax assets. However, since our U.S. deferred tax assets are in a full valuation allowance as of December 31, 2025, any such write-off of deferred tax assets would not have a material impact on our results of operations.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we had binding commitments for raw materials, capital expenditures, utilities and various other types of contracts totaling approximately $5.5 billion, of which approximately $4.0 billion relate to commitments on contracts that extend beyond 2026. These amounts include the take-or-pay minimum purchase requirement included within the Chemical Supply Agreement, which requires us to purchase minimum quantities of certain polymer chemical products on a quarterly basis for a period of fifteen (15) years subsequent to the sale of the Chemical Business on October 31, 2025.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in quantities that may be subject to periodic adjustments for changes in our or our suppliers' production levels, or at prices that are subject to change.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$15 million and $29 million at December 31, 2025 and 2024,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2025,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affiliates’, lessors’, customers’, or SRI's assets would be adequate to recover any payments made by us under the related guarantees.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$130 million. At December 31, 2025, $103 million was drawn on this commitment, which includes $2 million of interest. At December 31, 2024, $119 million was drawn on this commitment, which includes $2 million of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$12 million and $15 million for potential claims under warranties offered by us at December 31, 2025 and December 31, 2024, respectively, the majority of which are recorded in Other Current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warranty reserve during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40" w:type="dxa"/>
            <w:vAlign w:val="bottom"/>
          </w:tcPr>
          <w:p>
            <w:pPr>
              <w:spacing w:after="0"/>
              <w:rPr>
                <w:sz w:val="21"/>
                <w:szCs w:val="21"/>
                <w:color w:val="auto"/>
              </w:rPr>
            </w:pP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9"/>
              </w:rPr>
              <w:t>(20)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Expense recorded during the period</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center"/>
              <w:ind w:left="714"/>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center"/>
              <w:ind w:left="714"/>
              <w:spacing w:after="0"/>
              <w:rPr>
                <w:sz w:val="20"/>
                <w:szCs w:val="20"/>
                <w:color w:val="auto"/>
              </w:rPr>
            </w:pPr>
            <w:r>
              <w:rPr>
                <w:rFonts w:ascii="Times New Roman" w:cs="Times New Roman" w:eastAsia="Times New Roman" w:hAnsi="Times New Roman"/>
                <w:sz w:val="18"/>
                <w:szCs w:val="18"/>
                <w:color w:val="auto"/>
                <w:w w:val="99"/>
              </w:rPr>
              <w:t>14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-736600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2025, 2024 or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2025, 2024 or 2023, we did not repurchase any shares from employees.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AOCL by component for the years ended December 31, 2025, 2024 and 2023, after tax and minority interest: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 from</w:t>
            </w: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4"/>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8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w:t>
            </w:r>
          </w:p>
        </w:tc>
      </w:tr>
      <w:tr>
        <w:trPr>
          <w:trHeight w:val="243"/>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(3,835)</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8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r>
      <w:tr>
        <w:trPr>
          <w:trHeight w:val="243"/>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(3,588)</w:t>
            </w:r>
          </w:p>
        </w:tc>
      </w:tr>
      <w:tr>
        <w:trPr>
          <w:trHeight w:val="21"/>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90"/>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1"/>
        </w:trPr>
        <w:tc>
          <w:tcPr>
            <w:tcW w:w="4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 for the years ended December 31, 2025, 2024 and 2023:</w:t>
      </w:r>
    </w:p>
    <w:p>
      <w:pPr>
        <w:spacing w:after="0" w:line="165"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33020</wp:posOffset>
            </wp:positionV>
            <wp:extent cx="25628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300" w:type="dxa"/>
            <w:vAlign w:val="bottom"/>
          </w:tcPr>
          <w:p>
            <w:pPr>
              <w:spacing w:after="0"/>
              <w:rPr>
                <w:sz w:val="16"/>
                <w:szCs w:val="16"/>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6"/>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AOCL</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0" w:type="dxa"/>
            <w:vAlign w:val="bottom"/>
          </w:tcPr>
          <w:p>
            <w:pPr>
              <w:spacing w:after="0"/>
              <w:rPr>
                <w:sz w:val="1"/>
                <w:szCs w:val="1"/>
                <w:color w:val="auto"/>
              </w:rPr>
            </w:pPr>
          </w:p>
        </w:tc>
      </w:tr>
      <w:tr>
        <w:trPr>
          <w:trHeight w:val="243"/>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4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FF0FC"/>
            </w:tcBorders>
            <w:shd w:val="clear" w:color="auto" w:fill="CFF0FC"/>
          </w:tcPr>
          <w:p>
            <w:pPr>
              <w:spacing w:after="0"/>
              <w:rPr>
                <w:sz w:val="20"/>
                <w:szCs w:val="20"/>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4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80" w:type="dxa"/>
            <w:vAlign w:val="bottom"/>
            <w:gridSpan w:val="2"/>
            <w:shd w:val="clear" w:color="auto" w:fill="CFF0FC"/>
          </w:tcPr>
          <w:p>
            <w:pPr>
              <w:ind w:left="10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 Prior Service</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Costs, before tax</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FF0FC"/>
            </w:tcBorders>
            <w:shd w:val="clear" w:color="auto" w:fill="CFF0FC"/>
          </w:tcPr>
          <w:p>
            <w:pPr>
              <w:spacing w:after="0"/>
              <w:rPr>
                <w:sz w:val="20"/>
                <w:szCs w:val="20"/>
                <w:color w:val="auto"/>
              </w:rPr>
            </w:pPr>
          </w:p>
        </w:tc>
        <w:tc>
          <w:tcPr>
            <w:tcW w:w="28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3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4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FF0FC"/>
            </w:tcBorders>
            <w:shd w:val="clear" w:color="auto" w:fill="CFF0FC"/>
          </w:tcPr>
          <w:p>
            <w:pPr>
              <w:spacing w:after="0"/>
              <w:rPr>
                <w:sz w:val="21"/>
                <w:szCs w:val="21"/>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4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2"/>
                <w:szCs w:val="22"/>
                <w:color w:val="auto"/>
              </w:rPr>
            </w:pPr>
          </w:p>
        </w:tc>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80" w:type="dxa"/>
            <w:vAlign w:val="bottom"/>
          </w:tcPr>
          <w:p>
            <w:pPr>
              <w:spacing w:after="0"/>
              <w:rPr>
                <w:sz w:val="22"/>
                <w:szCs w:val="22"/>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-393700</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-393700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-393700</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-1087755</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-1567815</wp:posOffset>
            </wp:positionV>
            <wp:extent cx="596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-1567815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-1567815</wp:posOffset>
            </wp:positionV>
            <wp:extent cx="59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-2673985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-3025140</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-3025140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-3291205</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-3291205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Decrease/Increase in net actuarial losses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-1088390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Revision Of Previously Issued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 in preparing the consolidated financial statements for the quarter ended June 30, 2025, we identified errors in our previously issued financial statements related to our historical computation of currency remeasurement of our foreign operations in Turkey, which was designated as a highly inflationary economy beginning April 1, 2022. The identified errors impacted our previously issued 2023 and 2024 annual and interim financial statements. There were no impacts on previously reported cash flows from operating, investing and financing activities in any prior periods.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amounts presented in these financial statements to correct the errors. The applicable notes to the accompanying financial statements have also been corrected to reflect the impact of the revisions of the previously filed consolidated annual financial statements.</w:t>
      </w:r>
    </w:p>
    <w:p>
      <w:pPr>
        <w:spacing w:after="0" w:line="54" w:lineRule="exact"/>
        <w:rPr>
          <w:sz w:val="20"/>
          <w:szCs w:val="20"/>
          <w:color w:val="auto"/>
        </w:rPr>
      </w:pPr>
    </w:p>
    <w:p>
      <w:pPr>
        <w:ind w:right="1280"/>
        <w:spacing w:after="0" w:line="403" w:lineRule="auto"/>
        <w:rPr>
          <w:sz w:val="20"/>
          <w:szCs w:val="20"/>
          <w:color w:val="auto"/>
        </w:rPr>
      </w:pPr>
      <w:r>
        <w:rPr>
          <w:rFonts w:ascii="Times New Roman" w:cs="Times New Roman" w:eastAsia="Times New Roman" w:hAnsi="Times New Roman"/>
          <w:sz w:val="18"/>
          <w:szCs w:val="18"/>
          <w:color w:val="auto"/>
        </w:rPr>
        <w:t xml:space="preserve">The following tables reflect the impact of the revision to the specific line items presented in our previously reported financial information. </w:t>
      </w:r>
      <w:r>
        <w:rPr>
          <w:rFonts w:ascii="Times New Roman" w:cs="Times New Roman" w:eastAsia="Times New Roman" w:hAnsi="Times New Roman"/>
          <w:sz w:val="18"/>
          <w:szCs w:val="18"/>
          <w:i w:val="1"/>
          <w:iCs w:val="1"/>
          <w:u w:val="single" w:color="auto"/>
          <w:color w:val="auto"/>
        </w:rPr>
        <w:t>Impacts to Consolidated Statements of Operations and Comprehensive Income (in millions, except per share data)</w:t>
      </w: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Pr>
          <w:p>
            <w:pPr>
              <w:spacing w:after="0"/>
              <w:rPr>
                <w:sz w:val="16"/>
                <w:szCs w:val="16"/>
                <w:color w:val="auto"/>
              </w:rPr>
            </w:pPr>
          </w:p>
        </w:tc>
        <w:tc>
          <w:tcPr>
            <w:tcW w:w="3500" w:type="dxa"/>
            <w:vAlign w:val="bottom"/>
            <w:gridSpan w:val="5"/>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229"/>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8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37"/>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r>
      <w:tr>
        <w:trPr>
          <w:trHeight w:val="27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Expense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Shareholders’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Minority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Goodyear Comprehensive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spacing w:after="0" w:line="36" w:lineRule="exact"/>
        <w:rPr>
          <w:sz w:val="20"/>
          <w:szCs w:val="20"/>
          <w:color w:val="auto"/>
        </w:rPr>
      </w:pPr>
    </w:p>
    <w:p>
      <w:pPr>
        <w:ind w:left="360" w:right="100" w:hanging="334"/>
        <w:spacing w:after="0" w:line="229" w:lineRule="auto"/>
        <w:tabs>
          <w:tab w:leader="none" w:pos="217"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Expense also reflects the reclassification of Net (Gain) Loss on Asset Sales of $(93) million and $(104) million for the years ended December 31, 2024 and 2023, respectively, to conform to the current presentation.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Impacts to Consolidated Balance Sheets and Statements of Shareholders' Equity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43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37"/>
        </w:trPr>
        <w:tc>
          <w:tcPr>
            <w:tcW w:w="4360" w:type="dxa"/>
            <w:vAlign w:val="bottom"/>
            <w:tcBorders>
              <w:bottom w:val="single" w:sz="8" w:color="CCEEFF"/>
            </w:tcBorders>
          </w:tcPr>
          <w:p>
            <w:pPr>
              <w:spacing w:after="0"/>
              <w:rPr>
                <w:sz w:val="3"/>
                <w:szCs w:val="3"/>
                <w:color w:val="auto"/>
              </w:rPr>
            </w:pPr>
          </w:p>
        </w:tc>
        <w:tc>
          <w:tcPr>
            <w:tcW w:w="32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r>
      <w:tr>
        <w:trPr>
          <w:trHeight w:val="27"/>
        </w:trPr>
        <w:tc>
          <w:tcPr>
            <w:tcW w:w="43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w:t>
            </w:r>
          </w:p>
        </w:tc>
      </w:tr>
      <w:tr>
        <w:trPr>
          <w:trHeight w:val="24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 Trade</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7"/>
        </w:trPr>
        <w:tc>
          <w:tcPr>
            <w:tcW w:w="43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16,098</w:t>
            </w:r>
          </w:p>
        </w:tc>
      </w:tr>
      <w:tr>
        <w:trPr>
          <w:trHeight w:val="27"/>
        </w:trPr>
        <w:tc>
          <w:tcPr>
            <w:tcW w:w="43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Goodyear Shareholders' Equity</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7"/>
        </w:trPr>
        <w:tc>
          <w:tcPr>
            <w:tcW w:w="43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7"/>
        </w:trPr>
        <w:tc>
          <w:tcPr>
            <w:tcW w:w="43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w:t>
            </w:r>
          </w:p>
        </w:tc>
      </w:tr>
      <w:tr>
        <w:trPr>
          <w:trHeight w:val="783"/>
        </w:trPr>
        <w:tc>
          <w:tcPr>
            <w:tcW w:w="4360" w:type="dxa"/>
            <w:vAlign w:val="bottom"/>
          </w:tcPr>
          <w:p>
            <w:pPr>
              <w:spacing w:after="0"/>
              <w:rPr>
                <w:sz w:val="24"/>
                <w:szCs w:val="24"/>
                <w:color w:val="auto"/>
              </w:rPr>
            </w:pPr>
          </w:p>
        </w:tc>
        <w:tc>
          <w:tcPr>
            <w:tcW w:w="32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3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2025 (the end of the period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is presented on page 55 of this Annual Report on Form 10-K. The report of PricewaterhouseCoopers LLP relating to the consolidated financial statements, financial statement schedule, and the effectiveness of internal control over financial reporting is presented on page 56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2025, none of our directors or officers informed us of the adoption, modification or termination of a "Rule 10b5-1 trading arrangement" or a "non-Rule 10b5-1 trading arrangement," as those terms are defined in Regulation S-K, Item 408.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13, 2026 to be filed with the SEC pursuant to Regulation 14A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Goodyear has adopted a code of business conduct and ethics for directors, officers and employees, known as the Business Conduct Manual. Goodyear also has adopted a conflict of interest policy applicable to directors and executive officers. Both of these documents are available on Goodyear’s website at: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https://corporate.goodyear.com/us/en/investors/governance/governance-documents.html.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request a free copy of these documents from:</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Innovation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Akron, Ohio 44316-0001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(330) 796-3751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Goodyear’s Code of Ethics for the Chief Executive Officer and Senior Financial Officers (the “Code of Ethics”) is also posted on Goodyear’s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and waivers of the Code of Ethics will be disclosed on the website.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1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Part II, Item 5 for information regarding our equity compensation plans. The other information required by this item is incorporated herein by reference from the Proxy Statement.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117"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See Index to Consolidated Financial Statements on page 54 of this Annual Report.</w:t>
      </w:r>
    </w:p>
    <w:p>
      <w:pPr>
        <w:spacing w:after="0" w:line="117" w:lineRule="exact"/>
        <w:rPr>
          <w:rFonts w:ascii="Times New Roman" w:cs="Times New Roman" w:eastAsia="Times New Roman" w:hAnsi="Times New Roman"/>
          <w:sz w:val="18"/>
          <w:szCs w:val="18"/>
          <w:color w:val="auto"/>
        </w:rPr>
      </w:pPr>
    </w:p>
    <w:p>
      <w:pPr>
        <w:ind w:left="340" w:hanging="332"/>
        <w:spacing w:after="0" w:line="286" w:lineRule="auto"/>
        <w:tabs>
          <w:tab w:leader="none" w:pos="3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See Index to Financial Statement Schedules attached to this Annual Report at page FS-1.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 page FS-2 is incorporated into and made a part of this Annual Report.</w:t>
      </w:r>
    </w:p>
    <w:p>
      <w:pPr>
        <w:spacing w:after="0" w:line="46" w:lineRule="exact"/>
        <w:rPr>
          <w:rFonts w:ascii="Times New Roman" w:cs="Times New Roman" w:eastAsia="Times New Roman" w:hAnsi="Times New Roman"/>
          <w:sz w:val="18"/>
          <w:szCs w:val="18"/>
          <w:color w:val="auto"/>
        </w:rPr>
      </w:pPr>
    </w:p>
    <w:p>
      <w:pPr>
        <w:ind w:left="340" w:hanging="332"/>
        <w:spacing w:after="0" w:line="286" w:lineRule="auto"/>
        <w:tabs>
          <w:tab w:leader="none" w:pos="3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required to be filed by Item 601 of Regulation S-K: </w:t>
      </w:r>
      <w:r>
        <w:rPr>
          <w:rFonts w:ascii="Times New Roman" w:cs="Times New Roman" w:eastAsia="Times New Roman" w:hAnsi="Times New Roman"/>
          <w:sz w:val="18"/>
          <w:szCs w:val="18"/>
          <w:color w:val="auto"/>
        </w:rPr>
        <w:t>See the Index of Exhibits at pages X-1 through X-5, inclusive, which is attached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into and made a part of this Annual Report.</w:t>
      </w:r>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15(a)(2) OF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 No.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37"/>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Valuation and Qualifying Accounts</w:t>
            </w: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II</w:t>
            </w: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FS-2</w:t>
            </w:r>
          </w:p>
        </w:tc>
        <w:tc>
          <w:tcPr>
            <w:tcW w:w="0" w:type="dxa"/>
            <w:vAlign w:val="bottom"/>
          </w:tcPr>
          <w:p>
            <w:pPr>
              <w:spacing w:after="0"/>
              <w:rPr>
                <w:sz w:val="1"/>
                <w:szCs w:val="1"/>
                <w:color w:val="auto"/>
              </w:rPr>
            </w:pPr>
          </w:p>
        </w:tc>
      </w:tr>
      <w:tr>
        <w:trPr>
          <w:trHeight w:val="20"/>
        </w:trPr>
        <w:tc>
          <w:tcPr>
            <w:tcW w:w="254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740" w:type="dxa"/>
            <w:vAlign w:val="bottom"/>
            <w:vMerge w:val="restart"/>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274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at</w:t>
            </w:r>
          </w:p>
        </w:tc>
        <w:tc>
          <w:tcPr>
            <w:tcW w:w="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74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8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14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(credited)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4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 AOCL</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7"/>
        </w:trPr>
        <w:tc>
          <w:tcPr>
            <w:tcW w:w="25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FF0FC"/>
            </w:tcBorders>
            <w:shd w:val="clear" w:color="auto" w:fill="CFF0FC"/>
          </w:tcPr>
          <w:p>
            <w:pPr>
              <w:spacing w:after="0"/>
              <w:rPr>
                <w:sz w:val="17"/>
                <w:szCs w:val="17"/>
                <w:color w:val="auto"/>
              </w:rPr>
            </w:pPr>
          </w:p>
        </w:tc>
        <w:tc>
          <w:tcPr>
            <w:tcW w:w="27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1,407</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50"/>
        </w:trPr>
        <w:tc>
          <w:tcPr>
            <w:tcW w:w="35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r>
      <w:tr>
        <w:trPr>
          <w:trHeight w:val="228"/>
        </w:trPr>
        <w:tc>
          <w:tcPr>
            <w:tcW w:w="35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r>
      <w:tr>
        <w:trPr>
          <w:trHeight w:val="237"/>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50"/>
        </w:trPr>
        <w:tc>
          <w:tcPr>
            <w:tcW w:w="35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r>
      <w:tr>
        <w:trPr>
          <w:trHeight w:val="228"/>
        </w:trPr>
        <w:tc>
          <w:tcPr>
            <w:tcW w:w="35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r>
      <w:tr>
        <w:trPr>
          <w:trHeight w:val="237"/>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1,072</w:t>
            </w: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202</w:t>
            </w: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3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Accounts receivable charged off.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876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8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20" w:hanging="611"/>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75" w:lineRule="exact"/>
        <w:rPr>
          <w:sz w:val="20"/>
          <w:szCs w:val="20"/>
          <w:color w:val="auto"/>
        </w:rPr>
      </w:pPr>
    </w:p>
    <w:p>
      <w:pPr>
        <w:jc w:val="both"/>
        <w:ind w:left="1020" w:right="1600" w:hanging="666"/>
        <w:spacing w:after="0" w:line="266" w:lineRule="auto"/>
        <w:tabs>
          <w:tab w:leader="none" w:pos="1020" w:val="left"/>
        </w:tabs>
        <w:numPr>
          <w:ilvl w:val="0"/>
          <w:numId w:val="53"/>
        </w:numPr>
        <w:rPr>
          <w:rFonts w:ascii="Times New Roman" w:cs="Times New Roman" w:eastAsia="Times New Roman" w:hAnsi="Times New Roman"/>
          <w:sz w:val="18"/>
          <w:szCs w:val="18"/>
          <w:u w:val="single" w:color="auto"/>
          <w:color w:val="0000FF"/>
        </w:rPr>
      </w:pPr>
      <w:hyperlink r:id="rId405">
        <w:r>
          <w:rPr>
            <w:rFonts w:ascii="Times New Roman" w:cs="Times New Roman" w:eastAsia="Times New Roman" w:hAnsi="Times New Roman"/>
            <w:sz w:val="18"/>
            <w:szCs w:val="18"/>
            <w:u w:val="single" w:color="auto"/>
            <w:color w:val="0000FF"/>
          </w:rPr>
          <w:t>Share and Asset Purchase Agreement, dated as of July 22, 2024, by and between the Company and The Yokohama</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Rubber Company, Limited (incorporated by reference, filed as Exhibit 2.1 to the Company's Quarterly Report on Form</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10-Q for the quarter ended September 30, 2024, File No. 1-1927).**</w:t>
        </w:r>
      </w:hyperlink>
    </w:p>
    <w:p>
      <w:pPr>
        <w:spacing w:after="0" w:line="121" w:lineRule="exact"/>
        <w:rPr>
          <w:rFonts w:ascii="Times New Roman" w:cs="Times New Roman" w:eastAsia="Times New Roman" w:hAnsi="Times New Roman"/>
          <w:sz w:val="18"/>
          <w:szCs w:val="18"/>
          <w:u w:val="single" w:color="auto"/>
          <w:color w:val="0000FF"/>
        </w:rPr>
      </w:pPr>
    </w:p>
    <w:p>
      <w:pPr>
        <w:jc w:val="both"/>
        <w:ind w:left="1020" w:right="1600" w:hanging="671"/>
        <w:spacing w:after="0" w:line="266" w:lineRule="auto"/>
        <w:tabs>
          <w:tab w:leader="none" w:pos="1020" w:val="left"/>
        </w:tabs>
        <w:numPr>
          <w:ilvl w:val="0"/>
          <w:numId w:val="53"/>
        </w:numPr>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Purchase Agreement, dated as of January 7, 2025, by and between the Company and Sumitomo Rubber Industries, Ltd.</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(incorporated by reference, filed as Exhibit 2.1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March 31, 2025, File No. 1-1927).**</w:t>
        </w:r>
      </w:hyperlink>
    </w:p>
    <w:p>
      <w:pPr>
        <w:spacing w:after="0" w:line="121" w:lineRule="exact"/>
        <w:rPr>
          <w:rFonts w:ascii="Times New Roman" w:cs="Times New Roman" w:eastAsia="Times New Roman" w:hAnsi="Times New Roman"/>
          <w:sz w:val="18"/>
          <w:szCs w:val="18"/>
          <w:u w:val="single" w:color="auto"/>
          <w:color w:val="0000FF"/>
        </w:rPr>
      </w:pPr>
    </w:p>
    <w:p>
      <w:pPr>
        <w:jc w:val="both"/>
        <w:ind w:left="1020" w:right="1600" w:hanging="666"/>
        <w:spacing w:after="0" w:line="266" w:lineRule="auto"/>
        <w:tabs>
          <w:tab w:leader="none" w:pos="1020" w:val="left"/>
        </w:tabs>
        <w:numPr>
          <w:ilvl w:val="0"/>
          <w:numId w:val="53"/>
        </w:numPr>
        <w:rPr>
          <w:rFonts w:ascii="Times New Roman" w:cs="Times New Roman" w:eastAsia="Times New Roman" w:hAnsi="Times New Roman"/>
          <w:sz w:val="18"/>
          <w:szCs w:val="18"/>
          <w:u w:val="single" w:color="auto"/>
          <w:color w:val="0000FF"/>
        </w:rPr>
      </w:pPr>
      <w:hyperlink r:id="rId407">
        <w:r>
          <w:rPr>
            <w:rFonts w:ascii="Times New Roman" w:cs="Times New Roman" w:eastAsia="Times New Roman" w:hAnsi="Times New Roman"/>
            <w:sz w:val="18"/>
            <w:szCs w:val="18"/>
            <w:u w:val="single" w:color="auto"/>
            <w:color w:val="0000FF"/>
          </w:rPr>
          <w:t>First Amendment to the Purchase Agreement, dated as of May 7, 2025, by and between the Company and Sumitomo</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Rubber Industries, Ltd. (incorporated by reference, filed as Exhibit 2.2 to the Company’s Quarterly Report on Form 10-</w:t>
        </w:r>
      </w:hyperlink>
      <w:hyperlink r:id="rId407">
        <w:r>
          <w:rPr>
            <w:rFonts w:ascii="Times New Roman" w:cs="Times New Roman" w:eastAsia="Times New Roman" w:hAnsi="Times New Roman"/>
            <w:sz w:val="18"/>
            <w:szCs w:val="18"/>
            <w:u w:val="single" w:color="auto"/>
            <w:color w:val="0000FF"/>
          </w:rPr>
          <w:t>Q for the quarter ended March 31, 2025, File No. 1-1927).**</w:t>
        </w:r>
      </w:hyperlink>
    </w:p>
    <w:p>
      <w:pPr>
        <w:spacing w:after="0" w:line="121" w:lineRule="exact"/>
        <w:rPr>
          <w:rFonts w:ascii="Times New Roman" w:cs="Times New Roman" w:eastAsia="Times New Roman" w:hAnsi="Times New Roman"/>
          <w:sz w:val="18"/>
          <w:szCs w:val="18"/>
          <w:u w:val="single" w:color="auto"/>
          <w:color w:val="0000FF"/>
        </w:rPr>
      </w:pPr>
    </w:p>
    <w:p>
      <w:pPr>
        <w:jc w:val="both"/>
        <w:ind w:left="1020" w:right="1600" w:hanging="671"/>
        <w:spacing w:after="0" w:line="266" w:lineRule="auto"/>
        <w:tabs>
          <w:tab w:leader="none" w:pos="1020" w:val="left"/>
        </w:tabs>
        <w:numPr>
          <w:ilvl w:val="0"/>
          <w:numId w:val="53"/>
        </w:numPr>
        <w:rPr>
          <w:rFonts w:ascii="Times New Roman" w:cs="Times New Roman" w:eastAsia="Times New Roman" w:hAnsi="Times New Roman"/>
          <w:sz w:val="18"/>
          <w:szCs w:val="18"/>
          <w:u w:val="single" w:color="auto"/>
          <w:color w:val="0000FF"/>
        </w:rPr>
      </w:pPr>
      <w:hyperlink r:id="rId408">
        <w:r>
          <w:rPr>
            <w:rFonts w:ascii="Times New Roman" w:cs="Times New Roman" w:eastAsia="Times New Roman" w:hAnsi="Times New Roman"/>
            <w:sz w:val="18"/>
            <w:szCs w:val="18"/>
            <w:u w:val="single" w:color="auto"/>
            <w:color w:val="0000FF"/>
          </w:rPr>
          <w:t>Asset Purchase Agreement, dated as of May 22, 2025, by and between the Company and G-3 Chickadee Purchaser,</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LLC (incorporated by reference, filed as Exhibit 2.1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ended June 30, 2025, File No. 1-1927).**</w:t>
        </w:r>
      </w:hyperlink>
    </w:p>
    <w:p>
      <w:pPr>
        <w:spacing w:after="0" w:line="121" w:lineRule="exact"/>
        <w:rPr>
          <w:rFonts w:ascii="Times New Roman" w:cs="Times New Roman" w:eastAsia="Times New Roman" w:hAnsi="Times New Roman"/>
          <w:sz w:val="18"/>
          <w:szCs w:val="18"/>
          <w:u w:val="single" w:color="auto"/>
          <w:color w:val="0000FF"/>
        </w:rPr>
      </w:pPr>
    </w:p>
    <w:p>
      <w:pPr>
        <w:jc w:val="both"/>
        <w:ind w:left="1020" w:right="1600" w:hanging="666"/>
        <w:spacing w:after="0" w:line="266" w:lineRule="auto"/>
        <w:tabs>
          <w:tab w:leader="none" w:pos="1020" w:val="left"/>
        </w:tabs>
        <w:numPr>
          <w:ilvl w:val="0"/>
          <w:numId w:val="53"/>
        </w:numPr>
        <w:rPr>
          <w:rFonts w:ascii="Times New Roman" w:cs="Times New Roman" w:eastAsia="Times New Roman" w:hAnsi="Times New Roman"/>
          <w:sz w:val="18"/>
          <w:szCs w:val="18"/>
          <w:u w:val="single" w:color="auto"/>
          <w:color w:val="0000FF"/>
        </w:rPr>
      </w:pPr>
      <w:hyperlink r:id="rId409">
        <w:r>
          <w:rPr>
            <w:rFonts w:ascii="Times New Roman" w:cs="Times New Roman" w:eastAsia="Times New Roman" w:hAnsi="Times New Roman"/>
            <w:sz w:val="18"/>
            <w:szCs w:val="18"/>
            <w:u w:val="single" w:color="auto"/>
            <w:color w:val="0000FF"/>
          </w:rPr>
          <w:t>Amendment 1 to Asset Purchase Agreement, dated as of August 4, 2025, by and between the Company and G-3</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Chickadee Purchaser, LLC (incorporated by reference, filed as Exhibit 2.2 to the Company’s Quarterly Report on Form</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10-Q for the quarter ended June 30, 2025, File No. 1-1927).**</w:t>
        </w:r>
      </w:hyperlink>
    </w:p>
    <w:p>
      <w:pPr>
        <w:spacing w:after="0" w:line="118" w:lineRule="exact"/>
        <w:rPr>
          <w:rFonts w:ascii="Times New Roman" w:cs="Times New Roman" w:eastAsia="Times New Roman" w:hAnsi="Times New Roman"/>
          <w:sz w:val="18"/>
          <w:szCs w:val="18"/>
          <w:u w:val="single" w:color="auto"/>
          <w:color w:val="0000FF"/>
        </w:rPr>
      </w:pPr>
    </w:p>
    <w:p>
      <w:pPr>
        <w:ind w:left="1020" w:hanging="611"/>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175" w:lineRule="exact"/>
        <w:rPr>
          <w:rFonts w:ascii="Times New Roman" w:cs="Times New Roman" w:eastAsia="Times New Roman" w:hAnsi="Times New Roman"/>
          <w:sz w:val="18"/>
          <w:szCs w:val="18"/>
          <w:u w:val="single" w:color="auto"/>
          <w:color w:val="0000FF"/>
        </w:rPr>
      </w:pPr>
    </w:p>
    <w:p>
      <w:pPr>
        <w:jc w:val="both"/>
        <w:ind w:left="1020" w:right="1600" w:hanging="666"/>
        <w:spacing w:after="0" w:line="253" w:lineRule="auto"/>
        <w:tabs>
          <w:tab w:leader="none" w:pos="1020" w:val="left"/>
        </w:tabs>
        <w:numPr>
          <w:ilvl w:val="0"/>
          <w:numId w:val="55"/>
        </w:numPr>
        <w:rPr>
          <w:rFonts w:ascii="Times New Roman" w:cs="Times New Roman" w:eastAsia="Times New Roman" w:hAnsi="Times New Roman"/>
          <w:sz w:val="18"/>
          <w:szCs w:val="18"/>
          <w:u w:val="single" w:color="auto"/>
          <w:color w:val="0000FF"/>
        </w:rPr>
      </w:pPr>
      <w:hyperlink r:id="rId410">
        <w:r>
          <w:rPr>
            <w:rFonts w:ascii="Times New Roman" w:cs="Times New Roman" w:eastAsia="Times New Roman" w:hAnsi="Times New Roman"/>
            <w:sz w:val="18"/>
            <w:szCs w:val="18"/>
            <w:u w:val="single" w:color="auto"/>
            <w:color w:val="0000FF"/>
          </w:rPr>
          <w:t>Certificate of Amended Articles of Incorporation of The Goodyear Tire &amp; Rubber Company, dated December 20, 1954,</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Certificate of Amendment to Amended Articles of Incorporation of the Company, dated April 6, 1993, Certificate of</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Amendment to Amended Articles of Incorporation of the Company, dated June 4, 1996, Certificate of Amendment to</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Amended Articles of Incorporation of the Company, dated April 18, 2006, Certificate of Amendment to Amended</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Articles of Incorporation of the Company, dated April 22, 2009, Certificate of Amendment to Amended Articles of</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Incorporation of the Company, dated March 30, 2011, Certificate of Amendment to Amended Articles of Incorporation</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of the Company, dated April 16, 2015, and Certificate of Amendment to Amended Articles of Incorporation of the</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Company, dated April 19, 2023, together comprising the Company's Articles of Incorporation, as amended</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(incorporated by reference, filed as Exhibit 3.1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March 31, 2023, File No. 1-1927).</w:t>
        </w:r>
      </w:hyperlink>
    </w:p>
    <w:p>
      <w:pPr>
        <w:spacing w:after="0" w:line="140" w:lineRule="exact"/>
        <w:rPr>
          <w:rFonts w:ascii="Times New Roman" w:cs="Times New Roman" w:eastAsia="Times New Roman" w:hAnsi="Times New Roman"/>
          <w:sz w:val="18"/>
          <w:szCs w:val="18"/>
          <w:u w:val="single" w:color="auto"/>
          <w:color w:val="0000FF"/>
        </w:rPr>
      </w:pPr>
    </w:p>
    <w:p>
      <w:pPr>
        <w:jc w:val="both"/>
        <w:ind w:left="1020" w:right="1600" w:hanging="671"/>
        <w:spacing w:after="0" w:line="266" w:lineRule="auto"/>
        <w:tabs>
          <w:tab w:leader="none" w:pos="1020" w:val="left"/>
        </w:tabs>
        <w:numPr>
          <w:ilvl w:val="0"/>
          <w:numId w:val="55"/>
        </w:numPr>
        <w:rPr>
          <w:rFonts w:ascii="Times New Roman" w:cs="Times New Roman" w:eastAsia="Times New Roman" w:hAnsi="Times New Roman"/>
          <w:sz w:val="18"/>
          <w:szCs w:val="18"/>
          <w:u w:val="single" w:color="auto"/>
          <w:color w:val="0000FF"/>
        </w:rPr>
      </w:pPr>
      <w:hyperlink r:id="rId411">
        <w:r>
          <w:rPr>
            <w:rFonts w:ascii="Times New Roman" w:cs="Times New Roman" w:eastAsia="Times New Roman" w:hAnsi="Times New Roman"/>
            <w:sz w:val="18"/>
            <w:szCs w:val="18"/>
            <w:u w:val="single" w:color="auto"/>
            <w:color w:val="0000FF"/>
          </w:rPr>
          <w:t>Code of Regulations of The Goodyear Tire &amp; Rubber Company, adopted November 22, 1955, and as most recently</w:t>
        </w:r>
      </w:hyperlink>
      <w:r>
        <w:rPr>
          <w:rFonts w:ascii="Times New Roman" w:cs="Times New Roman" w:eastAsia="Times New Roman" w:hAnsi="Times New Roman"/>
          <w:sz w:val="18"/>
          <w:szCs w:val="18"/>
          <w:u w:val="single" w:color="auto"/>
          <w:color w:val="0000FF"/>
        </w:rPr>
        <w:t xml:space="preserve"> </w:t>
      </w:r>
      <w:hyperlink r:id="rId411">
        <w:r>
          <w:rPr>
            <w:rFonts w:ascii="Times New Roman" w:cs="Times New Roman" w:eastAsia="Times New Roman" w:hAnsi="Times New Roman"/>
            <w:sz w:val="18"/>
            <w:szCs w:val="18"/>
            <w:u w:val="single" w:color="auto"/>
            <w:color w:val="0000FF"/>
          </w:rPr>
          <w:t>amended on October 4, 2022 (incorporated by reference, filed as Exhibit 3.1 to the Company’s Current Report on Form</w:t>
        </w:r>
      </w:hyperlink>
      <w:r>
        <w:rPr>
          <w:rFonts w:ascii="Times New Roman" w:cs="Times New Roman" w:eastAsia="Times New Roman" w:hAnsi="Times New Roman"/>
          <w:sz w:val="18"/>
          <w:szCs w:val="18"/>
          <w:u w:val="single" w:color="auto"/>
          <w:color w:val="0000FF"/>
        </w:rPr>
        <w:t xml:space="preserve"> </w:t>
      </w:r>
      <w:hyperlink r:id="rId411">
        <w:r>
          <w:rPr>
            <w:rFonts w:ascii="Times New Roman" w:cs="Times New Roman" w:eastAsia="Times New Roman" w:hAnsi="Times New Roman"/>
            <w:sz w:val="18"/>
            <w:szCs w:val="18"/>
            <w:u w:val="single" w:color="auto"/>
            <w:color w:val="0000FF"/>
          </w:rPr>
          <w:t>8-K, filed October 11, 2022, File No. 1-1927).</w:t>
        </w:r>
      </w:hyperlink>
    </w:p>
    <w:p>
      <w:pPr>
        <w:spacing w:after="0" w:line="118" w:lineRule="exact"/>
        <w:rPr>
          <w:rFonts w:ascii="Times New Roman" w:cs="Times New Roman" w:eastAsia="Times New Roman" w:hAnsi="Times New Roman"/>
          <w:sz w:val="18"/>
          <w:szCs w:val="18"/>
          <w:u w:val="single" w:color="auto"/>
          <w:color w:val="0000FF"/>
        </w:rPr>
      </w:pPr>
    </w:p>
    <w:p>
      <w:pPr>
        <w:ind w:left="1020" w:hanging="611"/>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175" w:lineRule="exact"/>
        <w:rPr>
          <w:rFonts w:ascii="Times New Roman" w:cs="Times New Roman" w:eastAsia="Times New Roman" w:hAnsi="Times New Roman"/>
          <w:sz w:val="18"/>
          <w:szCs w:val="18"/>
          <w:u w:val="single" w:color="auto"/>
          <w:color w:val="0000FF"/>
        </w:rPr>
      </w:pPr>
    </w:p>
    <w:p>
      <w:pPr>
        <w:jc w:val="both"/>
        <w:ind w:left="1020" w:right="1600" w:hanging="666"/>
        <w:spacing w:after="0" w:line="266" w:lineRule="auto"/>
        <w:tabs>
          <w:tab w:leader="none" w:pos="1020" w:val="left"/>
        </w:tabs>
        <w:numPr>
          <w:ilvl w:val="0"/>
          <w:numId w:val="57"/>
        </w:numPr>
        <w:rPr>
          <w:rFonts w:ascii="Times New Roman" w:cs="Times New Roman" w:eastAsia="Times New Roman" w:hAnsi="Times New Roman"/>
          <w:sz w:val="18"/>
          <w:szCs w:val="18"/>
          <w:u w:val="single" w:color="auto"/>
          <w:color w:val="0000FF"/>
        </w:rPr>
      </w:pPr>
      <w:hyperlink r:id="rId412">
        <w:r>
          <w:rPr>
            <w:rFonts w:ascii="Times New Roman" w:cs="Times New Roman" w:eastAsia="Times New Roman" w:hAnsi="Times New Roman"/>
            <w:sz w:val="18"/>
            <w:szCs w:val="18"/>
            <w:u w:val="single" w:color="auto"/>
            <w:color w:val="0000FF"/>
          </w:rPr>
          <w:t>Specimen Nondenominational Certificate for Shares of the Common Stock, Without Par Value, of the Company</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(incorporated by reference, filed as Exhibit 4.1 to the Company’s Current Report on Form 8-K, filed May 9, 2007, File</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No. 1-1927).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X-1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020" w:right="499" w:hanging="671"/>
        <w:spacing w:after="0" w:line="261" w:lineRule="auto"/>
        <w:tabs>
          <w:tab w:leader="none" w:pos="1020" w:val="left"/>
        </w:tabs>
        <w:numPr>
          <w:ilvl w:val="0"/>
          <w:numId w:val="58"/>
        </w:numPr>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u w:val="single" w:color="auto"/>
            <w:color w:val="0000FF"/>
          </w:rPr>
          <w:t>Indenture, dated as of March 15, 1996, between the Company and Chemical Bank (now Computershare Trust</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Company, N.A.), as Trustee, as supplemented on March 16, 1998, in respect of the Company’s 7% Notes due 2028</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(incorporated by reference, filed as Exhibit 4.1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March 31, 1998, File No. 1-1927)</w:t>
        </w:r>
        <w:r>
          <w:rPr>
            <w:rFonts w:ascii="Times New Roman" w:cs="Times New Roman" w:eastAsia="Times New Roman" w:hAnsi="Times New Roman"/>
            <w:sz w:val="18"/>
            <w:szCs w:val="18"/>
            <w:color w:val="000000"/>
          </w:rPr>
          <w:t>.</w:t>
        </w:r>
      </w:hyperlink>
    </w:p>
    <w:p>
      <w:pPr>
        <w:spacing w:after="0" w:line="125" w:lineRule="exact"/>
        <w:rPr>
          <w:rFonts w:ascii="Times New Roman" w:cs="Times New Roman" w:eastAsia="Times New Roman" w:hAnsi="Times New Roman"/>
          <w:sz w:val="18"/>
          <w:szCs w:val="18"/>
          <w:color w:val="0000FF"/>
        </w:rPr>
      </w:pPr>
    </w:p>
    <w:p>
      <w:pPr>
        <w:jc w:val="both"/>
        <w:ind w:left="1020" w:right="499" w:hanging="666"/>
        <w:spacing w:after="0" w:line="256" w:lineRule="auto"/>
        <w:tabs>
          <w:tab w:leader="none" w:pos="1020" w:val="left"/>
        </w:tabs>
        <w:numPr>
          <w:ilvl w:val="0"/>
          <w:numId w:val="58"/>
        </w:numPr>
        <w:rPr>
          <w:rFonts w:ascii="Times New Roman" w:cs="Times New Roman" w:eastAsia="Times New Roman" w:hAnsi="Times New Roman"/>
          <w:sz w:val="18"/>
          <w:szCs w:val="18"/>
          <w:u w:val="single" w:color="auto"/>
          <w:color w:val="0000FF"/>
        </w:rPr>
      </w:pPr>
      <w:hyperlink r:id="rId415">
        <w:r>
          <w:rPr>
            <w:rFonts w:ascii="Times New Roman" w:cs="Times New Roman" w:eastAsia="Times New Roman" w:hAnsi="Times New Roman"/>
            <w:sz w:val="18"/>
            <w:szCs w:val="18"/>
            <w:u w:val="single" w:color="auto"/>
            <w:color w:val="0000FF"/>
          </w:rPr>
          <w:t>Indenture, dated as of March 17, 1997, between Cooper Tire &amp; Rubber Company and The Chase Manhattan Bank (now</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The Bank of New York Mellon Corporation), as Trustee, in respect of the Company's 7.625% Notes due 2027</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(incorporated by reference, filed as Exhibit 4.1 to Cooper Tire &amp; Rubber Company’s Registration Statement on Form</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S-3, filed October 15, 1999, File No. 001-04329), as supplemented by the First Supplemental Indenture, dated as of</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November 25, 2022, in respect of the Company’s 7.625% Notes due 2027 (incorporated by reference, filed as Exhibit</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4.1 to the Company's Annual Report on Form 10-K for the year ended December 31, 2022, File No. 1-1927).</w:t>
        </w:r>
      </w:hyperlink>
    </w:p>
    <w:p>
      <w:pPr>
        <w:spacing w:after="0" w:line="133" w:lineRule="exact"/>
        <w:rPr>
          <w:rFonts w:ascii="Times New Roman" w:cs="Times New Roman" w:eastAsia="Times New Roman" w:hAnsi="Times New Roman"/>
          <w:sz w:val="18"/>
          <w:szCs w:val="18"/>
          <w:u w:val="single" w:color="auto"/>
          <w:color w:val="0000FF"/>
        </w:rPr>
      </w:pPr>
    </w:p>
    <w:p>
      <w:pPr>
        <w:jc w:val="both"/>
        <w:ind w:left="1020" w:right="499" w:hanging="671"/>
        <w:spacing w:after="0" w:line="252" w:lineRule="auto"/>
        <w:tabs>
          <w:tab w:leader="none" w:pos="1020" w:val="left"/>
        </w:tabs>
        <w:numPr>
          <w:ilvl w:val="0"/>
          <w:numId w:val="58"/>
        </w:numPr>
        <w:rPr>
          <w:rFonts w:ascii="Times New Roman" w:cs="Times New Roman" w:eastAsia="Times New Roman" w:hAnsi="Times New Roman"/>
          <w:sz w:val="18"/>
          <w:szCs w:val="18"/>
          <w:u w:val="single" w:color="auto"/>
          <w:color w:val="0000FF"/>
        </w:rPr>
      </w:pPr>
      <w:hyperlink r:id="rId417">
        <w:r>
          <w:rPr>
            <w:rFonts w:ascii="Times New Roman" w:cs="Times New Roman" w:eastAsia="Times New Roman" w:hAnsi="Times New Roman"/>
            <w:sz w:val="18"/>
            <w:szCs w:val="18"/>
            <w:u w:val="single" w:color="auto"/>
            <w:color w:val="0000FF"/>
          </w:rPr>
          <w:t>Indenture, dated as of August 13, 2010, among the Company, the subsidiary guarantors party thereto and Wells Fargo</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Bank, N.A. (now Computershare Trust Company N.A.), as Trustee (incorporated by reference, filed as Exhibit 4.1 to</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the Company’s Current Report on Form 8-K, filed August 13, 2010, File No. 1-1927), as supplemented by the Sixth</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Supplemental Indenture thereto, dated as of March 7, 2017, in respect of the Company’s 4.875% Senior Notes due</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2027 (incorporated by reference, filed as Exhibit 4.2 to the Company's Current Report on Form 8-K, filed March 7,</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2017, File No. 1-1927), as supplemented by the Eighth Supplemental Indenture thereto, dated as of April 6, 2021, in</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respect of the Company’s 5.25% Senior Notes due April 2031 (incorporated by reference, filed as Exhibit 4.2 to the</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Company’s Current Report on Form 8-K, filed April 6, 2021, File No. 1-1927), as supplemented by the Ninth</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Supplemental Indenture thereto, dated as of April 6, 2021, in respect of the Company’s 5.625% Senior Notes due 2033</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(incorporated by reference, filed as Exhibit 4.3 to the Company’s Current Report on Form 8-K, filed April 6, 2021, File</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No. 1-1927), as supplemented by the Tenth Supplemental Indenture thereto, dated as of May 18, 2021, in respect of the</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Company’s 5% Senior Notes due 2029 (incorporated by reference, filed as Exhibit 4.2 to the Company’s Current</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Report on Form 8-K, filed May 18, 2021, File No. 1-1927), as supplemented by the Eleventh Supplemental Indenture</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thereto, dated as of May 18, 2021, in respect of the Company’s 5.25% Senior Notes due July 2031 (incorporated by</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reference, filed as Exhibit 4.3 to the Company’s Current Report on Form 8-K, filed May 18, 2021, File No. 1-1927),</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and as supplemented by the Twelfth Supplemental Indenture thereto, dated as of June 3, 2025, in respect of the</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Company’s 6.625% Senior Notes due 2030 (incorporated by reference, filed as Exhibit 4.2 to the Company’s Current</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Report on Form 8-K, filed June 3, 2025, File No. 1-1927).</w:t>
        </w:r>
      </w:hyperlink>
    </w:p>
    <w:p>
      <w:pPr>
        <w:spacing w:after="0" w:line="137" w:lineRule="exact"/>
        <w:rPr>
          <w:rFonts w:ascii="Times New Roman" w:cs="Times New Roman" w:eastAsia="Times New Roman" w:hAnsi="Times New Roman"/>
          <w:sz w:val="18"/>
          <w:szCs w:val="18"/>
          <w:u w:val="single" w:color="auto"/>
          <w:color w:val="0000FF"/>
        </w:rPr>
      </w:pPr>
    </w:p>
    <w:p>
      <w:pPr>
        <w:jc w:val="both"/>
        <w:ind w:left="1020" w:right="499" w:hanging="666"/>
        <w:spacing w:after="0" w:line="258" w:lineRule="auto"/>
        <w:tabs>
          <w:tab w:leader="none" w:pos="1020" w:val="left"/>
        </w:tabs>
        <w:numPr>
          <w:ilvl w:val="0"/>
          <w:numId w:val="58"/>
        </w:numPr>
        <w:rPr>
          <w:rFonts w:ascii="Times New Roman" w:cs="Times New Roman" w:eastAsia="Times New Roman" w:hAnsi="Times New Roman"/>
          <w:sz w:val="18"/>
          <w:szCs w:val="18"/>
          <w:u w:val="single" w:color="auto"/>
          <w:color w:val="0000FF"/>
        </w:rPr>
      </w:pPr>
      <w:hyperlink r:id="rId424">
        <w:r>
          <w:rPr>
            <w:rFonts w:ascii="Times New Roman" w:cs="Times New Roman" w:eastAsia="Times New Roman" w:hAnsi="Times New Roman"/>
            <w:sz w:val="18"/>
            <w:szCs w:val="18"/>
            <w:u w:val="single" w:color="auto"/>
            <w:color w:val="0000FF"/>
          </w:rPr>
          <w:t>Indenture, dated as of September 28, 2021, among Goodyear Europe B.V, as Issuer, the Company, as Parent Guarantor,</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the subsidiary guarantors party thereto, Deutsche Trustee Company Limited, as Trustee, Deutsche Bank AG, London</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Branch, as Principal Paying Agent and Transfer Agent, and Deutsche Bank Luxembourg S.A., as Registrar and</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Transfer Agent, in respect of GEBV's 2.75% Senior Notes due 2028 (incorporated by reference, filed as Exhibit 4.1 to</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the Company's Current Report on Form 8-K, filed September 28, 2021, File No. 1-1927).</w:t>
        </w:r>
      </w:hyperlink>
    </w:p>
    <w:p>
      <w:pPr>
        <w:spacing w:after="0" w:line="129" w:lineRule="exact"/>
        <w:rPr>
          <w:rFonts w:ascii="Times New Roman" w:cs="Times New Roman" w:eastAsia="Times New Roman" w:hAnsi="Times New Roman"/>
          <w:sz w:val="18"/>
          <w:szCs w:val="18"/>
          <w:u w:val="single" w:color="auto"/>
          <w:color w:val="0000FF"/>
        </w:rPr>
      </w:pPr>
    </w:p>
    <w:p>
      <w:pPr>
        <w:ind w:left="1020" w:right="499" w:hanging="656"/>
        <w:spacing w:after="0" w:line="282" w:lineRule="auto"/>
        <w:tabs>
          <w:tab w:leader="none" w:pos="1020" w:val="left"/>
        </w:tabs>
        <w:numPr>
          <w:ilvl w:val="0"/>
          <w:numId w:val="59"/>
        </w:numPr>
        <w:rPr>
          <w:rFonts w:ascii="Times New Roman" w:cs="Times New Roman" w:eastAsia="Times New Roman" w:hAnsi="Times New Roman"/>
          <w:sz w:val="18"/>
          <w:szCs w:val="18"/>
          <w:u w:val="single" w:color="auto"/>
          <w:color w:val="0000FF"/>
        </w:rPr>
      </w:pPr>
      <w:hyperlink r:id="rId425">
        <w:r>
          <w:rPr>
            <w:rFonts w:ascii="Times New Roman" w:cs="Times New Roman" w:eastAsia="Times New Roman" w:hAnsi="Times New Roman"/>
            <w:sz w:val="18"/>
            <w:szCs w:val="18"/>
            <w:u w:val="single" w:color="auto"/>
            <w:color w:val="0000FF"/>
          </w:rPr>
          <w:t>Description of Common Stock (incorporated by reference, filed as Exhibit 4.1 to the Company’s Annual Report on</w:t>
        </w:r>
      </w:hyperlink>
      <w:r>
        <w:rPr>
          <w:rFonts w:ascii="Times New Roman" w:cs="Times New Roman" w:eastAsia="Times New Roman" w:hAnsi="Times New Roman"/>
          <w:sz w:val="18"/>
          <w:szCs w:val="18"/>
          <w:u w:val="single" w:color="auto"/>
          <w:color w:val="0000FF"/>
        </w:rPr>
        <w:t xml:space="preserve"> </w:t>
      </w:r>
      <w:hyperlink r:id="rId425">
        <w:r>
          <w:rPr>
            <w:rFonts w:ascii="Times New Roman" w:cs="Times New Roman" w:eastAsia="Times New Roman" w:hAnsi="Times New Roman"/>
            <w:sz w:val="18"/>
            <w:szCs w:val="18"/>
            <w:u w:val="single" w:color="auto"/>
            <w:color w:val="0000FF"/>
          </w:rPr>
          <w:t>Form 10-K for the year ended December 31, 2023, File No. 1-1927).</w:t>
        </w:r>
      </w:hyperlink>
    </w:p>
    <w:p>
      <w:pPr>
        <w:spacing w:after="0" w:line="107" w:lineRule="exact"/>
        <w:rPr>
          <w:rFonts w:ascii="Times New Roman" w:cs="Times New Roman" w:eastAsia="Times New Roman" w:hAnsi="Times New Roman"/>
          <w:sz w:val="18"/>
          <w:szCs w:val="18"/>
          <w:u w:val="single" w:color="auto"/>
          <w:color w:val="0000FF"/>
        </w:rPr>
      </w:pPr>
    </w:p>
    <w:p>
      <w:pPr>
        <w:jc w:val="both"/>
        <w:ind w:left="1020" w:right="49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122"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X-2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020" w:right="1600" w:hanging="666"/>
        <w:spacing w:after="0" w:line="261" w:lineRule="auto"/>
        <w:tabs>
          <w:tab w:leader="none" w:pos="1020" w:val="left"/>
        </w:tabs>
        <w:numPr>
          <w:ilvl w:val="0"/>
          <w:numId w:val="61"/>
        </w:numPr>
        <w:rPr>
          <w:rFonts w:ascii="Times New Roman" w:cs="Times New Roman" w:eastAsia="Times New Roman" w:hAnsi="Times New Roman"/>
          <w:sz w:val="18"/>
          <w:szCs w:val="18"/>
          <w:u w:val="single" w:color="auto"/>
          <w:color w:val="0000FF"/>
        </w:rPr>
      </w:pPr>
      <w:hyperlink r:id="rId427">
        <w:r>
          <w:rPr>
            <w:rFonts w:ascii="Times New Roman" w:cs="Times New Roman" w:eastAsia="Times New Roman" w:hAnsi="Times New Roman"/>
            <w:sz w:val="18"/>
            <w:szCs w:val="18"/>
            <w:u w:val="single" w:color="auto"/>
            <w:color w:val="0000FF"/>
          </w:rPr>
          <w:t>Amended and Restated First Lien Credit Agreement, dated as of May 19, 2025, among the Company, the lenders and</w:t>
        </w:r>
      </w:hyperlink>
      <w:r>
        <w:rPr>
          <w:rFonts w:ascii="Times New Roman" w:cs="Times New Roman" w:eastAsia="Times New Roman" w:hAnsi="Times New Roman"/>
          <w:sz w:val="18"/>
          <w:szCs w:val="18"/>
          <w:u w:val="single" w:color="auto"/>
          <w:color w:val="0000FF"/>
        </w:rPr>
        <w:t xml:space="preserve"> </w:t>
      </w:r>
      <w:hyperlink r:id="rId427">
        <w:r>
          <w:rPr>
            <w:rFonts w:ascii="Times New Roman" w:cs="Times New Roman" w:eastAsia="Times New Roman" w:hAnsi="Times New Roman"/>
            <w:sz w:val="18"/>
            <w:szCs w:val="18"/>
            <w:u w:val="single" w:color="auto"/>
            <w:color w:val="0000FF"/>
          </w:rPr>
          <w:t>issuing banks party thereto, and JPMorgan Chase Bank, N.A., as Administrative Agent and Collateral Agent</w:t>
        </w:r>
      </w:hyperlink>
      <w:r>
        <w:rPr>
          <w:rFonts w:ascii="Times New Roman" w:cs="Times New Roman" w:eastAsia="Times New Roman" w:hAnsi="Times New Roman"/>
          <w:sz w:val="18"/>
          <w:szCs w:val="18"/>
          <w:u w:val="single" w:color="auto"/>
          <w:color w:val="0000FF"/>
        </w:rPr>
        <w:t xml:space="preserve"> </w:t>
      </w:r>
      <w:hyperlink r:id="rId427">
        <w:r>
          <w:rPr>
            <w:rFonts w:ascii="Times New Roman" w:cs="Times New Roman" w:eastAsia="Times New Roman" w:hAnsi="Times New Roman"/>
            <w:sz w:val="18"/>
            <w:szCs w:val="18"/>
            <w:u w:val="single" w:color="auto"/>
            <w:color w:val="0000FF"/>
          </w:rPr>
          <w:t>(incorporated by reference, filed as Exhibit 10.1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427">
        <w:r>
          <w:rPr>
            <w:rFonts w:ascii="Times New Roman" w:cs="Times New Roman" w:eastAsia="Times New Roman" w:hAnsi="Times New Roman"/>
            <w:sz w:val="18"/>
            <w:szCs w:val="18"/>
            <w:u w:val="single" w:color="auto"/>
            <w:color w:val="0000FF"/>
          </w:rPr>
          <w:t>ended June 30, 2025, File No. 1-1927).**</w:t>
        </w:r>
      </w:hyperlink>
    </w:p>
    <w:p>
      <w:pPr>
        <w:spacing w:after="0" w:line="125" w:lineRule="exact"/>
        <w:rPr>
          <w:rFonts w:ascii="Times New Roman" w:cs="Times New Roman" w:eastAsia="Times New Roman" w:hAnsi="Times New Roman"/>
          <w:sz w:val="18"/>
          <w:szCs w:val="18"/>
          <w:u w:val="single" w:color="auto"/>
          <w:color w:val="0000FF"/>
        </w:rPr>
      </w:pPr>
    </w:p>
    <w:p>
      <w:pPr>
        <w:jc w:val="both"/>
        <w:ind w:left="1020" w:right="1600" w:hanging="671"/>
        <w:spacing w:after="0" w:line="261" w:lineRule="auto"/>
        <w:tabs>
          <w:tab w:leader="none" w:pos="1020" w:val="left"/>
        </w:tabs>
        <w:numPr>
          <w:ilvl w:val="0"/>
          <w:numId w:val="61"/>
        </w:numPr>
        <w:rPr>
          <w:rFonts w:ascii="Times New Roman" w:cs="Times New Roman" w:eastAsia="Times New Roman" w:hAnsi="Times New Roman"/>
          <w:sz w:val="18"/>
          <w:szCs w:val="18"/>
          <w:u w:val="single" w:color="auto"/>
          <w:color w:val="0000FF"/>
        </w:rPr>
      </w:pPr>
      <w:hyperlink r:id="rId428">
        <w:r>
          <w:rPr>
            <w:rFonts w:ascii="Times New Roman" w:cs="Times New Roman" w:eastAsia="Times New Roman" w:hAnsi="Times New Roman"/>
            <w:sz w:val="18"/>
            <w:szCs w:val="18"/>
            <w:u w:val="single" w:color="auto"/>
            <w:color w:val="0000FF"/>
          </w:rPr>
          <w:t>Reaffirmation Agreement with respect to the Amended and Restated First Lien Guarantee and Collateral Agreement,</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dated as of May 19, 2025, among the Company, the subsidiaries of the Company identified therein and JPMorgan</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Chase Bank, N.A., as Administrative Agent and Collateral Agent (incorporated by reference, filed as Exhibit 10.2 to</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the Company’s Quarterly Report on Form 10-Q for the quarter ended June 30, 2025, File No. 1-1927).**</w:t>
        </w:r>
      </w:hyperlink>
    </w:p>
    <w:p>
      <w:pPr>
        <w:spacing w:after="0" w:line="125" w:lineRule="exact"/>
        <w:rPr>
          <w:rFonts w:ascii="Times New Roman" w:cs="Times New Roman" w:eastAsia="Times New Roman" w:hAnsi="Times New Roman"/>
          <w:sz w:val="18"/>
          <w:szCs w:val="18"/>
          <w:u w:val="single" w:color="auto"/>
          <w:color w:val="0000FF"/>
        </w:rPr>
      </w:pPr>
    </w:p>
    <w:p>
      <w:pPr>
        <w:jc w:val="both"/>
        <w:ind w:left="1020" w:right="1600" w:hanging="666"/>
        <w:spacing w:after="0" w:line="258" w:lineRule="auto"/>
        <w:tabs>
          <w:tab w:leader="none" w:pos="1020" w:val="left"/>
        </w:tabs>
        <w:numPr>
          <w:ilvl w:val="0"/>
          <w:numId w:val="61"/>
        </w:numPr>
        <w:rPr>
          <w:rFonts w:ascii="Times New Roman" w:cs="Times New Roman" w:eastAsia="Times New Roman" w:hAnsi="Times New Roman"/>
          <w:sz w:val="18"/>
          <w:szCs w:val="18"/>
          <w:u w:val="single" w:color="auto"/>
          <w:color w:val="0000FF"/>
        </w:rPr>
      </w:pPr>
      <w:hyperlink r:id="rId429">
        <w:r>
          <w:rPr>
            <w:rFonts w:ascii="Times New Roman" w:cs="Times New Roman" w:eastAsia="Times New Roman" w:hAnsi="Times New Roman"/>
            <w:sz w:val="18"/>
            <w:szCs w:val="18"/>
            <w:u w:val="single" w:color="auto"/>
            <w:color w:val="0000FF"/>
          </w:rPr>
          <w:t>Amended and Restated Revolving Credit Agreement, dated as of October 12, 2022, among the Company, Goodyear</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Europe B.V., Goodyear Germany GmbH, Goodyear Operations S.A., the lenders party thereto, J.P. Morgan SE, as</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Administrative Agent, JPMorgan Chase Bank, N.A., as Collateral Agent, and the syndication agents, documentation</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agents, joint bookrunners and joint lead arrangers identified therein (incorporated by reference, filed as Exhibit 10.3 to</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the Company’s Quarterly Report on Form 10-Q for the quarter ended September 30, 2022, File No. 1-1927).**</w:t>
        </w:r>
      </w:hyperlink>
    </w:p>
    <w:p>
      <w:pPr>
        <w:spacing w:after="0" w:line="129" w:lineRule="exact"/>
        <w:rPr>
          <w:rFonts w:ascii="Times New Roman" w:cs="Times New Roman" w:eastAsia="Times New Roman" w:hAnsi="Times New Roman"/>
          <w:sz w:val="18"/>
          <w:szCs w:val="18"/>
          <w:u w:val="single" w:color="auto"/>
          <w:color w:val="0000FF"/>
        </w:rPr>
      </w:pPr>
    </w:p>
    <w:p>
      <w:pPr>
        <w:jc w:val="both"/>
        <w:ind w:left="1020" w:right="1600" w:hanging="671"/>
        <w:spacing w:after="0" w:line="252" w:lineRule="auto"/>
        <w:tabs>
          <w:tab w:leader="none" w:pos="1020" w:val="left"/>
        </w:tabs>
        <w:numPr>
          <w:ilvl w:val="0"/>
          <w:numId w:val="61"/>
        </w:numPr>
        <w:rPr>
          <w:rFonts w:ascii="Times New Roman" w:cs="Times New Roman" w:eastAsia="Times New Roman" w:hAnsi="Times New Roman"/>
          <w:sz w:val="18"/>
          <w:szCs w:val="18"/>
          <w:u w:val="single" w:color="auto"/>
          <w:color w:val="0000FF"/>
        </w:rPr>
      </w:pPr>
      <w:hyperlink r:id="rId430">
        <w:r>
          <w:rPr>
            <w:rFonts w:ascii="Times New Roman" w:cs="Times New Roman" w:eastAsia="Times New Roman" w:hAnsi="Times New Roman"/>
            <w:sz w:val="18"/>
            <w:szCs w:val="18"/>
            <w:u w:val="single" w:color="auto"/>
            <w:color w:val="0000FF"/>
          </w:rPr>
          <w:t>Master Guarantee and Collateral Agreement, dated as of March 31, 2003, as amended and restated as of February 20,</w:t>
        </w:r>
      </w:hyperlink>
      <w:r>
        <w:rPr>
          <w:rFonts w:ascii="Times New Roman" w:cs="Times New Roman" w:eastAsia="Times New Roman" w:hAnsi="Times New Roman"/>
          <w:sz w:val="18"/>
          <w:szCs w:val="18"/>
          <w:u w:val="single" w:color="auto"/>
          <w:color w:val="0000FF"/>
        </w:rPr>
        <w:t xml:space="preserve"> </w:t>
      </w:r>
      <w:hyperlink r:id="rId430">
        <w:r>
          <w:rPr>
            <w:rFonts w:ascii="Times New Roman" w:cs="Times New Roman" w:eastAsia="Times New Roman" w:hAnsi="Times New Roman"/>
            <w:sz w:val="18"/>
            <w:szCs w:val="18"/>
            <w:u w:val="single" w:color="auto"/>
            <w:color w:val="0000FF"/>
          </w:rPr>
          <w:t>2004, and as further amended and restated as of April 8, 2005, among the Company, Goodyear Dunlop Tires Europe</w:t>
        </w:r>
      </w:hyperlink>
      <w:r>
        <w:rPr>
          <w:rFonts w:ascii="Times New Roman" w:cs="Times New Roman" w:eastAsia="Times New Roman" w:hAnsi="Times New Roman"/>
          <w:sz w:val="18"/>
          <w:szCs w:val="18"/>
          <w:u w:val="single" w:color="auto"/>
          <w:color w:val="0000FF"/>
        </w:rPr>
        <w:t xml:space="preserve"> </w:t>
      </w:r>
      <w:hyperlink r:id="rId430">
        <w:r>
          <w:rPr>
            <w:rFonts w:ascii="Times New Roman" w:cs="Times New Roman" w:eastAsia="Times New Roman" w:hAnsi="Times New Roman"/>
            <w:sz w:val="18"/>
            <w:szCs w:val="18"/>
            <w:u w:val="single" w:color="auto"/>
            <w:color w:val="0000FF"/>
          </w:rPr>
          <w:t>B.V. (now known as Goodyear Europe B.V.), the other subsidiaries of the Company identified therein and JPMorgan</w:t>
        </w:r>
      </w:hyperlink>
      <w:r>
        <w:rPr>
          <w:rFonts w:ascii="Times New Roman" w:cs="Times New Roman" w:eastAsia="Times New Roman" w:hAnsi="Times New Roman"/>
          <w:sz w:val="18"/>
          <w:szCs w:val="18"/>
          <w:u w:val="single" w:color="auto"/>
          <w:color w:val="0000FF"/>
        </w:rPr>
        <w:t xml:space="preserve"> </w:t>
      </w:r>
      <w:hyperlink r:id="rId430">
        <w:r>
          <w:rPr>
            <w:rFonts w:ascii="Times New Roman" w:cs="Times New Roman" w:eastAsia="Times New Roman" w:hAnsi="Times New Roman"/>
            <w:sz w:val="18"/>
            <w:szCs w:val="18"/>
            <w:u w:val="single" w:color="auto"/>
            <w:color w:val="0000FF"/>
          </w:rPr>
          <w:t>Chase Bank, N.A., as Collateral Agent (incorporated by reference, filed as Exhibit 4.7 to the Company’s Quarterly</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Report on Form 10-Q for the quarter ended March 31, 2005, File No. 1-1927), as amended by the Amendment and</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Restatement Agreement, dated as of April 20, 2007 (incorporated by reference, filed as Exhibit 4.6 to the Company’s</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Quarterly Report on Form 10-Q for the quarter ended March 31, 2007, File No. 1-1927), as amended by the</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Amendment and Restatement Agreement, dated as of April 20, 2011 (incorporated by reference, filed as Exhibit 10.1 to</w:t>
        </w:r>
      </w:hyperlink>
      <w:r>
        <w:rPr>
          <w:rFonts w:ascii="Times New Roman" w:cs="Times New Roman" w:eastAsia="Times New Roman" w:hAnsi="Times New Roman"/>
          <w:sz w:val="18"/>
          <w:szCs w:val="18"/>
          <w:u w:val="single" w:color="auto"/>
          <w:color w:val="0000FF"/>
        </w:rPr>
        <w:t xml:space="preserve"> </w:t>
      </w:r>
      <w:hyperlink r:id="rId433">
        <w:r>
          <w:rPr>
            <w:rFonts w:ascii="Times New Roman" w:cs="Times New Roman" w:eastAsia="Times New Roman" w:hAnsi="Times New Roman"/>
            <w:sz w:val="18"/>
            <w:szCs w:val="18"/>
            <w:u w:val="single" w:color="auto"/>
            <w:color w:val="0000FF"/>
          </w:rPr>
          <w:t>the Company's Annual Report on Form 10-K for the year ended December 31, 2011, File No. 1-1927), as amended by</w:t>
        </w:r>
      </w:hyperlink>
      <w:r>
        <w:rPr>
          <w:rFonts w:ascii="Times New Roman" w:cs="Times New Roman" w:eastAsia="Times New Roman" w:hAnsi="Times New Roman"/>
          <w:sz w:val="18"/>
          <w:szCs w:val="18"/>
          <w:u w:val="single" w:color="auto"/>
          <w:color w:val="0000FF"/>
        </w:rPr>
        <w:t xml:space="preserve"> </w:t>
      </w:r>
      <w:hyperlink r:id="rId433">
        <w:r>
          <w:rPr>
            <w:rFonts w:ascii="Times New Roman" w:cs="Times New Roman" w:eastAsia="Times New Roman" w:hAnsi="Times New Roman"/>
            <w:sz w:val="18"/>
            <w:szCs w:val="18"/>
            <w:u w:val="single" w:color="auto"/>
            <w:color w:val="0000FF"/>
          </w:rPr>
          <w:t>the Amendment and Restatement Agreement, dated as of May 12, 2015 (incorporated by reference, filed as Exhibit</w:t>
        </w:r>
      </w:hyperlink>
      <w:r>
        <w:rPr>
          <w:rFonts w:ascii="Times New Roman" w:cs="Times New Roman" w:eastAsia="Times New Roman" w:hAnsi="Times New Roman"/>
          <w:sz w:val="18"/>
          <w:szCs w:val="18"/>
          <w:u w:val="single" w:color="auto"/>
          <w:color w:val="0000FF"/>
        </w:rPr>
        <w:t xml:space="preserve"> </w:t>
      </w:r>
      <w:hyperlink r:id="rId434">
        <w:r>
          <w:rPr>
            <w:rFonts w:ascii="Times New Roman" w:cs="Times New Roman" w:eastAsia="Times New Roman" w:hAnsi="Times New Roman"/>
            <w:sz w:val="18"/>
            <w:szCs w:val="18"/>
            <w:u w:val="single" w:color="auto"/>
            <w:color w:val="0000FF"/>
          </w:rPr>
          <w:t>10.2 to the Company’s Quarterly Report on Form 10-Q for the quarter ended June 30, 2015, File No. 1-1927), as</w:t>
        </w:r>
      </w:hyperlink>
      <w:r>
        <w:rPr>
          <w:rFonts w:ascii="Times New Roman" w:cs="Times New Roman" w:eastAsia="Times New Roman" w:hAnsi="Times New Roman"/>
          <w:sz w:val="18"/>
          <w:szCs w:val="18"/>
          <w:u w:val="single" w:color="auto"/>
          <w:color w:val="0000FF"/>
        </w:rPr>
        <w:t xml:space="preserve"> </w:t>
      </w:r>
      <w:hyperlink r:id="rId434">
        <w:r>
          <w:rPr>
            <w:rFonts w:ascii="Times New Roman" w:cs="Times New Roman" w:eastAsia="Times New Roman" w:hAnsi="Times New Roman"/>
            <w:sz w:val="18"/>
            <w:szCs w:val="18"/>
            <w:u w:val="single" w:color="auto"/>
            <w:color w:val="0000FF"/>
          </w:rPr>
          <w:t>amended by the Amendment and Restatement Agreement, dated as of March 27, 2019 (incorporated by reference, filed</w:t>
        </w:r>
      </w:hyperlink>
      <w:r>
        <w:rPr>
          <w:rFonts w:ascii="Times New Roman" w:cs="Times New Roman" w:eastAsia="Times New Roman" w:hAnsi="Times New Roman"/>
          <w:sz w:val="18"/>
          <w:szCs w:val="18"/>
          <w:u w:val="single" w:color="auto"/>
          <w:color w:val="0000FF"/>
        </w:rPr>
        <w:t xml:space="preserve"> </w:t>
      </w:r>
      <w:hyperlink r:id="rId434">
        <w:r>
          <w:rPr>
            <w:rFonts w:ascii="Times New Roman" w:cs="Times New Roman" w:eastAsia="Times New Roman" w:hAnsi="Times New Roman"/>
            <w:sz w:val="18"/>
            <w:szCs w:val="18"/>
            <w:u w:val="single" w:color="auto"/>
            <w:color w:val="0000FF"/>
          </w:rPr>
          <w:t>as Exhibit 10.2 to the Company's Quarterly Report on Form 10-Q for the quarter ended March 31, 2019, File No. 1-</w:t>
        </w:r>
      </w:hyperlink>
      <w:hyperlink r:id="rId435">
        <w:r>
          <w:rPr>
            <w:rFonts w:ascii="Times New Roman" w:cs="Times New Roman" w:eastAsia="Times New Roman" w:hAnsi="Times New Roman"/>
            <w:sz w:val="18"/>
            <w:szCs w:val="18"/>
            <w:u w:val="single" w:color="auto"/>
            <w:color w:val="0000FF"/>
          </w:rPr>
          <w:t>1927), and as amended by the Amendment and Restatement Agreement, dated as of October 12, 2022 (incorporated by</w:t>
        </w:r>
      </w:hyperlink>
      <w:r>
        <w:rPr>
          <w:rFonts w:ascii="Times New Roman" w:cs="Times New Roman" w:eastAsia="Times New Roman" w:hAnsi="Times New Roman"/>
          <w:sz w:val="18"/>
          <w:szCs w:val="18"/>
          <w:u w:val="single" w:color="auto"/>
          <w:color w:val="0000FF"/>
        </w:rPr>
        <w:t xml:space="preserve"> </w:t>
      </w:r>
      <w:hyperlink r:id="rId435">
        <w:r>
          <w:rPr>
            <w:rFonts w:ascii="Times New Roman" w:cs="Times New Roman" w:eastAsia="Times New Roman" w:hAnsi="Times New Roman"/>
            <w:sz w:val="18"/>
            <w:szCs w:val="18"/>
            <w:u w:val="single" w:color="auto"/>
            <w:color w:val="0000FF"/>
          </w:rPr>
          <w:t>reference, filed as Exhibit 10.4 to the Company’s Quarterly Report on Form 10-Q for the quarter ended September 30,</w:t>
        </w:r>
      </w:hyperlink>
      <w:r>
        <w:rPr>
          <w:rFonts w:ascii="Times New Roman" w:cs="Times New Roman" w:eastAsia="Times New Roman" w:hAnsi="Times New Roman"/>
          <w:sz w:val="18"/>
          <w:szCs w:val="18"/>
          <w:u w:val="single" w:color="auto"/>
          <w:color w:val="0000FF"/>
        </w:rPr>
        <w:t xml:space="preserve"> </w:t>
      </w:r>
      <w:hyperlink r:id="rId435">
        <w:r>
          <w:rPr>
            <w:rFonts w:ascii="Times New Roman" w:cs="Times New Roman" w:eastAsia="Times New Roman" w:hAnsi="Times New Roman"/>
            <w:sz w:val="18"/>
            <w:szCs w:val="18"/>
            <w:u w:val="single" w:color="auto"/>
            <w:color w:val="0000FF"/>
          </w:rPr>
          <w:t>2022, File No. 1-1927).</w:t>
        </w:r>
      </w:hyperlink>
    </w:p>
    <w:p>
      <w:pPr>
        <w:spacing w:after="0" w:line="128"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w:t>
            </w:r>
          </w:p>
        </w:tc>
        <w:tc>
          <w:tcPr>
            <w:tcW w:w="8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Amended and Restated General Master Purchase Agreement dated December 10, 2004, as last amended and restated on</w:t>
            </w:r>
          </w:p>
        </w:tc>
        <w:tc>
          <w:tcPr>
            <w:tcW w:w="36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October 10, 2025, between Ester Finance Technologies, as Purchaser, Credit Agricole Corporate and Investment Bank,</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as Lead Arranger, Agent and Calculation Agent, Dunlop Tyres Limited, as Centralising Unit, and the Sellers listed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therein.**</w:t>
            </w:r>
          </w:p>
        </w:tc>
        <w:tc>
          <w:tcPr>
            <w:tcW w:w="826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(f)*</w:t>
            </w:r>
          </w:p>
        </w:tc>
        <w:tc>
          <w:tcPr>
            <w:tcW w:w="8980" w:type="dxa"/>
            <w:vAlign w:val="bottom"/>
            <w:gridSpan w:val="7"/>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2022 Performance Plan of the Company, as amended April 14, 2025 (incorporated by reference, filed as Exhibit 10.1 to</w:t>
              </w:r>
            </w:hyperlink>
          </w:p>
        </w:tc>
        <w:tc>
          <w:tcPr>
            <w:tcW w:w="12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the Company’s Current Report on Form 8-K, filed April 16, 2025, File No. 1-1927).</w:t>
              </w:r>
            </w:hyperlink>
          </w:p>
        </w:tc>
        <w:tc>
          <w:tcPr>
            <w:tcW w:w="2560" w:type="dxa"/>
            <w:vAlign w:val="bottom"/>
            <w:tcBorders>
              <w:top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w:t>
            </w:r>
          </w:p>
        </w:tc>
        <w:tc>
          <w:tcPr>
            <w:tcW w:w="8980" w:type="dxa"/>
            <w:vAlign w:val="bottom"/>
            <w:gridSpan w:val="7"/>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Form of Non-Qualified Stock Option Grant Agreement (incorporated by reference, filed as Exhibit 10.1 to the</w:t>
              </w:r>
            </w:hyperlink>
          </w:p>
        </w:tc>
        <w:tc>
          <w:tcPr>
            <w:tcW w:w="12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Company's Current Report on Form 8-K, filed February 29, 2024, File No. 1-1927).</w:t>
              </w:r>
            </w:hyperlink>
          </w:p>
        </w:tc>
        <w:tc>
          <w:tcPr>
            <w:tcW w:w="2560" w:type="dxa"/>
            <w:vAlign w:val="bottom"/>
            <w:tcBorders>
              <w:top w:val="single" w:sz="8" w:color="0000FF"/>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w:t>
            </w:r>
          </w:p>
        </w:tc>
        <w:tc>
          <w:tcPr>
            <w:tcW w:w="86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Form of Non-Qualified Stock Option with tandem Stock Appreciation Right Grant Agreement (incorporated by</w:t>
              </w:r>
            </w:hyperlink>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980" w:type="dxa"/>
            <w:vAlign w:val="bottom"/>
            <w:gridSpan w:val="7"/>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reference, filed as Exhibit 10.2 to the Company's Current Report on Form 8-K, filed February 29, 2024, File No. 1-</w:t>
              </w:r>
            </w:hyperlink>
          </w:p>
        </w:tc>
        <w:tc>
          <w:tcPr>
            <w:tcW w:w="12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2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1927).</w:t>
              </w:r>
            </w:hyperlink>
          </w:p>
        </w:tc>
        <w:tc>
          <w:tcPr>
            <w:tcW w:w="5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952"/>
        </w:trPr>
        <w:tc>
          <w:tcPr>
            <w:tcW w:w="10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5"/>
          </w:tcPr>
          <w:p>
            <w:pPr>
              <w:ind w:left="3740"/>
              <w:spacing w:after="0"/>
              <w:rPr>
                <w:sz w:val="20"/>
                <w:szCs w:val="20"/>
                <w:color w:val="auto"/>
              </w:rPr>
            </w:pPr>
            <w:r>
              <w:rPr>
                <w:rFonts w:ascii="Times New Roman" w:cs="Times New Roman" w:eastAsia="Times New Roman" w:hAnsi="Times New Roman"/>
                <w:sz w:val="18"/>
                <w:szCs w:val="18"/>
                <w:color w:val="auto"/>
              </w:rPr>
              <w:t>X-3</w:t>
            </w:r>
          </w:p>
        </w:tc>
        <w:tc>
          <w:tcPr>
            <w:tcW w:w="1240" w:type="dxa"/>
            <w:vAlign w:val="bottom"/>
          </w:tcPr>
          <w:p>
            <w:pPr>
              <w:spacing w:after="0"/>
              <w:rPr>
                <w:sz w:val="24"/>
                <w:szCs w:val="24"/>
                <w:color w:val="auto"/>
              </w:rPr>
            </w:pPr>
          </w:p>
        </w:tc>
      </w:tr>
      <w:tr>
        <w:trPr>
          <w:trHeight w:val="331"/>
        </w:trPr>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Form of Performance Share Grant Agreement (incorporated by reference, filed as Exhibit 10.3 to the Company's</w:t>
              </w:r>
            </w:hyperlink>
          </w:p>
        </w:tc>
        <w:tc>
          <w:tcPr>
            <w:tcW w:w="15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Current Report on Form 8-K, filed February 29, 2024, File No. 1-1927).</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(j)*</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Form of Performance Share Continuous Vesting Grant Agreement (incorporated by reference, filed as Exhibit 10.4 to</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3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the Company's Current Report on Form 8-K, filed February 29, 2024, File No. 1-1927).</w:t>
              </w:r>
            </w:hyperlink>
          </w:p>
        </w:tc>
        <w:tc>
          <w:tcPr>
            <w:tcW w:w="3900" w:type="dxa"/>
            <w:vAlign w:val="bottom"/>
            <w:gridSpan w:val="7"/>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(k)*</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Form of Executive Performance Unit Grant Agreement (incorporated by reference, filed as Exhibit 10.5 to the</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Company's Current Report on Form 8-K, filed February 29, 2024, File No. 1-1927).</w:t>
              </w:r>
            </w:hyperlink>
          </w:p>
        </w:tc>
        <w:tc>
          <w:tcPr>
            <w:tcW w:w="4180" w:type="dxa"/>
            <w:vAlign w:val="bottom"/>
            <w:gridSpan w:val="9"/>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Form of Executive Performance Unit Continuous Vesting Grant Agreement (incorporated by reference, filed as Exhibit</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Company's Current Report on Form 8-K, filed February 29, 2024, File No. 1-1927).</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(m)*</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Form of Restricted Stock Unit Annual Cliff Grant Agreement (incorporated by reference, filed as Exhibit 10.7 to the</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Company's Current Report on Form 8-K, filed February 29, 2024, File No. 1-1927).</w:t>
              </w:r>
            </w:hyperlink>
          </w:p>
        </w:tc>
        <w:tc>
          <w:tcPr>
            <w:tcW w:w="4180" w:type="dxa"/>
            <w:vAlign w:val="bottom"/>
            <w:gridSpan w:val="9"/>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Form of Restricted Stock Unit Annual Ratable Grant Agreement (incorporated by reference, filed as Exhibit 10.8 to the</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Company's Current Report on Form 8-K, filed February 29, 2024, File No. 1-1927).</w:t>
              </w:r>
            </w:hyperlink>
          </w:p>
        </w:tc>
        <w:tc>
          <w:tcPr>
            <w:tcW w:w="4180" w:type="dxa"/>
            <w:vAlign w:val="bottom"/>
            <w:gridSpan w:val="9"/>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Form of Restricted Stock Unit Continuous Vesting Grant Agreement (incorporated by reference, filed as Exhibit 10.9 to</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the Company's Current Report on Form 8-K, filed February 29, 2024, File No. 1-1927).</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2017 Performance Plan of the Company (incorporated by reference, filed as Exhibit 10.1 to the Company's Current</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Report on Form 8-K, filed April 13, 2017, File No. 1-1927).</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(q)*</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2013 Performance Plan of the Company (incorporated by reference, filed as Exhibit 10.1 to the Company's Current</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Report on Form 8-K, filed April 19, 2013, File No. 1-1927).</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(r)*</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The Goodyear Tire &amp; Rubber Company Executive Annual Incentive Plan, effective as of January 1, 2019 (incorporated</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by reference, filed as Exhibit 10.1 to the Company’s Current Report on Form 8-K, filed December 10, 2018, File No. 1-</w:t>
              </w:r>
            </w:hyperlink>
          </w:p>
        </w:tc>
      </w:tr>
      <w:tr>
        <w:trPr>
          <w:trHeight w:val="196"/>
        </w:trPr>
        <w:tc>
          <w:tcPr>
            <w:tcW w:w="10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50">
              <w:r>
                <w:rPr>
                  <w:rFonts w:ascii="Times New Roman" w:cs="Times New Roman" w:eastAsia="Times New Roman" w:hAnsi="Times New Roman"/>
                  <w:sz w:val="18"/>
                  <w:szCs w:val="18"/>
                  <w:color w:val="0000FF"/>
                  <w:w w:val="94"/>
                </w:rPr>
                <w:t>1927).</w:t>
              </w:r>
            </w:hyperlink>
          </w:p>
        </w:tc>
        <w:tc>
          <w:tcPr>
            <w:tcW w:w="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58"/>
        </w:trPr>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Goodyear Supplementary Pension Plan (December 31, 2021 Restatement) (incorporated by reference, filed as Exhibit</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9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5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December 10, 2021, File No. 1-1927).</w:t>
              </w:r>
            </w:hyperlink>
          </w:p>
        </w:tc>
        <w:tc>
          <w:tcPr>
            <w:tcW w:w="3260" w:type="dxa"/>
            <w:vAlign w:val="bottom"/>
            <w:gridSpan w:val="4"/>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Defined Benefit Excess Benefit Plan of the Company, as amended and restated as of October 7, 2008, effective as of</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January 1, 2005 (incorporated by reference, filed as Exhibit 10.11 to the Company’s Annual Report on Form 10-K for</w:t>
              </w:r>
            </w:hyperlink>
          </w:p>
        </w:tc>
      </w:tr>
      <w:tr>
        <w:trPr>
          <w:trHeight w:val="196"/>
        </w:trPr>
        <w:tc>
          <w:tcPr>
            <w:tcW w:w="10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the year ended December 31, 2008, File No. 1-1927).</w:t>
              </w:r>
            </w:hyperlink>
          </w:p>
        </w:tc>
        <w:tc>
          <w:tcPr>
            <w:tcW w:w="4760" w:type="dxa"/>
            <w:vAlign w:val="bottom"/>
            <w:tcBorders>
              <w:top w:val="single" w:sz="8" w:color="0000FF"/>
            </w:tcBorders>
            <w:gridSpan w:val="9"/>
          </w:tcPr>
          <w:p>
            <w:pPr>
              <w:spacing w:after="0"/>
              <w:rPr>
                <w:sz w:val="17"/>
                <w:szCs w:val="17"/>
                <w:color w:val="auto"/>
              </w:rPr>
            </w:pPr>
          </w:p>
        </w:tc>
        <w:tc>
          <w:tcPr>
            <w:tcW w:w="1620" w:type="dxa"/>
            <w:vAlign w:val="bottom"/>
            <w:gridSpan w:val="3"/>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53">
              <w:r>
                <w:rPr>
                  <w:rFonts w:ascii="Times New Roman" w:cs="Times New Roman" w:eastAsia="Times New Roman" w:hAnsi="Times New Roman"/>
                  <w:sz w:val="18"/>
                  <w:szCs w:val="18"/>
                  <w:color w:val="0000FF"/>
                  <w:w w:val="99"/>
                </w:rPr>
                <w:t>Defined Contribution Excess Benefit Plan of the Company, adopted October 7, 2008, effective as of January 1, 2005, as</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amended and restated effective as of August 5, 2025 (incorporated by reference, filed as Exhibit 10.1 to the Company's</w:t>
              </w:r>
            </w:hyperlink>
          </w:p>
        </w:tc>
        <w:tc>
          <w:tcPr>
            <w:tcW w:w="16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Quarterly Report on Form 10-Q for the quarter ended September 30, 2025, File No. 1-1927).</w:t>
              </w:r>
            </w:hyperlink>
          </w:p>
        </w:tc>
      </w:tr>
      <w:tr>
        <w:trPr>
          <w:trHeight w:val="20"/>
        </w:trPr>
        <w:tc>
          <w:tcPr>
            <w:tcW w:w="10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(v)*</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Deferred Compensation Plan for Executives, as amended and restated on October 12, 2020 (incorporated by reference,</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filed as Exhibit 10.1 to the Company’s Annual Report on Form 10-K for the year ended December 31, 2020, File No.</w:t>
              </w:r>
            </w:hyperlink>
          </w:p>
        </w:tc>
      </w:tr>
      <w:tr>
        <w:trPr>
          <w:trHeight w:val="196"/>
        </w:trPr>
        <w:tc>
          <w:tcPr>
            <w:tcW w:w="102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1-1927).</w:t>
              </w:r>
            </w:hyperlink>
          </w:p>
        </w:tc>
        <w:tc>
          <w:tcPr>
            <w:tcW w:w="46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w:t>
            </w:r>
          </w:p>
        </w:tc>
        <w:tc>
          <w:tcPr>
            <w:tcW w:w="8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Outside Directors’ Equity Participation Plan, as adopted February 2, 1996 and last amended as of February 25, 2025</w:t>
              </w:r>
            </w:hyperlink>
          </w:p>
        </w:tc>
        <w:tc>
          <w:tcPr>
            <w:tcW w:w="15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(incorporated by reference, filed as Exhibit 10.1 to the Company’s Current Report on Form 8-K, filed February 27,</w:t>
              </w:r>
            </w:hyperlink>
          </w:p>
        </w:tc>
        <w:tc>
          <w:tcPr>
            <w:tcW w:w="16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7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455">
              <w:r>
                <w:rPr>
                  <w:rFonts w:ascii="Times New Roman" w:cs="Times New Roman" w:eastAsia="Times New Roman" w:hAnsi="Times New Roman"/>
                  <w:sz w:val="18"/>
                  <w:szCs w:val="18"/>
                  <w:color w:val="0000FF"/>
                  <w:w w:val="98"/>
                </w:rPr>
                <w:t>2025, File No. 1-1927).</w:t>
              </w:r>
            </w:hyperlink>
          </w:p>
        </w:tc>
        <w:tc>
          <w:tcPr>
            <w:tcW w:w="8520" w:type="dxa"/>
            <w:vAlign w:val="bottom"/>
            <w:gridSpan w:val="13"/>
          </w:tcPr>
          <w:p>
            <w:pPr>
              <w:spacing w:after="0"/>
              <w:rPr>
                <w:sz w:val="17"/>
                <w:szCs w:val="17"/>
                <w:color w:val="auto"/>
              </w:rPr>
            </w:pPr>
          </w:p>
        </w:tc>
      </w:tr>
      <w:tr>
        <w:trPr>
          <w:trHeight w:val="358"/>
        </w:trPr>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(x)*</w:t>
            </w:r>
          </w:p>
        </w:tc>
        <w:tc>
          <w:tcPr>
            <w:tcW w:w="8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The Goodyear Tire &amp; Rubber Company Executive Severance and Change in Control Plan, adopted February 28, 2013</w:t>
              </w:r>
            </w:hyperlink>
          </w:p>
        </w:tc>
        <w:tc>
          <w:tcPr>
            <w:tcW w:w="16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(incorporated by reference, filed as Exhibit 10.1 to the Company’s Current Report on Form 8-K, filed March 6, 2013,</w:t>
              </w:r>
            </w:hyperlink>
          </w:p>
        </w:tc>
        <w:tc>
          <w:tcPr>
            <w:tcW w:w="16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File No. 1-1927).</w:t>
              </w:r>
            </w:hyperlink>
          </w:p>
        </w:tc>
      </w:tr>
      <w:tr>
        <w:trPr>
          <w:trHeight w:val="844"/>
        </w:trPr>
        <w:tc>
          <w:tcPr>
            <w:tcW w:w="10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X-4</w:t>
            </w:r>
          </w:p>
        </w:tc>
      </w:tr>
      <w:tr>
        <w:trPr>
          <w:trHeight w:val="331"/>
        </w:trPr>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(y)*</w:t>
            </w:r>
          </w:p>
        </w:tc>
        <w:tc>
          <w:tcPr>
            <w:tcW w:w="86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Letter Agreement, dated December 14, 2023, between the Company and Mark Stewart (incorporated by reference, filed</w:t>
              </w:r>
            </w:hyperlink>
          </w:p>
        </w:tc>
      </w:tr>
      <w:tr>
        <w:trPr>
          <w:trHeight w:val="196"/>
        </w:trPr>
        <w:tc>
          <w:tcPr>
            <w:tcW w:w="720" w:type="dxa"/>
            <w:vAlign w:val="bottom"/>
          </w:tcPr>
          <w:p>
            <w:pPr>
              <w:spacing w:after="0"/>
              <w:rPr>
                <w:sz w:val="17"/>
                <w:szCs w:val="17"/>
                <w:color w:val="auto"/>
              </w:rPr>
            </w:pPr>
          </w:p>
        </w:tc>
        <w:tc>
          <w:tcPr>
            <w:tcW w:w="8600" w:type="dxa"/>
            <w:vAlign w:val="bottom"/>
            <w:gridSpan w:val="2"/>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as Exhibit 10.1 to the Company's Current Report on Form 8-K, filed January 18, 2024, File No. 1-1927).</w:t>
              </w:r>
            </w:hyperlink>
          </w:p>
        </w:tc>
      </w:tr>
      <w:tr>
        <w:trPr>
          <w:trHeight w:val="20"/>
        </w:trPr>
        <w:tc>
          <w:tcPr>
            <w:tcW w:w="720" w:type="dxa"/>
            <w:vAlign w:val="bottom"/>
          </w:tcPr>
          <w:p>
            <w:pPr>
              <w:spacing w:after="0" w:line="20" w:lineRule="exact"/>
              <w:rPr>
                <w:sz w:val="1"/>
                <w:szCs w:val="1"/>
                <w:color w:val="auto"/>
              </w:rPr>
            </w:pPr>
          </w:p>
        </w:tc>
        <w:tc>
          <w:tcPr>
            <w:tcW w:w="75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67" w:lineRule="exact"/>
        <w:rPr>
          <w:sz w:val="20"/>
          <w:szCs w:val="20"/>
          <w:color w:val="auto"/>
        </w:rPr>
      </w:pPr>
    </w:p>
    <w:p>
      <w:pPr>
        <w:ind w:left="1020" w:hanging="657"/>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ind w:left="1020" w:right="1580" w:hanging="666"/>
        <w:spacing w:after="0" w:line="282" w:lineRule="auto"/>
        <w:tabs>
          <w:tab w:leader="none" w:pos="1020" w:val="left"/>
        </w:tabs>
        <w:numPr>
          <w:ilvl w:val="0"/>
          <w:numId w:val="63"/>
        </w:numPr>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The Goodyear Tire &amp; Rubber Company Insider Trading Policy (incorporated by reference, filed as Exhibit 19.1 to the</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Company’s Annual Report on Form 10-K for the year ended December 31, 2024, File No. 1-1927).</w:t>
        </w:r>
      </w:hyperlink>
    </w:p>
    <w:p>
      <w:pPr>
        <w:spacing w:after="0" w:line="104"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p>
    <w:p>
      <w:pPr>
        <w:spacing w:after="0" w:line="175" w:lineRule="exact"/>
        <w:rPr>
          <w:rFonts w:ascii="Times New Roman" w:cs="Times New Roman" w:eastAsia="Times New Roman" w:hAnsi="Times New Roman"/>
          <w:sz w:val="18"/>
          <w:szCs w:val="18"/>
          <w:color w:val="auto"/>
        </w:rPr>
      </w:pPr>
    </w:p>
    <w:p>
      <w:pPr>
        <w:ind w:left="360"/>
        <w:spacing w:after="0"/>
        <w:tabs>
          <w:tab w:leader="none" w:pos="1000" w:val="left"/>
          <w:tab w:leader="none" w:pos="10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Subsidiaries of the Company at December 31, 2025.</w:t>
      </w:r>
      <w:r>
        <w:rPr>
          <w:sz w:val="20"/>
          <w:szCs w:val="20"/>
          <w:color w:val="auto"/>
        </w:rPr>
        <w:tab/>
      </w:r>
      <w:r>
        <w:rPr>
          <w:rFonts w:ascii="Times New Roman" w:cs="Times New Roman" w:eastAsia="Times New Roman" w:hAnsi="Times New Roman"/>
          <w:sz w:val="18"/>
          <w:szCs w:val="18"/>
          <w:color w:val="auto"/>
        </w:rPr>
        <w:t>21.1</w:t>
      </w:r>
    </w:p>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75" w:lineRule="exact"/>
        <w:rPr>
          <w:rFonts w:ascii="Times New Roman" w:cs="Times New Roman" w:eastAsia="Times New Roman" w:hAnsi="Times New Roman"/>
          <w:sz w:val="18"/>
          <w:szCs w:val="18"/>
          <w:color w:val="auto"/>
        </w:rPr>
      </w:pPr>
    </w:p>
    <w:p>
      <w:pPr>
        <w:ind w:left="360"/>
        <w:spacing w:after="0"/>
        <w:tabs>
          <w:tab w:leader="none" w:pos="1000" w:val="left"/>
          <w:tab w:leader="none" w:pos="10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p>
    <w:p>
      <w:pPr>
        <w:spacing w:after="0" w:line="175" w:lineRule="exact"/>
        <w:rPr>
          <w:rFonts w:ascii="Times New Roman" w:cs="Times New Roman" w:eastAsia="Times New Roman" w:hAnsi="Times New Roman"/>
          <w:sz w:val="18"/>
          <w:szCs w:val="18"/>
          <w:color w:val="auto"/>
        </w:rPr>
      </w:pPr>
    </w:p>
    <w:p>
      <w:pPr>
        <w:ind w:left="360"/>
        <w:spacing w:after="0"/>
        <w:tabs>
          <w:tab w:leader="none" w:pos="1000" w:val="left"/>
          <w:tab w:leader="none" w:pos="10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w:t>
      </w:r>
      <w:r>
        <w:rPr>
          <w:sz w:val="20"/>
          <w:szCs w:val="20"/>
          <w:color w:val="auto"/>
        </w:rPr>
        <w:tab/>
      </w:r>
      <w:r>
        <w:rPr>
          <w:rFonts w:ascii="Times New Roman" w:cs="Times New Roman" w:eastAsia="Times New Roman" w:hAnsi="Times New Roman"/>
          <w:sz w:val="18"/>
          <w:szCs w:val="18"/>
          <w:color w:val="auto"/>
        </w:rPr>
        <w:t>23.1</w:t>
      </w:r>
    </w:p>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Attorney</w:t>
      </w:r>
    </w:p>
    <w:p>
      <w:pPr>
        <w:spacing w:after="0" w:line="175" w:lineRule="exact"/>
        <w:rPr>
          <w:rFonts w:ascii="Times New Roman" w:cs="Times New Roman" w:eastAsia="Times New Roman" w:hAnsi="Times New Roman"/>
          <w:sz w:val="18"/>
          <w:szCs w:val="18"/>
          <w:color w:val="auto"/>
        </w:rPr>
      </w:pPr>
    </w:p>
    <w:p>
      <w:pPr>
        <w:ind w:left="360"/>
        <w:spacing w:after="0"/>
        <w:tabs>
          <w:tab w:leader="none" w:pos="1000" w:val="left"/>
          <w:tab w:leader="none" w:pos="10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Power of Attorney of Officers and Directors signing this report.</w:t>
      </w:r>
      <w:r>
        <w:rPr>
          <w:sz w:val="20"/>
          <w:szCs w:val="20"/>
          <w:color w:val="auto"/>
        </w:rPr>
        <w:tab/>
      </w:r>
      <w:r>
        <w:rPr>
          <w:rFonts w:ascii="Times New Roman" w:cs="Times New Roman" w:eastAsia="Times New Roman" w:hAnsi="Times New Roman"/>
          <w:sz w:val="18"/>
          <w:szCs w:val="18"/>
          <w:color w:val="auto"/>
        </w:rPr>
        <w:t>24.1</w:t>
      </w:r>
    </w:p>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62" w:lineRule="exact"/>
        <w:rPr>
          <w:rFonts w:ascii="Times New Roman" w:cs="Times New Roman" w:eastAsia="Times New Roman" w:hAnsi="Times New Roman"/>
          <w:sz w:val="18"/>
          <w:szCs w:val="18"/>
          <w:color w:val="auto"/>
        </w:rPr>
      </w:pPr>
    </w:p>
    <w:tbl>
      <w:tblPr>
        <w:tblLayout w:type="fixed"/>
        <w:tblInd w:w="340" w:type="dxa"/>
        <w:tblCellMar>
          <w:top w:w="0" w:type="dxa"/>
          <w:left w:w="0" w:type="dxa"/>
          <w:bottom w:w="0" w:type="dxa"/>
          <w:right w:w="0" w:type="dxa"/>
        </w:tblCellMar>
      </w:tblPr>
      <w:tr>
        <w:trPr>
          <w:trHeight w:val="207"/>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5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680" w:type="dxa"/>
            <w:vAlign w:val="bottom"/>
          </w:tcPr>
          <w:p>
            <w:pPr>
              <w:spacing w:after="0" w:line="20" w:lineRule="exact"/>
              <w:rPr>
                <w:sz w:val="1"/>
                <w:szCs w:val="1"/>
                <w:color w:val="auto"/>
              </w:rPr>
            </w:pPr>
          </w:p>
        </w:tc>
        <w:tc>
          <w:tcPr>
            <w:tcW w:w="7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62" w:lineRule="exact"/>
        <w:rPr>
          <w:rFonts w:ascii="Times New Roman" w:cs="Times New Roman" w:eastAsia="Times New Roman" w:hAnsi="Times New Roman"/>
          <w:sz w:val="18"/>
          <w:szCs w:val="18"/>
          <w:color w:val="auto"/>
        </w:rPr>
      </w:pPr>
    </w:p>
    <w:tbl>
      <w:tblPr>
        <w:tblLayout w:type="fixed"/>
        <w:tblInd w:w="3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6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696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167" w:lineRule="exact"/>
        <w:rPr>
          <w:rFonts w:ascii="Times New Roman" w:cs="Times New Roman" w:eastAsia="Times New Roman" w:hAnsi="Times New Roman"/>
          <w:sz w:val="18"/>
          <w:szCs w:val="18"/>
          <w:color w:val="auto"/>
        </w:rPr>
      </w:pPr>
    </w:p>
    <w:p>
      <w:pPr>
        <w:ind w:left="1020" w:hanging="657"/>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Relating to Recovery of Erroneously Awarded Compensation</w:t>
      </w:r>
    </w:p>
    <w:p>
      <w:pPr>
        <w:spacing w:after="0" w:line="175" w:lineRule="exact"/>
        <w:rPr>
          <w:rFonts w:ascii="Times New Roman" w:cs="Times New Roman" w:eastAsia="Times New Roman" w:hAnsi="Times New Roman"/>
          <w:sz w:val="18"/>
          <w:szCs w:val="18"/>
          <w:color w:val="auto"/>
        </w:rPr>
      </w:pPr>
    </w:p>
    <w:p>
      <w:pPr>
        <w:ind w:left="1020" w:right="1580" w:hanging="666"/>
        <w:spacing w:after="0" w:line="282" w:lineRule="auto"/>
        <w:tabs>
          <w:tab w:leader="none" w:pos="1020" w:val="left"/>
        </w:tabs>
        <w:numPr>
          <w:ilvl w:val="0"/>
          <w:numId w:val="71"/>
        </w:numPr>
        <w:rPr>
          <w:rFonts w:ascii="Times New Roman" w:cs="Times New Roman" w:eastAsia="Times New Roman" w:hAnsi="Times New Roman"/>
          <w:sz w:val="18"/>
          <w:szCs w:val="18"/>
          <w:u w:val="single" w:color="auto"/>
          <w:color w:val="0000FF"/>
        </w:rPr>
      </w:pPr>
      <w:hyperlink r:id="rId461">
        <w:r>
          <w:rPr>
            <w:rFonts w:ascii="Times New Roman" w:cs="Times New Roman" w:eastAsia="Times New Roman" w:hAnsi="Times New Roman"/>
            <w:sz w:val="18"/>
            <w:szCs w:val="18"/>
            <w:u w:val="single" w:color="auto"/>
            <w:color w:val="0000FF"/>
          </w:rPr>
          <w:t>The Goodyear Tire &amp; Rubber Company Compensation Recovery Policy (incorporated by reference, filed as Exhibit</w:t>
        </w:r>
      </w:hyperlink>
      <w:r>
        <w:rPr>
          <w:rFonts w:ascii="Times New Roman" w:cs="Times New Roman" w:eastAsia="Times New Roman" w:hAnsi="Times New Roman"/>
          <w:sz w:val="18"/>
          <w:szCs w:val="18"/>
          <w:u w:val="single" w:color="auto"/>
          <w:color w:val="0000FF"/>
        </w:rPr>
        <w:t xml:space="preserve"> </w:t>
      </w:r>
      <w:hyperlink r:id="rId461">
        <w:r>
          <w:rPr>
            <w:rFonts w:ascii="Times New Roman" w:cs="Times New Roman" w:eastAsia="Times New Roman" w:hAnsi="Times New Roman"/>
            <w:sz w:val="18"/>
            <w:szCs w:val="18"/>
            <w:u w:val="single" w:color="auto"/>
            <w:color w:val="0000FF"/>
          </w:rPr>
          <w:t>97.1 to the Company’s Annual Report on Form 10-K for the year ended December 31, 2023, File No. 1-1927).</w:t>
        </w:r>
      </w:hyperlink>
    </w:p>
    <w:p>
      <w:pPr>
        <w:spacing w:after="0" w:line="104" w:lineRule="exact"/>
        <w:rPr>
          <w:rFonts w:ascii="Times New Roman" w:cs="Times New Roman" w:eastAsia="Times New Roman" w:hAnsi="Times New Roman"/>
          <w:sz w:val="18"/>
          <w:szCs w:val="18"/>
          <w:color w:val="auto"/>
        </w:rPr>
      </w:pPr>
    </w:p>
    <w:tbl>
      <w:tblPr>
        <w:tblLayout w:type="fixed"/>
        <w:tblInd w:w="320" w:type="dxa"/>
        <w:tblCellMar>
          <w:top w:w="0" w:type="dxa"/>
          <w:left w:w="0" w:type="dxa"/>
          <w:bottom w:w="0" w:type="dxa"/>
          <w:right w:w="0" w:type="dxa"/>
        </w:tblCellMar>
      </w:tblPr>
      <w:tr>
        <w:trPr>
          <w:trHeight w:val="238"/>
        </w:trPr>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101</w:t>
            </w:r>
          </w:p>
        </w:tc>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1000" w:type="dxa"/>
            <w:vAlign w:val="bottom"/>
          </w:tcPr>
          <w:p>
            <w:pPr>
              <w:spacing w:after="0"/>
              <w:rPr>
                <w:sz w:val="20"/>
                <w:szCs w:val="20"/>
                <w:color w:val="auto"/>
              </w:rPr>
            </w:pPr>
          </w:p>
        </w:tc>
      </w:tr>
      <w:tr>
        <w:trPr>
          <w:trHeight w:val="360"/>
        </w:trPr>
        <w:tc>
          <w:tcPr>
            <w:tcW w:w="480" w:type="dxa"/>
            <w:vAlign w:val="bottom"/>
          </w:tcPr>
          <w:p>
            <w:pPr>
              <w:spacing w:after="0"/>
              <w:rPr>
                <w:sz w:val="24"/>
                <w:szCs w:val="24"/>
                <w:color w:val="auto"/>
              </w:rPr>
            </w:pPr>
          </w:p>
        </w:tc>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c>
          <w:tcPr>
            <w:tcW w:w="10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480" w:type="dxa"/>
            <w:vAlign w:val="bottom"/>
          </w:tcPr>
          <w:p>
            <w:pPr>
              <w:spacing w:after="0"/>
              <w:rPr>
                <w:sz w:val="20"/>
                <w:szCs w:val="20"/>
                <w:color w:val="auto"/>
              </w:rPr>
            </w:pPr>
          </w:p>
        </w:tc>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1000" w:type="dxa"/>
            <w:vAlign w:val="bottom"/>
          </w:tcPr>
          <w:p>
            <w:pPr>
              <w:spacing w:after="0"/>
              <w:rPr>
                <w:sz w:val="20"/>
                <w:szCs w:val="20"/>
                <w:color w:val="auto"/>
              </w:rPr>
            </w:pPr>
          </w:p>
        </w:tc>
      </w:tr>
      <w:tr>
        <w:trPr>
          <w:trHeight w:val="378"/>
        </w:trPr>
        <w:tc>
          <w:tcPr>
            <w:tcW w:w="480" w:type="dxa"/>
            <w:vAlign w:val="bottom"/>
          </w:tcPr>
          <w:p>
            <w:pPr>
              <w:spacing w:after="0"/>
              <w:rPr>
                <w:sz w:val="24"/>
                <w:szCs w:val="24"/>
                <w:color w:val="auto"/>
              </w:rPr>
            </w:pPr>
          </w:p>
        </w:tc>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10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101.SCH</w:t>
            </w:r>
          </w:p>
        </w:tc>
      </w:tr>
    </w:tbl>
    <w:p>
      <w:pPr>
        <w:spacing w:after="0" w:line="140" w:lineRule="exact"/>
        <w:rPr>
          <w:rFonts w:ascii="Times New Roman" w:cs="Times New Roman" w:eastAsia="Times New Roman" w:hAnsi="Times New Roman"/>
          <w:sz w:val="18"/>
          <w:szCs w:val="18"/>
          <w:color w:val="auto"/>
        </w:rPr>
      </w:pPr>
    </w:p>
    <w:p>
      <w:pPr>
        <w:ind w:left="1020" w:hanging="702"/>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75" w:lineRule="exact"/>
        <w:rPr>
          <w:rFonts w:ascii="Times New Roman" w:cs="Times New Roman" w:eastAsia="Times New Roman" w:hAnsi="Times New Roman"/>
          <w:sz w:val="18"/>
          <w:szCs w:val="18"/>
          <w:color w:val="auto"/>
        </w:rPr>
      </w:pPr>
    </w:p>
    <w:p>
      <w:pPr>
        <w:ind w:left="1020" w:righ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2025, formatted in Inline XBRL (included as Exhibit 101).</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0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620" w:val="left"/>
          <w:tab w:leader="none" w:pos="7580" w:val="left"/>
        </w:tabs>
        <w:rPr>
          <w:sz w:val="20"/>
          <w:szCs w:val="20"/>
          <w:color w:val="auto"/>
        </w:rPr>
      </w:pPr>
      <w:r>
        <w:rPr>
          <w:rFonts w:ascii="Times New Roman" w:cs="Times New Roman" w:eastAsia="Times New Roman" w:hAnsi="Times New Roman"/>
          <w:sz w:val="18"/>
          <w:szCs w:val="18"/>
          <w:color w:val="auto"/>
        </w:rPr>
        <w:t>Date:</w:t>
        <w:tab/>
        <w:t>February 10, 2026</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34290</wp:posOffset>
            </wp:positionV>
            <wp:extent cx="36004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color w:val="auto"/>
        </w:rPr>
        <w:t>Mark W. Stewart,</w:t>
      </w:r>
    </w:p>
    <w:p>
      <w:pPr>
        <w:spacing w:after="0" w:line="1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2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10, 2026</w:t>
            </w: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 W. Stewart,</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4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10, 2026</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Christina L. Zamarro, Executive Vice President</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Chief Financial Officer</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4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10, 2026</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Margaret V. Snyder, Vice President and Controller</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0" w:type="dxa"/>
            <w:vAlign w:val="bottom"/>
          </w:tcPr>
          <w:p>
            <w:pPr>
              <w:spacing w:after="0"/>
              <w:rPr>
                <w:sz w:val="1"/>
                <w:szCs w:val="1"/>
                <w:color w:val="auto"/>
              </w:rPr>
            </w:pPr>
          </w:p>
        </w:tc>
      </w:tr>
      <w:tr>
        <w:trPr>
          <w:trHeight w:val="485"/>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NORMA B. CLAYTON,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JAMES A. FIRESTONE,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WERNER GEISSLER,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JOSEPH R. HINRICHS,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LAURETTE T. KOELLNER,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T.Y</w:t>
            </w:r>
            <w:r>
              <w:rPr>
                <w:rFonts w:ascii="Times New Roman" w:cs="Times New Roman" w:eastAsia="Times New Roman" w:hAnsi="Times New Roman"/>
                <w:sz w:val="14"/>
                <w:szCs w:val="14"/>
                <w:color w:val="auto"/>
              </w:rPr>
              <w:t>OUNG</w:t>
            </w:r>
          </w:p>
        </w:tc>
        <w:tc>
          <w:tcPr>
            <w:tcW w:w="0" w:type="dxa"/>
            <w:vAlign w:val="bottom"/>
          </w:tcPr>
          <w:p>
            <w:pPr>
              <w:spacing w:after="0"/>
              <w:rPr>
                <w:sz w:val="1"/>
                <w:szCs w:val="1"/>
                <w:color w:val="auto"/>
              </w:rPr>
            </w:pPr>
          </w:p>
        </w:tc>
      </w:tr>
      <w:tr>
        <w:trPr>
          <w:trHeight w:val="81"/>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February 10, 2026</w:t>
            </w:r>
          </w:p>
        </w:tc>
        <w:tc>
          <w:tcPr>
            <w:tcW w:w="2880" w:type="dxa"/>
            <w:vAlign w:val="bottom"/>
          </w:tcPr>
          <w:p>
            <w:pPr>
              <w:ind w:left="320"/>
              <w:spacing w:after="0" w:line="61" w:lineRule="exact"/>
              <w:rPr>
                <w:sz w:val="20"/>
                <w:szCs w:val="20"/>
                <w:color w:val="auto"/>
              </w:rPr>
            </w:pPr>
            <w:r>
              <w:rPr>
                <w:rFonts w:ascii="Times New Roman" w:cs="Times New Roman" w:eastAsia="Times New Roman" w:hAnsi="Times New Roman"/>
                <w:sz w:val="7"/>
                <w:szCs w:val="7"/>
                <w:color w:val="auto"/>
              </w:rPr>
              <w:t xml:space="preserve">KARLA R. LEWIS, </w:t>
            </w:r>
            <w:r>
              <w:rPr>
                <w:rFonts w:ascii="Times New Roman" w:cs="Times New Roman" w:eastAsia="Times New Roman" w:hAnsi="Times New Roman"/>
                <w:sz w:val="7"/>
                <w:szCs w:val="7"/>
                <w:i w:val="1"/>
                <w:iCs w:val="1"/>
                <w:color w:val="auto"/>
              </w:rPr>
              <w:t>Director</w:t>
            </w:r>
          </w:p>
        </w:tc>
        <w:tc>
          <w:tcPr>
            <w:tcW w:w="400" w:type="dxa"/>
            <w:vAlign w:val="bottom"/>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0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JOHN E. McGLADE,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T. Young, Signing as</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MAX H. MITCHELL,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Attorney-in-Fact for the Directors</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HERA SIU,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whose names appear opposite.</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MICHAEL R. WESSEL,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JASON J. WINKLER,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ROGER J. WOOD, </w:t>
            </w:r>
            <w:r>
              <w:rPr>
                <w:rFonts w:ascii="Times New Roman" w:cs="Times New Roman" w:eastAsia="Times New Roman" w:hAnsi="Times New Roman"/>
                <w:sz w:val="14"/>
                <w:szCs w:val="14"/>
                <w:i w:val="1"/>
                <w:iCs w:val="1"/>
                <w:color w:val="auto"/>
              </w:rPr>
              <w:t>Director</w:t>
            </w:r>
          </w:p>
        </w:tc>
        <w:tc>
          <w:tcPr>
            <w:tcW w:w="4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5"/>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b w:val="1"/>
          <w:bCs w:val="1"/>
          <w:i w:val="1"/>
          <w:iCs w:val="1"/>
          <w:color w:val="4F81BD"/>
        </w:rPr>
        <w:t>Agreed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151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AMENDMENT NO. 10 TO THE GENERAL MASTER PURCHASE AGREEMENT</w:t>
      </w:r>
    </w:p>
    <w:p>
      <w:pPr>
        <w:spacing w:after="0" w:line="2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DATED 10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125095</wp:posOffset>
            </wp:positionV>
            <wp:extent cx="71151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between</w:t>
      </w:r>
    </w:p>
    <w:p>
      <w:pPr>
        <w:spacing w:after="0" w:line="38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ESTER FINANCE TECHNOLOGIES</w:t>
      </w:r>
    </w:p>
    <w:p>
      <w:pPr>
        <w:spacing w:after="0" w:line="1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CREDIT AGRICOLE CORPORATE AND INVESTMENT BANK</w:t>
      </w:r>
    </w:p>
    <w:p>
      <w:pPr>
        <w:spacing w:after="0" w:line="1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Lead Arranger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i w:val="1"/>
          <w:iCs w:val="1"/>
          <w:color w:val="auto"/>
        </w:rPr>
        <w:t xml:space="preserve"> and </w:t>
      </w:r>
      <w:r>
        <w:rPr>
          <w:rFonts w:ascii="Times New Roman" w:cs="Times New Roman" w:eastAsia="Times New Roman" w:hAnsi="Times New Roman"/>
          <w:sz w:val="20"/>
          <w:szCs w:val="20"/>
          <w:b w:val="1"/>
          <w:bCs w:val="1"/>
          <w:i w:val="1"/>
          <w:iCs w:val="1"/>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DUNLOP TYRES LTD.</w:t>
      </w:r>
    </w:p>
    <w:p>
      <w:pPr>
        <w:spacing w:after="0" w:line="1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Centralising Unit</w:t>
      </w:r>
    </w:p>
    <w:p>
      <w:pPr>
        <w:spacing w:after="0" w:line="16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THE SELLERS</w:t>
      </w:r>
    </w:p>
    <w:p>
      <w:pPr>
        <w:spacing w:after="0" w:line="10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i w:val="1"/>
          <w:iCs w:val="1"/>
          <w:color w:val="auto"/>
        </w:rPr>
        <w:t>(as listed in SCHEDULE 1)</w:t>
      </w:r>
    </w:p>
    <w:p>
      <w:pPr>
        <w:sectPr>
          <w:pgSz w:w="11900" w:h="16838" w:orient="portrait"/>
          <w:cols w:equalWidth="0" w:num="1">
            <w:col w:w="10120"/>
          </w:cols>
          <w:pgMar w:left="1440" w:top="122" w:right="339" w:bottom="1440" w:gutter="0" w:footer="0" w:header="0"/>
        </w:sectPr>
      </w:pPr>
    </w:p>
    <w:bookmarkStart w:id="134" w:name="page135"/>
    <w:bookmarkEnd w:id="134"/>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CLAUSE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243"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5</w:t>
      </w:r>
    </w:p>
    <w:p>
      <w:pPr>
        <w:spacing w:after="0" w:line="121"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  5</w:t>
      </w:r>
    </w:p>
    <w:p>
      <w:pPr>
        <w:spacing w:after="0" w:line="134"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5</w:t>
      </w:r>
    </w:p>
    <w:p>
      <w:pPr>
        <w:spacing w:after="0" w:line="148" w:lineRule="exact"/>
        <w:rPr>
          <w:sz w:val="20"/>
          <w:szCs w:val="20"/>
          <w:color w:val="auto"/>
        </w:rPr>
      </w:pPr>
    </w:p>
    <w:p>
      <w:pPr>
        <w:spacing w:after="0"/>
        <w:tabs>
          <w:tab w:leader="none" w:pos="380" w:val="left"/>
          <w:tab w:leader="none" w:pos="7120" w:val="left"/>
        </w:tabs>
        <w:rPr>
          <w:sz w:val="20"/>
          <w:szCs w:val="20"/>
          <w:color w:val="auto"/>
        </w:rPr>
      </w:pPr>
      <w:r>
        <w:rPr>
          <w:rFonts w:ascii="Times New Roman" w:cs="Times New Roman" w:eastAsia="Times New Roman" w:hAnsi="Times New Roman"/>
          <w:sz w:val="20"/>
          <w:szCs w:val="20"/>
          <w:b w:val="1"/>
          <w:bCs w:val="1"/>
          <w:color w:val="auto"/>
        </w:rPr>
        <w:t>4.</w:t>
        <w:tab/>
        <w:t>AMENDMENT TO THE GENERAL MASTER PURCHASE AGREEMENT</w:t>
        <w:tab/>
        <w:t>6</w:t>
      </w:r>
    </w:p>
    <w:p>
      <w:pPr>
        <w:spacing w:after="0" w:line="148" w:lineRule="exact"/>
        <w:rPr>
          <w:sz w:val="20"/>
          <w:szCs w:val="20"/>
          <w:color w:val="auto"/>
        </w:rPr>
      </w:pPr>
    </w:p>
    <w:p>
      <w:pPr>
        <w:ind w:left="400" w:hanging="392"/>
        <w:spacing w:after="0"/>
        <w:tabs>
          <w:tab w:leader="none" w:pos="4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  6</w:t>
      </w:r>
    </w:p>
    <w:p>
      <w:pPr>
        <w:spacing w:after="0" w:line="134"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ENTRY INTO FORCE  6</w:t>
      </w:r>
    </w:p>
    <w:p>
      <w:pPr>
        <w:spacing w:after="0" w:line="148" w:lineRule="exact"/>
        <w:rPr>
          <w:sz w:val="20"/>
          <w:szCs w:val="20"/>
          <w:color w:val="auto"/>
        </w:rPr>
      </w:pPr>
    </w:p>
    <w:p>
      <w:pPr>
        <w:spacing w:after="0"/>
        <w:tabs>
          <w:tab w:leader="none" w:pos="380" w:val="left"/>
          <w:tab w:leader="none" w:pos="5300" w:val="left"/>
        </w:tabs>
        <w:rPr>
          <w:sz w:val="20"/>
          <w:szCs w:val="20"/>
          <w:color w:val="auto"/>
        </w:rPr>
      </w:pPr>
      <w:r>
        <w:rPr>
          <w:rFonts w:ascii="Times New Roman" w:cs="Times New Roman" w:eastAsia="Times New Roman" w:hAnsi="Times New Roman"/>
          <w:sz w:val="20"/>
          <w:szCs w:val="20"/>
          <w:b w:val="1"/>
          <w:bCs w:val="1"/>
          <w:color w:val="auto"/>
        </w:rPr>
        <w:t>7.</w:t>
        <w:tab/>
        <w:t>CONDITIONS PRECEDENT TO THE AMENDMENT</w:t>
        <w:tab/>
        <w:t>6</w:t>
      </w:r>
    </w:p>
    <w:p>
      <w:pPr>
        <w:spacing w:after="0" w:line="135"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6</w:t>
      </w:r>
    </w:p>
    <w:p>
      <w:pPr>
        <w:spacing w:after="0" w:line="148"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GLOBAL RATE  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41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 WAIVER – NO NOVATION  7</w:t>
            </w:r>
          </w:p>
        </w:tc>
      </w:tr>
      <w:tr>
        <w:trPr>
          <w:trHeight w:val="364"/>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41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LIMITED RECOURSE – NON-PETITION  8</w:t>
            </w:r>
          </w:p>
        </w:tc>
      </w:tr>
    </w:tbl>
    <w:p>
      <w:pPr>
        <w:spacing w:after="0" w:line="116" w:lineRule="exact"/>
        <w:rPr>
          <w:sz w:val="20"/>
          <w:szCs w:val="20"/>
          <w:color w:val="auto"/>
        </w:rPr>
      </w:pPr>
    </w:p>
    <w:p>
      <w:pPr>
        <w:ind w:left="500" w:hanging="492"/>
        <w:spacing w:after="0"/>
        <w:tabs>
          <w:tab w:leader="none" w:pos="5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SIGNATURES AND REGISTRATION  8</w:t>
      </w:r>
    </w:p>
    <w:p>
      <w:pPr>
        <w:spacing w:after="0" w:line="134" w:lineRule="exact"/>
        <w:rPr>
          <w:rFonts w:ascii="Times New Roman" w:cs="Times New Roman" w:eastAsia="Times New Roman" w:hAnsi="Times New Roman"/>
          <w:sz w:val="20"/>
          <w:szCs w:val="20"/>
          <w:b w:val="1"/>
          <w:bCs w:val="1"/>
          <w:color w:val="auto"/>
        </w:rPr>
      </w:pPr>
    </w:p>
    <w:p>
      <w:pPr>
        <w:ind w:left="500" w:hanging="492"/>
        <w:spacing w:after="0"/>
        <w:tabs>
          <w:tab w:leader="none" w:pos="5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PARTIAL INVALIDITY  9</w:t>
      </w:r>
    </w:p>
    <w:p>
      <w:pPr>
        <w:spacing w:after="0" w:line="148" w:lineRule="exact"/>
        <w:rPr>
          <w:rFonts w:ascii="Times New Roman" w:cs="Times New Roman" w:eastAsia="Times New Roman" w:hAnsi="Times New Roman"/>
          <w:sz w:val="20"/>
          <w:szCs w:val="20"/>
          <w:b w:val="1"/>
          <w:bCs w:val="1"/>
          <w:color w:val="auto"/>
        </w:rPr>
      </w:pPr>
    </w:p>
    <w:p>
      <w:pPr>
        <w:ind w:left="500" w:hanging="492"/>
        <w:spacing w:after="0"/>
        <w:tabs>
          <w:tab w:leader="none" w:pos="5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NOTARISATION  9</w:t>
      </w:r>
    </w:p>
    <w:p>
      <w:pPr>
        <w:spacing w:after="0" w:line="148" w:lineRule="exact"/>
        <w:rPr>
          <w:sz w:val="20"/>
          <w:szCs w:val="20"/>
          <w:color w:val="auto"/>
        </w:rPr>
      </w:pPr>
    </w:p>
    <w:p>
      <w:pPr>
        <w:spacing w:after="0"/>
        <w:tabs>
          <w:tab w:leader="none" w:pos="480" w:val="left"/>
          <w:tab w:leader="none" w:pos="4060" w:val="left"/>
        </w:tabs>
        <w:rPr>
          <w:sz w:val="20"/>
          <w:szCs w:val="20"/>
          <w:color w:val="auto"/>
        </w:rPr>
      </w:pPr>
      <w:r>
        <w:rPr>
          <w:rFonts w:ascii="Times New Roman" w:cs="Times New Roman" w:eastAsia="Times New Roman" w:hAnsi="Times New Roman"/>
          <w:sz w:val="20"/>
          <w:szCs w:val="20"/>
          <w:b w:val="1"/>
          <w:bCs w:val="1"/>
          <w:color w:val="auto"/>
        </w:rPr>
        <w:t>15.</w:t>
        <w:tab/>
        <w:t>GOVERNING LAW – JURISDICTION</w:t>
        <w:tab/>
        <w:t>9</w:t>
      </w:r>
    </w:p>
    <w:p>
      <w:pPr>
        <w:spacing w:after="0" w:line="200" w:lineRule="exact"/>
        <w:rPr>
          <w:sz w:val="20"/>
          <w:szCs w:val="20"/>
          <w:color w:val="auto"/>
        </w:rPr>
      </w:pPr>
    </w:p>
    <w:p>
      <w:pPr>
        <w:spacing w:after="0" w:line="36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SCHEDULE</w:t>
      </w:r>
      <w:r>
        <w:rPr>
          <w:sz w:val="20"/>
          <w:szCs w:val="20"/>
          <w:color w:val="auto"/>
        </w:rPr>
        <w:tab/>
      </w:r>
      <w:r>
        <w:rPr>
          <w:rFonts w:ascii="Times New Roman" w:cs="Times New Roman" w:eastAsia="Times New Roman" w:hAnsi="Times New Roman"/>
          <w:sz w:val="20"/>
          <w:szCs w:val="20"/>
          <w:b w:val="1"/>
          <w:bCs w:val="1"/>
          <w:color w:val="auto"/>
        </w:rPr>
        <w:t>PAGE</w:t>
      </w:r>
    </w:p>
    <w:p>
      <w:pPr>
        <w:spacing w:after="0" w:line="233"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0"/>
          <w:szCs w:val="20"/>
          <w:color w:val="auto"/>
        </w:rPr>
        <w:t>SCHEDULE 1 LIST OF SELLERS</w:t>
        <w:tab/>
        <w:t>10</w:t>
      </w:r>
    </w:p>
    <w:p>
      <w:pPr>
        <w:spacing w:after="0" w:line="108"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0"/>
          <w:szCs w:val="20"/>
          <w:color w:val="auto"/>
        </w:rPr>
        <w:t>SCHEDULE 2 CONDITIONS PRECEDENT</w:t>
      </w:r>
      <w:r>
        <w:rPr>
          <w:sz w:val="20"/>
          <w:szCs w:val="20"/>
          <w:color w:val="auto"/>
        </w:rPr>
        <w:tab/>
      </w:r>
      <w:r>
        <w:rPr>
          <w:rFonts w:ascii="Times New Roman" w:cs="Times New Roman" w:eastAsia="Times New Roman" w:hAnsi="Times New Roman"/>
          <w:sz w:val="18"/>
          <w:szCs w:val="18"/>
          <w:color w:val="auto"/>
        </w:rPr>
        <w:t>11</w:t>
      </w:r>
    </w:p>
    <w:p>
      <w:pPr>
        <w:spacing w:after="0" w:line="121"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20"/>
          <w:szCs w:val="20"/>
          <w:color w:val="auto"/>
        </w:rPr>
        <w:t>SCHEDULE 3 AMENDED GENERAL MASTER PURCHASE AGREEMENT</w:t>
        <w:tab/>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1"/>
          <w:szCs w:val="11"/>
          <w:color w:val="auto"/>
        </w:rPr>
        <w:t>2</w:t>
      </w:r>
    </w:p>
    <w:p>
      <w:pPr>
        <w:sectPr>
          <w:pgSz w:w="11900" w:h="16838" w:orient="portrait"/>
          <w:cols w:equalWidth="0" w:num="1">
            <w:col w:w="10139"/>
          </w:cols>
          <w:pgMar w:left="320" w:top="1382" w:right="1440" w:bottom="1440" w:gutter="0" w:footer="0" w:header="0"/>
        </w:sectPr>
      </w:pPr>
    </w:p>
    <w:bookmarkStart w:id="135" w:name="page136"/>
    <w:bookmarkEnd w:id="135"/>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THIS AMENDMENT NO. 10 TO THE GENERAL MASTER PURCHASE AGREEMENT (THE "AMENDMENT") IS ENTERED INTO BETWEEN:</w:t>
      </w:r>
    </w:p>
    <w:p>
      <w:pPr>
        <w:spacing w:after="0" w:line="138" w:lineRule="exact"/>
        <w:rPr>
          <w:sz w:val="20"/>
          <w:szCs w:val="20"/>
          <w:color w:val="auto"/>
        </w:rPr>
      </w:pPr>
    </w:p>
    <w:p>
      <w:pPr>
        <w:jc w:val="both"/>
        <w:ind w:left="660" w:hanging="652"/>
        <w:spacing w:after="0" w:line="258"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ESTER FINANCE TECHNOLOGIES</w:t>
      </w:r>
      <w:r>
        <w:rPr>
          <w:rFonts w:ascii="Times New Roman" w:cs="Times New Roman" w:eastAsia="Times New Roman" w:hAnsi="Times New Roman"/>
          <w:sz w:val="20"/>
          <w:szCs w:val="20"/>
          <w:color w:val="auto"/>
        </w:rPr>
        <w:t>, a company incorporated under French law and authorised as a specialized credit institution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établissement de crédit spécialisé</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 Nanterre under the number 414 886 226, whose representative is duly authorised for the purpose of this Amendment (the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CREDIT AGRICOLE CORPORATE AND INVESTMENT BANK</w:t>
      </w:r>
      <w:r>
        <w:rPr>
          <w:rFonts w:ascii="Times New Roman" w:cs="Times New Roman" w:eastAsia="Times New Roman" w:hAnsi="Times New Roman"/>
          <w:sz w:val="20"/>
          <w:szCs w:val="20"/>
          <w:color w:val="auto"/>
        </w:rPr>
        <w:t>, a company incorporated under French law and authorised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credit institution (</w:t>
      </w:r>
      <w:r>
        <w:rPr>
          <w:rFonts w:ascii="Times New Roman" w:cs="Times New Roman" w:eastAsia="Times New Roman" w:hAnsi="Times New Roman"/>
          <w:sz w:val="20"/>
          <w:szCs w:val="20"/>
          <w:i w:val="1"/>
          <w:iCs w:val="1"/>
          <w:color w:val="auto"/>
        </w:rPr>
        <w:t>établissement de crédit</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sociétés</w:t>
      </w:r>
      <w:r>
        <w:rPr>
          <w:rFonts w:ascii="Times New Roman" w:cs="Times New Roman" w:eastAsia="Times New Roman" w:hAnsi="Times New Roman"/>
          <w:sz w:val="20"/>
          <w:szCs w:val="20"/>
          <w:color w:val="auto"/>
        </w:rPr>
        <w:t>) of Nanterre under the number 304 187 701, whose representatives are duly authorised for the purpose of this Amendment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AGRICOLE CIB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Lead Arranger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Calculation Agent</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3"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DUNLOP TYRES LTD.</w:t>
      </w:r>
      <w:r>
        <w:rPr>
          <w:rFonts w:ascii="Times New Roman" w:cs="Times New Roman" w:eastAsia="Times New Roman" w:hAnsi="Times New Roman"/>
          <w:sz w:val="20"/>
          <w:szCs w:val="20"/>
          <w:color w:val="auto"/>
        </w:rPr>
        <w:t>, a company incorporated under the laws of England and Wales with company number 1792065 whose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 is situated at 2920 Trident Court Solihull Parkway, Birmingham Business Park, Birmingham, England, B37 7YN, whose representative is duly authorised for the purpose of this Amendment (the "</w:t>
      </w:r>
      <w:r>
        <w:rPr>
          <w:rFonts w:ascii="Times New Roman" w:cs="Times New Roman" w:eastAsia="Times New Roman" w:hAnsi="Times New Roman"/>
          <w:sz w:val="20"/>
          <w:szCs w:val="20"/>
          <w:b w:val="1"/>
          <w:bCs w:val="1"/>
          <w:color w:val="auto"/>
        </w:rPr>
        <w:t>Centralising Unit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COMPANIES LISTED IN SCHEDULE 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List of Sellers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together, the "</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1240"/>
          </w:cols>
          <w:pgMar w:left="320" w:top="1382"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16" w:lineRule="exact"/>
        <w:rPr>
          <w:sz w:val="20"/>
          <w:szCs w:val="20"/>
          <w:color w:val="auto"/>
        </w:rPr>
      </w:pPr>
    </w:p>
    <w:p>
      <w:pPr>
        <w:jc w:val="both"/>
        <w:ind w:left="780" w:hanging="772"/>
        <w:spacing w:after="0" w:line="223" w:lineRule="auto"/>
        <w:tabs>
          <w:tab w:leader="none" w:pos="77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Parties refer to the general master purchase agreement (the "</w:t>
      </w:r>
      <w:r>
        <w:rPr>
          <w:rFonts w:ascii="Times New Roman" w:cs="Times New Roman" w:eastAsia="Times New Roman" w:hAnsi="Times New Roman"/>
          <w:sz w:val="20"/>
          <w:szCs w:val="20"/>
          <w:b w:val="1"/>
          <w:bCs w:val="1"/>
          <w:color w:val="auto"/>
        </w:rPr>
        <w:t>General Master Purchase Agreement</w:t>
      </w:r>
      <w:r>
        <w:rPr>
          <w:rFonts w:ascii="Times New Roman" w:cs="Times New Roman" w:eastAsia="Times New Roman" w:hAnsi="Times New Roman"/>
          <w:sz w:val="20"/>
          <w:szCs w:val="20"/>
          <w:color w:val="auto"/>
        </w:rPr>
        <w:t>") dated 10 December 2004, as last amended on 16 October 2024, pursuant to which the Sellers shall sell Ongoing Purchasable Receivables and Remaining Purchasable Receivables to the Purchaser and the Purchaser agrees to acquire Ongoing Purchasable Receivables and Remaining Purchasable Receivables from the Sellers during the Replenishment Period.</w:t>
      </w:r>
    </w:p>
    <w:p>
      <w:pPr>
        <w:spacing w:after="0" w:line="40" w:lineRule="exact"/>
        <w:rPr>
          <w:rFonts w:ascii="Times New Roman" w:cs="Times New Roman" w:eastAsia="Times New Roman" w:hAnsi="Times New Roman"/>
          <w:sz w:val="20"/>
          <w:szCs w:val="20"/>
          <w:color w:val="auto"/>
        </w:rPr>
      </w:pPr>
    </w:p>
    <w:p>
      <w:pPr>
        <w:jc w:val="both"/>
        <w:ind w:left="780" w:hanging="772"/>
        <w:spacing w:after="0" w:line="215" w:lineRule="auto"/>
        <w:tabs>
          <w:tab w:leader="none" w:pos="77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Amendment Party enters into this Amendment in order to (a) amend the "Commitment Expiry Date" definition and insert new definitions in Schedule 1 (</w:t>
      </w:r>
      <w:r>
        <w:rPr>
          <w:rFonts w:ascii="Times New Roman" w:cs="Times New Roman" w:eastAsia="Times New Roman" w:hAnsi="Times New Roman"/>
          <w:sz w:val="20"/>
          <w:szCs w:val="20"/>
          <w:i w:val="1"/>
          <w:iCs w:val="1"/>
          <w:color w:val="auto"/>
        </w:rPr>
        <w:t>Master Definitions Schedule</w:t>
      </w:r>
      <w:r>
        <w:rPr>
          <w:rFonts w:ascii="Times New Roman" w:cs="Times New Roman" w:eastAsia="Times New Roman" w:hAnsi="Times New Roman"/>
          <w:sz w:val="20"/>
          <w:szCs w:val="20"/>
          <w:color w:val="auto"/>
        </w:rPr>
        <w:t>), (b) include the Luxembourg Seller as a New Seller, (c) reflect the removal of NATIXIS as Joint Lead Arranger, (d) reflect the removal of the Complementary Deposit, (e) reflect the changes made to the calculation of the Purchaser's Funding following the removal of the Complementary Deposit and the changes made to the Overcollateralisation Rate, (f) reflect the replacement of Crédit Agricole Leasing &amp; Factoring by Crédit Agricole Corporate and Investment Bank as Agent, (g) reflect the changes made to the General Master Purchase Agreement from time to time since the 2021 Amendment Date and (h) integrate other miscellaneous drafting and technical modifications.</w:t>
      </w:r>
    </w:p>
    <w:p>
      <w:pPr>
        <w:spacing w:after="0" w:line="56" w:lineRule="exact"/>
        <w:rPr>
          <w:rFonts w:ascii="Times New Roman" w:cs="Times New Roman" w:eastAsia="Times New Roman" w:hAnsi="Times New Roman"/>
          <w:sz w:val="20"/>
          <w:szCs w:val="20"/>
          <w:color w:val="auto"/>
        </w:rPr>
      </w:pPr>
    </w:p>
    <w:p>
      <w:pPr>
        <w:jc w:val="both"/>
        <w:ind w:left="780" w:hanging="772"/>
        <w:spacing w:after="0" w:line="222" w:lineRule="auto"/>
        <w:tabs>
          <w:tab w:leader="none" w:pos="77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light of the above, and subject to the provisions of article 35 of the General Master Purchase Agreement (as in effect on the date hereof) (it being specified that the Lead Arranger has waived the requirement set out in article 35.1(a) of the General Master Purchase Agreement), the Amendment Parties have agreed to amend certain provisions of the General Master Purchase Agreement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ectPr>
          <w:pgSz w:w="11900" w:h="16838" w:orient="portrait"/>
          <w:cols w:equalWidth="0" w:num="1">
            <w:col w:w="11240"/>
          </w:cols>
          <w:pgMar w:left="320" w:top="1382"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IT IS AGREED AS FOLLOWS:</w:t>
      </w:r>
    </w:p>
    <w:p>
      <w:pPr>
        <w:spacing w:after="0" w:line="189"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jc w:val="both"/>
        <w:ind w:left="780"/>
        <w:spacing w:after="0" w:line="268" w:lineRule="auto"/>
        <w:rPr>
          <w:sz w:val="20"/>
          <w:szCs w:val="20"/>
          <w:color w:val="auto"/>
        </w:rPr>
      </w:pPr>
      <w:r>
        <w:rPr>
          <w:rFonts w:ascii="Times New Roman" w:cs="Times New Roman" w:eastAsia="Times New Roman" w:hAnsi="Times New Roman"/>
          <w:sz w:val="20"/>
          <w:szCs w:val="20"/>
          <w:color w:val="auto"/>
        </w:rPr>
        <w:t>Except as otherwise defined herein, capitalised terms and expressions used in this Amendment (including its recitals and its schedules) shall have the same meaning as ascribed to them in the General Master Purchase Agreement, as amended by the Amendment.</w:t>
      </w:r>
    </w:p>
    <w:p>
      <w:pPr>
        <w:spacing w:after="0" w:line="14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06" w:lineRule="exact"/>
        <w:rPr>
          <w:sz w:val="20"/>
          <w:szCs w:val="20"/>
          <w:color w:val="auto"/>
        </w:rPr>
      </w:pPr>
    </w:p>
    <w:p>
      <w:pPr>
        <w:ind w:left="780"/>
        <w:spacing w:after="0" w:line="269" w:lineRule="auto"/>
        <w:rPr>
          <w:sz w:val="20"/>
          <w:szCs w:val="20"/>
          <w:color w:val="auto"/>
        </w:rPr>
      </w:pPr>
      <w:r>
        <w:rPr>
          <w:rFonts w:ascii="Times New Roman" w:cs="Times New Roman" w:eastAsia="Times New Roman" w:hAnsi="Times New Roman"/>
          <w:sz w:val="20"/>
          <w:szCs w:val="20"/>
          <w:color w:val="auto"/>
        </w:rPr>
        <w:t>The titles of the Schedules and the Articles (including their paragraphs) used herein and the table of contents are for convenience of reference only, and shall not affect the interpretation of the Amendment.</w:t>
      </w:r>
    </w:p>
    <w:p>
      <w:pPr>
        <w:spacing w:after="0" w:line="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the Amendment, except if the context calls for another interpretation:</w:t>
      </w:r>
    </w:p>
    <w:p>
      <w:pPr>
        <w:spacing w:after="0" w:line="104" w:lineRule="exact"/>
        <w:rPr>
          <w:sz w:val="20"/>
          <w:szCs w:val="20"/>
          <w:color w:val="auto"/>
        </w:rPr>
      </w:pPr>
    </w:p>
    <w:p>
      <w:pPr>
        <w:ind w:left="2300" w:right="20" w:hanging="761"/>
        <w:spacing w:after="0" w:line="235" w:lineRule="auto"/>
        <w:tabs>
          <w:tab w:leader="none" w:pos="228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Schedules</w:t>
      </w:r>
      <w:r>
        <w:rPr>
          <w:rFonts w:ascii="Times New Roman" w:cs="Times New Roman" w:eastAsia="Times New Roman" w:hAnsi="Times New Roman"/>
          <w:sz w:val="20"/>
          <w:szCs w:val="20"/>
          <w:color w:val="auto"/>
        </w:rPr>
        <w:t>" shall be construed as references to the articles and schedules of the Amendment and references to the Amendment include its schedules;</w:t>
      </w:r>
    </w:p>
    <w:p>
      <w:pPr>
        <w:spacing w:after="0" w:line="49" w:lineRule="exact"/>
        <w:rPr>
          <w:rFonts w:ascii="Times New Roman" w:cs="Times New Roman" w:eastAsia="Times New Roman" w:hAnsi="Times New Roman"/>
          <w:sz w:val="20"/>
          <w:szCs w:val="20"/>
          <w:color w:val="auto"/>
        </w:rPr>
      </w:pPr>
    </w:p>
    <w:p>
      <w:pPr>
        <w:ind w:left="2300" w:hanging="761"/>
        <w:spacing w:after="0"/>
        <w:tabs>
          <w:tab w:leader="none" w:pos="2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words in the plural shall cover the singular and </w:t>
      </w:r>
      <w:r>
        <w:rPr>
          <w:rFonts w:ascii="Times New Roman" w:cs="Times New Roman" w:eastAsia="Times New Roman" w:hAnsi="Times New Roman"/>
          <w:sz w:val="20"/>
          <w:szCs w:val="20"/>
          <w:i w:val="1"/>
          <w:iCs w:val="1"/>
          <w:color w:val="auto"/>
        </w:rPr>
        <w:t>vice versa</w:t>
      </w:r>
      <w:r>
        <w:rPr>
          <w:rFonts w:ascii="Times New Roman" w:cs="Times New Roman" w:eastAsia="Times New Roman" w:hAnsi="Times New Roman"/>
          <w:sz w:val="20"/>
          <w:szCs w:val="20"/>
          <w:color w:val="auto"/>
        </w:rPr>
        <w:t>;</w:t>
      </w:r>
    </w:p>
    <w:p>
      <w:pPr>
        <w:spacing w:after="0" w:line="84" w:lineRule="exact"/>
        <w:rPr>
          <w:rFonts w:ascii="Times New Roman" w:cs="Times New Roman" w:eastAsia="Times New Roman" w:hAnsi="Times New Roman"/>
          <w:sz w:val="20"/>
          <w:szCs w:val="20"/>
          <w:color w:val="auto"/>
        </w:rPr>
      </w:pPr>
    </w:p>
    <w:p>
      <w:pPr>
        <w:ind w:left="2300" w:hanging="761"/>
        <w:spacing w:after="0"/>
        <w:tabs>
          <w:tab w:leader="none" w:pos="2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time of the day shall refer to Paris time, unless otherwise stipulated;</w:t>
      </w:r>
    </w:p>
    <w:p>
      <w:pPr>
        <w:spacing w:after="0" w:line="67" w:lineRule="exact"/>
        <w:rPr>
          <w:rFonts w:ascii="Times New Roman" w:cs="Times New Roman" w:eastAsia="Times New Roman" w:hAnsi="Times New Roman"/>
          <w:sz w:val="20"/>
          <w:szCs w:val="20"/>
          <w:color w:val="auto"/>
        </w:rPr>
      </w:pPr>
    </w:p>
    <w:p>
      <w:pPr>
        <w:jc w:val="both"/>
        <w:ind w:left="2300" w:hanging="761"/>
        <w:spacing w:after="0" w:line="230" w:lineRule="auto"/>
        <w:tabs>
          <w:tab w:leader="none" w:pos="2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appearing in this Amendment in a language other than English shall have the meaning ascribed to them under the law of the corresponding jurisdiction and such meaning shall prevail over their translation into English, if any;</w:t>
      </w:r>
    </w:p>
    <w:p>
      <w:pPr>
        <w:spacing w:after="0" w:line="36" w:lineRule="exact"/>
        <w:rPr>
          <w:rFonts w:ascii="Times New Roman" w:cs="Times New Roman" w:eastAsia="Times New Roman" w:hAnsi="Times New Roman"/>
          <w:sz w:val="20"/>
          <w:szCs w:val="20"/>
          <w:color w:val="auto"/>
        </w:rPr>
      </w:pPr>
    </w:p>
    <w:p>
      <w:pPr>
        <w:jc w:val="both"/>
        <w:ind w:left="2300" w:hanging="761"/>
        <w:spacing w:after="0" w:line="232" w:lineRule="auto"/>
        <w:tabs>
          <w:tab w:leader="none" w:pos="229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shall include (i) any natural person, corporation, limited liability company, trust, joint venture, association, company, partnership, governmental authority or other entity and (ii) its permitted assignees, transferees and successors or any person deriving title under or through it;</w:t>
      </w:r>
    </w:p>
    <w:p>
      <w:pPr>
        <w:spacing w:after="0" w:line="39" w:lineRule="exact"/>
        <w:rPr>
          <w:rFonts w:ascii="Times New Roman" w:cs="Times New Roman" w:eastAsia="Times New Roman" w:hAnsi="Times New Roman"/>
          <w:sz w:val="20"/>
          <w:szCs w:val="20"/>
          <w:color w:val="auto"/>
        </w:rPr>
      </w:pPr>
    </w:p>
    <w:p>
      <w:pPr>
        <w:ind w:left="2300" w:hanging="761"/>
        <w:spacing w:after="0"/>
        <w:tabs>
          <w:tab w:leader="none" w:pos="2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document shall mean such document, as amended, replaced by novation or varied from time to time;</w:t>
      </w:r>
    </w:p>
    <w:p>
      <w:pPr>
        <w:spacing w:after="0" w:line="39" w:lineRule="exact"/>
        <w:rPr>
          <w:rFonts w:ascii="Times New Roman" w:cs="Times New Roman" w:eastAsia="Times New Roman" w:hAnsi="Times New Roman"/>
          <w:sz w:val="20"/>
          <w:szCs w:val="20"/>
          <w:color w:val="auto"/>
        </w:rPr>
      </w:pPr>
    </w:p>
    <w:p>
      <w:pPr>
        <w:ind w:left="2300" w:hanging="761"/>
        <w:spacing w:after="0"/>
        <w:tabs>
          <w:tab w:leader="none" w:pos="229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Securitisation Document shall be construed to mean such securitisation document, as amended until the date hereof and as may be amended and supplemented from time to time thereafter; and</w:t>
      </w:r>
    </w:p>
    <w:p>
      <w:pPr>
        <w:spacing w:after="0" w:line="49" w:lineRule="exact"/>
        <w:rPr>
          <w:rFonts w:ascii="Times New Roman" w:cs="Times New Roman" w:eastAsia="Times New Roman" w:hAnsi="Times New Roman"/>
          <w:sz w:val="20"/>
          <w:szCs w:val="20"/>
          <w:color w:val="auto"/>
        </w:rPr>
      </w:pPr>
    </w:p>
    <w:p>
      <w:pPr>
        <w:ind w:left="2300" w:right="20" w:hanging="761"/>
        <w:spacing w:after="0" w:line="235" w:lineRule="auto"/>
        <w:tabs>
          <w:tab w:leader="none" w:pos="229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Amendment Parties</w:t>
      </w:r>
      <w:r>
        <w:rPr>
          <w:rFonts w:ascii="Times New Roman" w:cs="Times New Roman" w:eastAsia="Times New Roman" w:hAnsi="Times New Roman"/>
          <w:sz w:val="20"/>
          <w:szCs w:val="20"/>
          <w:color w:val="auto"/>
        </w:rPr>
        <w:t>" shall be construed as references to the parties to this Amendment, and an "</w:t>
      </w:r>
      <w:r>
        <w:rPr>
          <w:rFonts w:ascii="Times New Roman" w:cs="Times New Roman" w:eastAsia="Times New Roman" w:hAnsi="Times New Roman"/>
          <w:sz w:val="20"/>
          <w:szCs w:val="20"/>
          <w:b w:val="1"/>
          <w:bCs w:val="1"/>
          <w:color w:val="auto"/>
        </w:rPr>
        <w:t>Amendment Party</w:t>
      </w:r>
      <w:r>
        <w:rPr>
          <w:rFonts w:ascii="Times New Roman" w:cs="Times New Roman" w:eastAsia="Times New Roman" w:hAnsi="Times New Roman"/>
          <w:sz w:val="20"/>
          <w:szCs w:val="20"/>
          <w:color w:val="auto"/>
        </w:rPr>
        <w:t>" shall mean any of the Amendment Parties.</w:t>
      </w:r>
    </w:p>
    <w:p>
      <w:pPr>
        <w:spacing w:after="0" w:line="15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purpose of the Amendment is to:</w:t>
      </w:r>
    </w:p>
    <w:p>
      <w:pPr>
        <w:spacing w:after="0" w:line="198" w:lineRule="exact"/>
        <w:rPr>
          <w:sz w:val="20"/>
          <w:szCs w:val="20"/>
          <w:color w:val="auto"/>
        </w:rPr>
      </w:pPr>
    </w:p>
    <w:p>
      <w:pPr>
        <w:ind w:left="1540" w:hanging="766"/>
        <w:spacing w:after="0"/>
        <w:tabs>
          <w:tab w:leader="none" w:pos="15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"Commitment Expiry Date" definition and insert new definitions in Schedule 1 (</w:t>
      </w:r>
      <w:r>
        <w:rPr>
          <w:rFonts w:ascii="Times New Roman" w:cs="Times New Roman" w:eastAsia="Times New Roman" w:hAnsi="Times New Roman"/>
          <w:sz w:val="19"/>
          <w:szCs w:val="19"/>
          <w:i w:val="1"/>
          <w:iCs w:val="1"/>
          <w:color w:val="auto"/>
        </w:rPr>
        <w:t>Master Definitions Schedule</w:t>
      </w:r>
      <w:r>
        <w:rPr>
          <w:rFonts w:ascii="Times New Roman" w:cs="Times New Roman" w:eastAsia="Times New Roman" w:hAnsi="Times New Roman"/>
          <w:sz w:val="19"/>
          <w:szCs w:val="19"/>
          <w:color w:val="auto"/>
        </w:rPr>
        <w:t>);</w:t>
      </w:r>
    </w:p>
    <w:p>
      <w:pPr>
        <w:spacing w:after="0" w:line="92" w:lineRule="exact"/>
        <w:rPr>
          <w:rFonts w:ascii="Times New Roman" w:cs="Times New Roman" w:eastAsia="Times New Roman" w:hAnsi="Times New Roman"/>
          <w:sz w:val="19"/>
          <w:szCs w:val="19"/>
          <w:color w:val="auto"/>
        </w:rPr>
      </w:pPr>
    </w:p>
    <w:p>
      <w:pPr>
        <w:ind w:left="1540" w:hanging="766"/>
        <w:spacing w:after="0"/>
        <w:tabs>
          <w:tab w:leader="none" w:pos="15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the Luxembourg Seller as a New Seller (the "</w:t>
      </w:r>
      <w:r>
        <w:rPr>
          <w:rFonts w:ascii="Times New Roman" w:cs="Times New Roman" w:eastAsia="Times New Roman" w:hAnsi="Times New Roman"/>
          <w:sz w:val="20"/>
          <w:szCs w:val="20"/>
          <w:b w:val="1"/>
          <w:bCs w:val="1"/>
          <w:color w:val="auto"/>
        </w:rPr>
        <w:t>Entering Seller</w:t>
      </w:r>
      <w:r>
        <w:rPr>
          <w:rFonts w:ascii="Times New Roman" w:cs="Times New Roman" w:eastAsia="Times New Roman" w:hAnsi="Times New Roman"/>
          <w:sz w:val="20"/>
          <w:szCs w:val="20"/>
          <w:color w:val="auto"/>
        </w:rPr>
        <w:t>");</w:t>
      </w:r>
    </w:p>
    <w:p>
      <w:pPr>
        <w:spacing w:after="0" w:line="84" w:lineRule="exact"/>
        <w:rPr>
          <w:rFonts w:ascii="Times New Roman" w:cs="Times New Roman" w:eastAsia="Times New Roman" w:hAnsi="Times New Roman"/>
          <w:sz w:val="20"/>
          <w:szCs w:val="20"/>
          <w:color w:val="auto"/>
        </w:rPr>
      </w:pPr>
    </w:p>
    <w:p>
      <w:pPr>
        <w:ind w:left="1540" w:hanging="766"/>
        <w:spacing w:after="0"/>
        <w:tabs>
          <w:tab w:leader="none" w:pos="15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the removal of NATIXIS as Joint Lead Arranger;</w:t>
      </w:r>
    </w:p>
    <w:p>
      <w:pPr>
        <w:spacing w:after="0" w:line="67" w:lineRule="exact"/>
        <w:rPr>
          <w:rFonts w:ascii="Times New Roman" w:cs="Times New Roman" w:eastAsia="Times New Roman" w:hAnsi="Times New Roman"/>
          <w:sz w:val="20"/>
          <w:szCs w:val="20"/>
          <w:color w:val="auto"/>
        </w:rPr>
      </w:pPr>
    </w:p>
    <w:p>
      <w:pPr>
        <w:ind w:left="1540" w:hanging="766"/>
        <w:spacing w:after="0"/>
        <w:tabs>
          <w:tab w:leader="none" w:pos="15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the removal of the Complementary Deposit;</w:t>
      </w:r>
    </w:p>
    <w:p>
      <w:pPr>
        <w:spacing w:after="0" w:line="80" w:lineRule="exact"/>
        <w:rPr>
          <w:rFonts w:ascii="Times New Roman" w:cs="Times New Roman" w:eastAsia="Times New Roman" w:hAnsi="Times New Roman"/>
          <w:sz w:val="20"/>
          <w:szCs w:val="20"/>
          <w:color w:val="auto"/>
        </w:rPr>
      </w:pPr>
    </w:p>
    <w:p>
      <w:pPr>
        <w:ind w:left="1540" w:right="20" w:hanging="766"/>
        <w:spacing w:after="0"/>
        <w:tabs>
          <w:tab w:leader="none" w:pos="153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the changes made to the calculation of the Purchaser's Funding following the removal of the Complementary Deposit and the changes made to the Overcollateralisation Rate;</w:t>
      </w:r>
    </w:p>
    <w:p>
      <w:pPr>
        <w:spacing w:after="0" w:line="39" w:lineRule="exact"/>
        <w:rPr>
          <w:rFonts w:ascii="Times New Roman" w:cs="Times New Roman" w:eastAsia="Times New Roman" w:hAnsi="Times New Roman"/>
          <w:sz w:val="20"/>
          <w:szCs w:val="20"/>
          <w:color w:val="auto"/>
        </w:rPr>
      </w:pPr>
    </w:p>
    <w:p>
      <w:pPr>
        <w:ind w:left="1540" w:hanging="766"/>
        <w:spacing w:after="0"/>
        <w:tabs>
          <w:tab w:leader="none" w:pos="15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the replacement of Crédit Agricole Leasing &amp; Factoring by Crédit Agricole Corporate and Investment Bank 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w:t>
      </w:r>
    </w:p>
    <w:p>
      <w:pPr>
        <w:sectPr>
          <w:pgSz w:w="11900" w:h="16838" w:orient="portrait"/>
          <w:cols w:equalWidth="0" w:num="1">
            <w:col w:w="11240"/>
          </w:cols>
          <w:pgMar w:left="320" w:top="1368" w:right="339" w:bottom="1440" w:gutter="0" w:footer="0" w:header="0"/>
        </w:sectPr>
      </w:pPr>
    </w:p>
    <w:bookmarkStart w:id="138" w:name="page139"/>
    <w:bookmarkEnd w:id="138"/>
    <w:p>
      <w:pPr>
        <w:ind w:left="1540" w:hanging="766"/>
        <w:spacing w:after="0"/>
        <w:tabs>
          <w:tab w:leader="none" w:pos="153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the changes made to the General Master Purchase Agreement from time to time since the 2021 Amendment Date; and</w:t>
      </w:r>
    </w:p>
    <w:p>
      <w:pPr>
        <w:spacing w:after="0" w:line="39" w:lineRule="exact"/>
        <w:rPr>
          <w:rFonts w:ascii="Times New Roman" w:cs="Times New Roman" w:eastAsia="Times New Roman" w:hAnsi="Times New Roman"/>
          <w:sz w:val="20"/>
          <w:szCs w:val="20"/>
          <w:color w:val="auto"/>
        </w:rPr>
      </w:pPr>
    </w:p>
    <w:p>
      <w:pPr>
        <w:ind w:left="1540" w:hanging="766"/>
        <w:spacing w:after="0"/>
        <w:tabs>
          <w:tab w:leader="none" w:pos="15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other miscellaneous drafting and technical modifications.</w:t>
      </w:r>
    </w:p>
    <w:p>
      <w:pPr>
        <w:spacing w:after="0" w:line="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TO THE GENERAL MASTER PURCHASE AGREEMENT</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 xml:space="preserve"> </w:t>
      </w:r>
      <w:r>
        <w:rPr>
          <w:rFonts w:ascii="Times New Roman" w:cs="Times New Roman" w:eastAsia="Times New Roman" w:hAnsi="Times New Roman"/>
          <w:sz w:val="20"/>
          <w:szCs w:val="20"/>
          <w:color w:val="auto"/>
        </w:rPr>
        <w:t>The Amendment Parties (except the Entering Seller) expressly agree that the General Master Purchase Agreement shall be amended so that it shall read and be construed for all purposes as set out in SCHEDULE 3 (</w:t>
      </w:r>
      <w:r>
        <w:rPr>
          <w:rFonts w:ascii="Times New Roman" w:cs="Times New Roman" w:eastAsia="Times New Roman" w:hAnsi="Times New Roman"/>
          <w:sz w:val="20"/>
          <w:szCs w:val="20"/>
          <w:i w:val="1"/>
          <w:iCs w:val="1"/>
          <w:color w:val="auto"/>
        </w:rPr>
        <w:t>Amended General Master Purchase Agreement</w:t>
      </w:r>
      <w:r>
        <w:rPr>
          <w:rFonts w:ascii="Times New Roman" w:cs="Times New Roman" w:eastAsia="Times New Roman" w:hAnsi="Times New Roman"/>
          <w:sz w:val="20"/>
          <w:szCs w:val="20"/>
          <w:color w:val="auto"/>
        </w:rPr>
        <w:t>)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and that the terms and conditions of such amended General Master Purchase Agreement shall apply to them.</w:t>
      </w:r>
    </w:p>
    <w:p>
      <w:pPr>
        <w:spacing w:after="0" w:line="16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 xml:space="preserve"> </w:t>
      </w:r>
      <w:r>
        <w:rPr>
          <w:rFonts w:ascii="Times New Roman" w:cs="Times New Roman" w:eastAsia="Times New Roman" w:hAnsi="Times New Roman"/>
          <w:sz w:val="20"/>
          <w:szCs w:val="20"/>
          <w:color w:val="auto"/>
        </w:rPr>
        <w:t>The Centralising Unit and the Sellers also acknowledge that, for the purposes stated in Article 3.1, certain amendments are made also to certain other Securitisation Documents to which neither the Centralising Unit nor the Sellers are parties.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0"/>
          <w:szCs w:val="20"/>
          <w:color w:val="auto"/>
        </w:rPr>
        <w:t>The Entering Seller expressly agrees that by signing this Amendment it will become party to the General Master Purchase</w:t>
      </w:r>
    </w:p>
    <w:p>
      <w:pPr>
        <w:ind w:right="20"/>
        <w:spacing w:after="0" w:line="221" w:lineRule="auto"/>
        <w:rPr>
          <w:sz w:val="20"/>
          <w:szCs w:val="20"/>
          <w:color w:val="auto"/>
        </w:rPr>
      </w:pPr>
      <w:r>
        <w:rPr>
          <w:rFonts w:ascii="Times New Roman" w:cs="Times New Roman" w:eastAsia="Times New Roman" w:hAnsi="Times New Roman"/>
          <w:sz w:val="20"/>
          <w:szCs w:val="20"/>
          <w:color w:val="auto"/>
        </w:rPr>
        <w:t>Agreement in accordance with, and subject to, the terms and conditions set forth in article 38 (</w:t>
      </w:r>
      <w:r>
        <w:rPr>
          <w:rFonts w:ascii="Times New Roman" w:cs="Times New Roman" w:eastAsia="Times New Roman" w:hAnsi="Times New Roman"/>
          <w:sz w:val="20"/>
          <w:szCs w:val="20"/>
          <w:i w:val="1"/>
          <w:iCs w:val="1"/>
          <w:color w:val="auto"/>
        </w:rPr>
        <w:t>Accession of the Luxembourg Seller</w:t>
      </w:r>
      <w:r>
        <w:rPr>
          <w:rFonts w:ascii="Times New Roman" w:cs="Times New Roman" w:eastAsia="Times New Roman" w:hAnsi="Times New Roman"/>
          <w:sz w:val="20"/>
          <w:szCs w:val="20"/>
          <w:color w:val="auto"/>
        </w:rPr>
        <w:t>) of the General Master Purchase Agreement.</w:t>
      </w:r>
    </w:p>
    <w:p>
      <w:pPr>
        <w:spacing w:after="0" w:line="158"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 xml:space="preserve"> </w:t>
      </w:r>
      <w:r>
        <w:rPr>
          <w:rFonts w:ascii="Times New Roman" w:cs="Times New Roman" w:eastAsia="Times New Roman" w:hAnsi="Times New Roman"/>
          <w:sz w:val="20"/>
          <w:szCs w:val="20"/>
          <w:color w:val="auto"/>
        </w:rPr>
        <w:t>Each of the Amendment Parties shall do all such acts and things necessary or desirable to give effect to the amendments to be effected pursuant to this Amendment.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To the extent necessary, each Seller (except the Entering Seller) hereby ratifies and confirms each Collection Account Agreement, in</w:t>
      </w:r>
    </w:p>
    <w:p>
      <w:pPr>
        <w:spacing w:after="0" w:line="221" w:lineRule="auto"/>
        <w:rPr>
          <w:sz w:val="20"/>
          <w:szCs w:val="20"/>
          <w:color w:val="auto"/>
        </w:rPr>
      </w:pPr>
      <w:r>
        <w:rPr>
          <w:rFonts w:ascii="Times New Roman" w:cs="Times New Roman" w:eastAsia="Times New Roman" w:hAnsi="Times New Roman"/>
          <w:sz w:val="20"/>
          <w:szCs w:val="20"/>
          <w:color w:val="auto"/>
        </w:rPr>
        <w:t>all respects, which shall be maintained in full force and effect in accordance with its terms and conditions as security for the relevant secured obligations (as stated in each such Collection Account Agreement).</w:t>
      </w:r>
    </w:p>
    <w:p>
      <w:pPr>
        <w:spacing w:after="0" w:line="158"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ENTRY INTO FORCE</w:t>
      </w:r>
    </w:p>
    <w:p>
      <w:pPr>
        <w:spacing w:after="0" w:line="1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 xml:space="preserve"> </w:t>
      </w:r>
      <w:r>
        <w:rPr>
          <w:rFonts w:ascii="Times New Roman" w:cs="Times New Roman" w:eastAsia="Times New Roman" w:hAnsi="Times New Roman"/>
          <w:sz w:val="20"/>
          <w:szCs w:val="20"/>
          <w:color w:val="auto"/>
        </w:rPr>
        <w:t>Subject to satisfaction of the conditions set forth in Article 7 (</w:t>
      </w:r>
      <w:r>
        <w:rPr>
          <w:rFonts w:ascii="Times New Roman" w:cs="Times New Roman" w:eastAsia="Times New Roman" w:hAnsi="Times New Roman"/>
          <w:sz w:val="20"/>
          <w:szCs w:val="20"/>
          <w:i w:val="1"/>
          <w:iCs w:val="1"/>
          <w:color w:val="auto"/>
        </w:rPr>
        <w:t>Conditions precedent to the Amendment</w:t>
      </w:r>
      <w:r>
        <w:rPr>
          <w:rFonts w:ascii="Times New Roman" w:cs="Times New Roman" w:eastAsia="Times New Roman" w:hAnsi="Times New Roman"/>
          <w:sz w:val="20"/>
          <w:szCs w:val="20"/>
          <w:color w:val="auto"/>
        </w:rPr>
        <w:t>), and unless otherwise agreed by all Amendment Parties, this Amendment shall take effect on the Funded Settlement Date of October 2025.</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color w:val="auto"/>
        </w:rPr>
        <w:t>The Amendment Parties (except the Entering Seller) hereby agree to take into consideration the modifications to be made to the</w:t>
      </w:r>
    </w:p>
    <w:p>
      <w:pPr>
        <w:spacing w:after="0" w:line="215" w:lineRule="auto"/>
        <w:rPr>
          <w:sz w:val="20"/>
          <w:szCs w:val="20"/>
          <w:color w:val="auto"/>
        </w:rPr>
      </w:pPr>
      <w:r>
        <w:rPr>
          <w:rFonts w:ascii="Times New Roman" w:cs="Times New Roman" w:eastAsia="Times New Roman" w:hAnsi="Times New Roman"/>
          <w:sz w:val="19"/>
          <w:szCs w:val="19"/>
          <w:color w:val="auto"/>
        </w:rPr>
        <w:t>Securitisation Documents with effect as from the Funded Settlement Date of October 2025, or as from any other subsequent date specified herein, when carrying out any and all calculations required to be made on or prior, and with respect to, the above specified Funded Settlement</w:t>
      </w:r>
    </w:p>
    <w:p>
      <w:pPr>
        <w:spacing w:after="0"/>
        <w:rPr>
          <w:sz w:val="20"/>
          <w:szCs w:val="20"/>
          <w:color w:val="auto"/>
        </w:rPr>
      </w:pPr>
      <w:r>
        <w:rPr>
          <w:rFonts w:ascii="Times New Roman" w:cs="Times New Roman" w:eastAsia="Times New Roman" w:hAnsi="Times New Roman"/>
          <w:sz w:val="20"/>
          <w:szCs w:val="20"/>
          <w:color w:val="auto"/>
        </w:rPr>
        <w:t>Date, or such other subsequent date specified herein, in accordance with the provisions of the Securitisation Documents.</w:t>
      </w:r>
    </w:p>
    <w:p>
      <w:pPr>
        <w:spacing w:after="0" w:line="149"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 TO THE AMENDMENT</w:t>
      </w:r>
    </w:p>
    <w:p>
      <w:pPr>
        <w:spacing w:after="0" w:line="139" w:lineRule="exact"/>
        <w:rPr>
          <w:sz w:val="20"/>
          <w:szCs w:val="20"/>
          <w:color w:val="auto"/>
        </w:rPr>
      </w:pPr>
    </w:p>
    <w:p>
      <w:pPr>
        <w:ind w:left="780"/>
        <w:spacing w:after="0" w:line="269" w:lineRule="auto"/>
        <w:rPr>
          <w:sz w:val="20"/>
          <w:szCs w:val="20"/>
          <w:color w:val="auto"/>
        </w:rPr>
      </w:pPr>
      <w:r>
        <w:rPr>
          <w:rFonts w:ascii="Times New Roman" w:cs="Times New Roman" w:eastAsia="Times New Roman" w:hAnsi="Times New Roman"/>
          <w:sz w:val="20"/>
          <w:szCs w:val="20"/>
          <w:color w:val="auto"/>
        </w:rPr>
        <w:t>The Amendment shall only enter into force when all conditions precedent described in the conditions precedent list set out in SCHEDULE 2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have been fulfilled in form and substance satisfactory to the Purchaser (acting reasonably).</w:t>
      </w:r>
    </w:p>
    <w:p>
      <w:pPr>
        <w:spacing w:after="0" w:line="47"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Each Seller and the Centralising Unit represents and warrants to the Purchaser that, as at the date hereof:</w:t>
      </w:r>
    </w:p>
    <w:p>
      <w:pPr>
        <w:spacing w:after="0" w:line="90" w:lineRule="exact"/>
        <w:rPr>
          <w:sz w:val="20"/>
          <w:szCs w:val="20"/>
          <w:color w:val="auto"/>
        </w:rPr>
      </w:pPr>
    </w:p>
    <w:p>
      <w:pPr>
        <w:ind w:left="780" w:right="20" w:hanging="772"/>
        <w:spacing w:after="0" w:line="245" w:lineRule="auto"/>
        <w:tabs>
          <w:tab w:leader="none" w:pos="76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French Seller, it is a simplified joint-stock company (</w:t>
      </w:r>
      <w:r>
        <w:rPr>
          <w:rFonts w:ascii="Times New Roman" w:cs="Times New Roman" w:eastAsia="Times New Roman" w:hAnsi="Times New Roman"/>
          <w:sz w:val="20"/>
          <w:szCs w:val="20"/>
          <w:i w:val="1"/>
          <w:iCs w:val="1"/>
          <w:color w:val="auto"/>
        </w:rPr>
        <w:t>société par actions simplifiée</w:t>
      </w:r>
      <w:r>
        <w:rPr>
          <w:rFonts w:ascii="Times New Roman" w:cs="Times New Roman" w:eastAsia="Times New Roman" w:hAnsi="Times New Roman"/>
          <w:sz w:val="20"/>
          <w:szCs w:val="20"/>
          <w:color w:val="auto"/>
        </w:rPr>
        <w:t>) duly incorporated and validly existing under French law;</w:t>
      </w:r>
    </w:p>
    <w:p>
      <w:pPr>
        <w:spacing w:after="0" w:line="43" w:lineRule="exact"/>
        <w:rPr>
          <w:rFonts w:ascii="Times New Roman" w:cs="Times New Roman" w:eastAsia="Times New Roman" w:hAnsi="Times New Roman"/>
          <w:sz w:val="20"/>
          <w:szCs w:val="20"/>
          <w:color w:val="auto"/>
        </w:rPr>
      </w:pPr>
    </w:p>
    <w:p>
      <w:pPr>
        <w:ind w:left="780" w:hanging="772"/>
        <w:spacing w:after="0" w:line="235" w:lineRule="auto"/>
        <w:tabs>
          <w:tab w:leader="none" w:pos="76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German Seller, it is a limited liability company (</w:t>
      </w:r>
      <w:r>
        <w:rPr>
          <w:rFonts w:ascii="Times New Roman" w:cs="Times New Roman" w:eastAsia="Times New Roman" w:hAnsi="Times New Roman"/>
          <w:sz w:val="20"/>
          <w:szCs w:val="20"/>
          <w:i w:val="1"/>
          <w:iCs w:val="1"/>
          <w:color w:val="auto"/>
        </w:rPr>
        <w:t>Gesellschaft mit beschränkter Haftung</w:t>
      </w:r>
      <w:r>
        <w:rPr>
          <w:rFonts w:ascii="Times New Roman" w:cs="Times New Roman" w:eastAsia="Times New Roman" w:hAnsi="Times New Roman"/>
          <w:sz w:val="20"/>
          <w:szCs w:val="20"/>
          <w:color w:val="auto"/>
        </w:rPr>
        <w:t>) duly incorporated and validly existing under German law;</w:t>
      </w:r>
    </w:p>
    <w:p>
      <w:pPr>
        <w:spacing w:after="0" w:line="49" w:lineRule="exact"/>
        <w:rPr>
          <w:rFonts w:ascii="Times New Roman" w:cs="Times New Roman" w:eastAsia="Times New Roman" w:hAnsi="Times New Roman"/>
          <w:sz w:val="20"/>
          <w:szCs w:val="20"/>
          <w:color w:val="auto"/>
        </w:rPr>
      </w:pPr>
    </w:p>
    <w:p>
      <w:pPr>
        <w:ind w:left="780" w:hanging="772"/>
        <w:spacing w:after="0" w:line="245" w:lineRule="auto"/>
        <w:tabs>
          <w:tab w:leader="none" w:pos="77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Spanish Seller, it is a public limited liability company (</w:t>
      </w:r>
      <w:r>
        <w:rPr>
          <w:rFonts w:ascii="Times New Roman" w:cs="Times New Roman" w:eastAsia="Times New Roman" w:hAnsi="Times New Roman"/>
          <w:sz w:val="20"/>
          <w:szCs w:val="20"/>
          <w:i w:val="1"/>
          <w:iCs w:val="1"/>
          <w:color w:val="auto"/>
        </w:rPr>
        <w:t>sociedad anónima</w:t>
      </w:r>
      <w:r>
        <w:rPr>
          <w:rFonts w:ascii="Times New Roman" w:cs="Times New Roman" w:eastAsia="Times New Roman" w:hAnsi="Times New Roman"/>
          <w:sz w:val="20"/>
          <w:szCs w:val="20"/>
          <w:color w:val="auto"/>
        </w:rPr>
        <w:t>) duly incorporated and validly existing under Spanish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ectPr>
          <w:pgSz w:w="11900" w:h="16838" w:orient="portrait"/>
          <w:cols w:equalWidth="0" w:num="1">
            <w:col w:w="11240"/>
          </w:cols>
          <w:pgMar w:left="320" w:top="1372" w:right="339" w:bottom="1440" w:gutter="0" w:footer="0" w:header="0"/>
        </w:sectPr>
      </w:pPr>
    </w:p>
    <w:bookmarkStart w:id="139" w:name="page140"/>
    <w:bookmarkEnd w:id="139"/>
    <w:p>
      <w:pPr>
        <w:ind w:left="780" w:right="20" w:hanging="772"/>
        <w:spacing w:after="0"/>
        <w:tabs>
          <w:tab w:leader="none" w:pos="7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UK Seller and the Centralising Unit, it is a limited liability company duly incorporated and validly existing under the laws of England and Wales;</w:t>
      </w:r>
    </w:p>
    <w:p>
      <w:pPr>
        <w:spacing w:after="0" w:line="35" w:lineRule="exact"/>
        <w:rPr>
          <w:rFonts w:ascii="Times New Roman" w:cs="Times New Roman" w:eastAsia="Times New Roman" w:hAnsi="Times New Roman"/>
          <w:sz w:val="20"/>
          <w:szCs w:val="20"/>
          <w:color w:val="auto"/>
        </w:rPr>
      </w:pPr>
    </w:p>
    <w:p>
      <w:pPr>
        <w:ind w:left="780" w:hanging="772"/>
        <w:spacing w:after="0" w:line="245" w:lineRule="auto"/>
        <w:tabs>
          <w:tab w:leader="none" w:pos="77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Luxembourg Seller, it is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duly incorporated and validly existing under the laws of Luxembourg;</w:t>
      </w:r>
    </w:p>
    <w:p>
      <w:pPr>
        <w:spacing w:after="0" w:line="47" w:lineRule="exact"/>
        <w:rPr>
          <w:rFonts w:ascii="Times New Roman" w:cs="Times New Roman" w:eastAsia="Times New Roman" w:hAnsi="Times New Roman"/>
          <w:sz w:val="20"/>
          <w:szCs w:val="20"/>
          <w:color w:val="auto"/>
        </w:rPr>
      </w:pPr>
    </w:p>
    <w:p>
      <w:pPr>
        <w:jc w:val="both"/>
        <w:ind w:left="780" w:hanging="772"/>
        <w:spacing w:after="0" w:line="226" w:lineRule="auto"/>
        <w:tabs>
          <w:tab w:leader="none" w:pos="7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capacity (a) to carry on its business, as currently conducted, and to own all of the assets appearing on its balance sheet, except where failure of such capacity would not be reasonably likely to result in a Material Adverse Effect and (b) to enter into the Amendment and perform its obligations under the Transaction Documents to which it is a party;</w:t>
      </w:r>
    </w:p>
    <w:p>
      <w:pPr>
        <w:spacing w:after="0" w:line="52" w:lineRule="exact"/>
        <w:rPr>
          <w:rFonts w:ascii="Times New Roman" w:cs="Times New Roman" w:eastAsia="Times New Roman" w:hAnsi="Times New Roman"/>
          <w:sz w:val="20"/>
          <w:szCs w:val="20"/>
          <w:color w:val="auto"/>
        </w:rPr>
      </w:pPr>
    </w:p>
    <w:p>
      <w:pPr>
        <w:jc w:val="both"/>
        <w:ind w:left="780" w:hanging="772"/>
        <w:spacing w:after="0" w:line="226" w:lineRule="auto"/>
        <w:tabs>
          <w:tab w:leader="none" w:pos="77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does not require any power or authorisation to execute the Amendment or to perform its obligations under the Transaction Documents to which it is a party, that it has not already obtained, unless, in the case of any Governmental Authorisation, the failure to obtain such authorisation would not be reasonably likely to result in a Material Adverse Effect;</w:t>
      </w:r>
    </w:p>
    <w:p>
      <w:pPr>
        <w:spacing w:after="0" w:line="52" w:lineRule="exact"/>
        <w:rPr>
          <w:rFonts w:ascii="Times New Roman" w:cs="Times New Roman" w:eastAsia="Times New Roman" w:hAnsi="Times New Roman"/>
          <w:sz w:val="20"/>
          <w:szCs w:val="20"/>
          <w:color w:val="auto"/>
        </w:rPr>
      </w:pPr>
    </w:p>
    <w:p>
      <w:pPr>
        <w:jc w:val="both"/>
        <w:ind w:left="780" w:hanging="772"/>
        <w:spacing w:after="0" w:line="214" w:lineRule="auto"/>
        <w:tabs>
          <w:tab w:leader="none" w:pos="77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no Material Adverse Effect would be reasonably likely to result therefrom, the execution of the Amendment and the performance of its obligations hereunder and/or under the General Master Purchase Agreement (as amended by the Amendment) will not contravene (a) any provision of its articles of association, (b) any law or regulation applicable to it or</w:t>
      </w:r>
    </w:p>
    <w:p>
      <w:pPr>
        <w:ind w:left="780"/>
        <w:spacing w:after="0" w:line="2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any provision of any contract or undertaking to which it is a party or by which it is bound and that may adversely affect the rights of the Purchaser or the collection of the Sold Receivables; and</w:t>
      </w:r>
    </w:p>
    <w:p>
      <w:pPr>
        <w:spacing w:after="0" w:line="53" w:lineRule="exact"/>
        <w:rPr>
          <w:rFonts w:ascii="Times New Roman" w:cs="Times New Roman" w:eastAsia="Times New Roman" w:hAnsi="Times New Roman"/>
          <w:sz w:val="20"/>
          <w:szCs w:val="20"/>
          <w:color w:val="auto"/>
        </w:rPr>
      </w:pPr>
    </w:p>
    <w:p>
      <w:pPr>
        <w:jc w:val="both"/>
        <w:ind w:left="780" w:hanging="772"/>
        <w:spacing w:after="0" w:line="226" w:lineRule="auto"/>
        <w:tabs>
          <w:tab w:leader="none" w:pos="7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and the General Master Purchase Agreement (as amended by the Amendment) constitute its legal, valid and binding obligations and enforceable in accordance with their terms, subject to applicable bankruptcy, insolvency, moratorium and other laws affecting creditors' rights generally.</w:t>
      </w:r>
    </w:p>
    <w:p>
      <w:pPr>
        <w:spacing w:after="0" w:line="156"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GLOBAL RATE</w:t>
      </w:r>
    </w:p>
    <w:p>
      <w:pPr>
        <w:spacing w:after="0" w:line="202" w:lineRule="exact"/>
        <w:rPr>
          <w:sz w:val="20"/>
          <w:szCs w:val="20"/>
          <w:color w:val="auto"/>
        </w:rPr>
      </w:pPr>
    </w:p>
    <w:p>
      <w:pPr>
        <w:ind w:left="780"/>
        <w:spacing w:after="0" w:line="273" w:lineRule="auto"/>
        <w:rPr>
          <w:sz w:val="20"/>
          <w:szCs w:val="20"/>
          <w:color w:val="auto"/>
        </w:rPr>
      </w:pPr>
      <w:r>
        <w:rPr>
          <w:rFonts w:ascii="Times New Roman" w:cs="Times New Roman" w:eastAsia="Times New Roman" w:hAnsi="Times New Roman"/>
          <w:sz w:val="20"/>
          <w:szCs w:val="20"/>
          <w:color w:val="auto"/>
        </w:rPr>
        <w:t xml:space="preserve">For the purpose of articles L.314-1 to L.314-5 and R.314-1 to R.314-14 of the French </w:t>
      </w:r>
      <w:r>
        <w:rPr>
          <w:rFonts w:ascii="Times New Roman" w:cs="Times New Roman" w:eastAsia="Times New Roman" w:hAnsi="Times New Roman"/>
          <w:sz w:val="20"/>
          <w:szCs w:val="20"/>
          <w:i w:val="1"/>
          <w:iCs w:val="1"/>
          <w:color w:val="auto"/>
        </w:rPr>
        <w:t>Code de la consommation</w:t>
      </w:r>
      <w:r>
        <w:rPr>
          <w:rFonts w:ascii="Times New Roman" w:cs="Times New Roman" w:eastAsia="Times New Roman" w:hAnsi="Times New Roman"/>
          <w:sz w:val="20"/>
          <w:szCs w:val="20"/>
          <w:color w:val="auto"/>
        </w:rPr>
        <w:t>, each of the Sellers acknowledges that:</w:t>
      </w:r>
    </w:p>
    <w:p>
      <w:pPr>
        <w:spacing w:after="0" w:line="44" w:lineRule="exact"/>
        <w:rPr>
          <w:sz w:val="20"/>
          <w:szCs w:val="20"/>
          <w:color w:val="auto"/>
        </w:rPr>
      </w:pPr>
    </w:p>
    <w:p>
      <w:pPr>
        <w:jc w:val="both"/>
        <w:ind w:left="780" w:hanging="772"/>
        <w:spacing w:after="0" w:line="223" w:lineRule="auto"/>
        <w:tabs>
          <w:tab w:leader="none" w:pos="76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virtue of certain characteristics of the General Master Purchase Agreement,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cannot be calculated on the date of the Amendment, but that an indicative calculation of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based on assumptions as to the </w:t>
      </w:r>
      <w:r>
        <w:rPr>
          <w:rFonts w:ascii="Times New Roman" w:cs="Times New Roman" w:eastAsia="Times New Roman" w:hAnsi="Times New Roman"/>
          <w:sz w:val="20"/>
          <w:szCs w:val="20"/>
          <w:i w:val="1"/>
          <w:iCs w:val="1"/>
          <w:color w:val="auto"/>
        </w:rPr>
        <w:t>taux de période</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i w:val="1"/>
          <w:iCs w:val="1"/>
          <w:color w:val="auto"/>
        </w:rPr>
        <w:t>durée de période</w:t>
      </w:r>
      <w:r>
        <w:rPr>
          <w:rFonts w:ascii="Times New Roman" w:cs="Times New Roman" w:eastAsia="Times New Roman" w:hAnsi="Times New Roman"/>
          <w:sz w:val="20"/>
          <w:szCs w:val="20"/>
          <w:color w:val="auto"/>
        </w:rPr>
        <w:t>, will be set out in an effective global rate letter given by the Purchaser to the Centralising Unit on behalf of the Sellers on the date hereof; and</w:t>
      </w:r>
    </w:p>
    <w:p>
      <w:pPr>
        <w:spacing w:after="0" w:line="4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letter forms part of the General Master Purchase Agreement.</w:t>
      </w:r>
    </w:p>
    <w:p>
      <w:pPr>
        <w:spacing w:after="0" w:line="185"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WAIVER – NO NOVATION</w:t>
      </w:r>
    </w:p>
    <w:p>
      <w:pPr>
        <w:spacing w:after="0" w:line="18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 xml:space="preserve"> </w:t>
      </w:r>
      <w:r>
        <w:rPr>
          <w:rFonts w:ascii="Times New Roman" w:cs="Times New Roman" w:eastAsia="Times New Roman" w:hAnsi="Times New Roman"/>
          <w:sz w:val="20"/>
          <w:szCs w:val="20"/>
          <w:color w:val="auto"/>
        </w:rPr>
        <w:t>The Amendment shall not be construed as a waiver of by any Amendment Party of any of its rights under the General Master Purchase Agreement, to the extent such rights are not modified by the Amendment.</w:t>
      </w:r>
    </w:p>
    <w:p>
      <w:pPr>
        <w:spacing w:after="0" w:line="16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 xml:space="preserve"> </w:t>
      </w:r>
      <w:r>
        <w:rPr>
          <w:rFonts w:ascii="Times New Roman" w:cs="Times New Roman" w:eastAsia="Times New Roman" w:hAnsi="Times New Roman"/>
          <w:sz w:val="20"/>
          <w:szCs w:val="20"/>
          <w:color w:val="auto"/>
        </w:rPr>
        <w:t>The Amendment does not create any novation of the General Master Purchase Agreement. Each Amendment Party agrees that the provisions of the General Master Purchase Agreement, as amended by the Amendment, shall remain in full force and effect.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 xml:space="preserve"> </w:t>
      </w:r>
      <w:r>
        <w:rPr>
          <w:rFonts w:ascii="Times New Roman" w:cs="Times New Roman" w:eastAsia="Times New Roman" w:hAnsi="Times New Roman"/>
          <w:sz w:val="20"/>
          <w:szCs w:val="20"/>
          <w:color w:val="auto"/>
        </w:rPr>
        <w:t>The Amendment Parties accept that any reference to the General Master Purchase Agreement in another contract entered into by one Amendment Party is interpreted as a reference to the General Master Purchase Agreement as modified by this Amendment.</w:t>
      </w:r>
    </w:p>
    <w:p>
      <w:pPr>
        <w:spacing w:after="0" w:line="179"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RECOURSE – NON-PETITION</w:t>
      </w:r>
    </w:p>
    <w:p>
      <w:pPr>
        <w:spacing w:after="0" w:line="1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Each of the Sellers, the Centralising Unit and CREDIT AGRICOLE CORPORATE AND INVESTMENT BANK:</w:t>
      </w:r>
    </w:p>
    <w:p>
      <w:pPr>
        <w:spacing w:after="0" w:line="108" w:lineRule="exact"/>
        <w:rPr>
          <w:sz w:val="20"/>
          <w:szCs w:val="20"/>
          <w:color w:val="auto"/>
        </w:rPr>
      </w:pPr>
    </w:p>
    <w:p>
      <w:pPr>
        <w:jc w:val="both"/>
        <w:ind w:left="1540" w:hanging="766"/>
        <w:spacing w:after="0" w:line="226" w:lineRule="auto"/>
        <w:tabs>
          <w:tab w:leader="none" w:pos="153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irrevocably and unconditionally waives any right that it may have to initiate any proceeding whatsoever in relation to the contractual liability (</w:t>
      </w:r>
      <w:r>
        <w:rPr>
          <w:rFonts w:ascii="Times New Roman" w:cs="Times New Roman" w:eastAsia="Times New Roman" w:hAnsi="Times New Roman"/>
          <w:sz w:val="20"/>
          <w:szCs w:val="20"/>
          <w:i w:val="1"/>
          <w:iCs w:val="1"/>
          <w:color w:val="auto"/>
        </w:rPr>
        <w:t>responsabilité contractuelle</w:t>
      </w:r>
      <w:r>
        <w:rPr>
          <w:rFonts w:ascii="Times New Roman" w:cs="Times New Roman" w:eastAsia="Times New Roman" w:hAnsi="Times New Roman"/>
          <w:sz w:val="20"/>
          <w:szCs w:val="20"/>
          <w:color w:val="auto"/>
        </w:rPr>
        <w:t>) of the Purchaser, except in the event of gross negligence (</w:t>
      </w:r>
      <w:r>
        <w:rPr>
          <w:rFonts w:ascii="Times New Roman" w:cs="Times New Roman" w:eastAsia="Times New Roman" w:hAnsi="Times New Roman"/>
          <w:sz w:val="20"/>
          <w:szCs w:val="20"/>
          <w:i w:val="1"/>
          <w:iCs w:val="1"/>
          <w:color w:val="auto"/>
        </w:rPr>
        <w:t>faute lourde</w:t>
      </w:r>
      <w:r>
        <w:rPr>
          <w:rFonts w:ascii="Times New Roman" w:cs="Times New Roman" w:eastAsia="Times New Roman" w:hAnsi="Times New Roman"/>
          <w:sz w:val="20"/>
          <w:szCs w:val="20"/>
          <w:color w:val="auto"/>
        </w:rPr>
        <w:t>) or wilful misconduct (</w:t>
      </w:r>
      <w:r>
        <w:rPr>
          <w:rFonts w:ascii="Times New Roman" w:cs="Times New Roman" w:eastAsia="Times New Roman" w:hAnsi="Times New Roman"/>
          <w:sz w:val="20"/>
          <w:szCs w:val="20"/>
          <w:i w:val="1"/>
          <w:iCs w:val="1"/>
          <w:color w:val="auto"/>
        </w:rPr>
        <w:t>dol</w:t>
      </w:r>
      <w:r>
        <w:rPr>
          <w:rFonts w:ascii="Times New Roman" w:cs="Times New Roman" w:eastAsia="Times New Roman" w:hAnsi="Times New Roman"/>
          <w:sz w:val="20"/>
          <w:szCs w:val="20"/>
          <w:color w:val="auto"/>
        </w:rPr>
        <w:t>) of the Purchaser and agree to limit their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ectPr>
          <w:pgSz w:w="11900" w:h="16838" w:orient="portrait"/>
          <w:cols w:equalWidth="0" w:num="1">
            <w:col w:w="11240"/>
          </w:cols>
          <w:pgMar w:left="320" w:top="1372" w:right="339" w:bottom="1440" w:gutter="0" w:footer="0" w:header="0"/>
        </w:sectPr>
      </w:pPr>
    </w:p>
    <w:bookmarkStart w:id="140" w:name="page141"/>
    <w:bookmarkEnd w:id="140"/>
    <w:p>
      <w:pPr>
        <w:ind w:left="1540"/>
        <w:spacing w:after="0"/>
        <w:rPr>
          <w:sz w:val="20"/>
          <w:szCs w:val="20"/>
          <w:color w:val="auto"/>
        </w:rPr>
      </w:pPr>
      <w:r>
        <w:rPr>
          <w:rFonts w:ascii="Times New Roman" w:cs="Times New Roman" w:eastAsia="Times New Roman" w:hAnsi="Times New Roman"/>
          <w:sz w:val="20"/>
          <w:szCs w:val="20"/>
          <w:color w:val="auto"/>
        </w:rPr>
        <w:t>and recourse against the Purchaser (including in the event of a breach by the Purchaser of any of its representations and warranties, or any of its obligations hereunder) to the amount of the Available Funds on the relevant date; and</w:t>
      </w:r>
    </w:p>
    <w:p>
      <w:pPr>
        <w:spacing w:after="0" w:line="40" w:lineRule="exact"/>
        <w:rPr>
          <w:sz w:val="20"/>
          <w:szCs w:val="20"/>
          <w:color w:val="auto"/>
        </w:rPr>
      </w:pPr>
    </w:p>
    <w:p>
      <w:pPr>
        <w:jc w:val="both"/>
        <w:ind w:left="1540" w:hanging="766"/>
        <w:spacing w:after="0" w:line="222" w:lineRule="auto"/>
        <w:tabs>
          <w:tab w:leader="none" w:pos="153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irrevocably and unconditionally undertakes and agrees not to institute any legal proceedings, take other steps or institute other proceedings against the Purchaser, the purpose of which is the appointment of a conciliator or an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agent, or the opening of receivership proceedings or insolvency proceedings (</w:t>
      </w:r>
      <w:r>
        <w:rPr>
          <w:rFonts w:ascii="Times New Roman" w:cs="Times New Roman" w:eastAsia="Times New Roman" w:hAnsi="Times New Roman"/>
          <w:sz w:val="20"/>
          <w:szCs w:val="20"/>
          <w:i w:val="1"/>
          <w:iCs w:val="1"/>
          <w:color w:val="auto"/>
        </w:rPr>
        <w:t>sauvegarde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sauvegarde accélérée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redressement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judiciaire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liquidation judiciaire</w:t>
      </w:r>
      <w:r>
        <w:rPr>
          <w:rFonts w:ascii="Times New Roman" w:cs="Times New Roman" w:eastAsia="Times New Roman" w:hAnsi="Times New Roman"/>
          <w:sz w:val="20"/>
          <w:szCs w:val="20"/>
          <w:color w:val="auto"/>
        </w:rPr>
        <w:t>) or any other similar proceedings.</w:t>
      </w:r>
    </w:p>
    <w:p>
      <w:pPr>
        <w:spacing w:after="0" w:line="15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SIGNATURES AND REGISTRATION</w:t>
      </w:r>
    </w:p>
    <w:p>
      <w:pPr>
        <w:spacing w:after="0" w:line="18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color w:val="auto"/>
        </w:rPr>
        <w:t>Each Amendment Party acknowledges that they have read the conditions of use of the electronic signature solution complying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Electronic Signature Regulation requirements provided by DocuSign (the "</w:t>
      </w:r>
      <w:r>
        <w:rPr>
          <w:rFonts w:ascii="Times New Roman" w:cs="Times New Roman" w:eastAsia="Times New Roman" w:hAnsi="Times New Roman"/>
          <w:sz w:val="20"/>
          <w:szCs w:val="20"/>
          <w:b w:val="1"/>
          <w:bCs w:val="1"/>
          <w:color w:val="auto"/>
        </w:rPr>
        <w:t>Solution</w:t>
      </w:r>
      <w:r>
        <w:rPr>
          <w:rFonts w:ascii="Times New Roman" w:cs="Times New Roman" w:eastAsia="Times New Roman" w:hAnsi="Times New Roman"/>
          <w:sz w:val="20"/>
          <w:szCs w:val="20"/>
          <w:color w:val="auto"/>
        </w:rPr>
        <w:t>") and that the process suggested by DocuSign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implements an electronic signature within the meaning of the provisions of article 1367 of the French </w:t>
      </w:r>
      <w:r>
        <w:rPr>
          <w:rFonts w:ascii="Times New Roman" w:cs="Times New Roman" w:eastAsia="Times New Roman" w:hAnsi="Times New Roman"/>
          <w:sz w:val="20"/>
          <w:szCs w:val="20"/>
          <w:i w:val="1"/>
          <w:iCs w:val="1"/>
          <w:color w:val="auto"/>
        </w:rPr>
        <w:t>Code civil</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19"/>
          <w:szCs w:val="19"/>
          <w:color w:val="auto"/>
        </w:rPr>
        <w:t>Each Amendment Party should agree that the Amendment signed and dated by means of the Solution expresses its consent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be deemed to be the original of that Amendment.</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19"/>
          <w:szCs w:val="19"/>
          <w:color w:val="auto"/>
        </w:rPr>
        <w:t>Each Amendment Party should accept as an evidence all the login data and information relating to the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transmitted by DocuSign in the course of the transaction, including time-stamp related elements provided by DocuSign the digital signature certificate and e-mails or text messages sent or received by the Amendment Parties by means of the Solution.</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19"/>
          <w:szCs w:val="19"/>
          <w:color w:val="auto"/>
        </w:rPr>
        <w:t>The Amendment Parties expressly agree that they shall each be responsible for keeping each reliable copy of the original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Amendment that has been electronically signed, under reasonable conditions so as to ensure its integrity.</w:t>
      </w:r>
    </w:p>
    <w:p>
      <w:pPr>
        <w:spacing w:after="0" w:line="12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19"/>
          <w:szCs w:val="19"/>
          <w:color w:val="auto"/>
        </w:rPr>
        <w:t>Each Amendment Party acknowledges and accepts that the advanced electronic signature, affixed to the Amendment by means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Solution, grants a sufficient reliability level that allows the identification of its signatory and guarantees its relation to the Amendment to which its signature is affixed. It therefore benefits of the same presumption of reliability as that provided for in the second sentence of the second paragraph of the article 1367 of the French </w:t>
      </w:r>
      <w:r>
        <w:rPr>
          <w:rFonts w:ascii="Times New Roman" w:cs="Times New Roman" w:eastAsia="Times New Roman" w:hAnsi="Times New Roman"/>
          <w:sz w:val="19"/>
          <w:szCs w:val="19"/>
          <w:i w:val="1"/>
          <w:iCs w:val="1"/>
          <w:color w:val="auto"/>
        </w:rPr>
        <w:t>Code civil</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19"/>
          <w:szCs w:val="19"/>
          <w:color w:val="auto"/>
        </w:rPr>
        <w:t>Thus, each Amendment Party hereby acknowledges and expressly agrees that in the event of any dispute and/or disagreement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between them, regardless of its nature, origin and cause, the advanced electronic signature affixed on the Amendment by means of the Solution shall be deemed to constitute valid, admissible and enforceable evidence, not only between the Amendment Parties themselves, but also before all courts and competent authorities and </w:t>
      </w:r>
      <w:r>
        <w:rPr>
          <w:rFonts w:ascii="Times New Roman" w:cs="Times New Roman" w:eastAsia="Times New Roman" w:hAnsi="Times New Roman"/>
          <w:sz w:val="19"/>
          <w:szCs w:val="19"/>
          <w:i w:val="1"/>
          <w:iCs w:val="1"/>
          <w:color w:val="auto"/>
        </w:rPr>
        <w:t>vis-à-vis</w:t>
      </w:r>
      <w:r>
        <w:rPr>
          <w:rFonts w:ascii="Times New Roman" w:cs="Times New Roman" w:eastAsia="Times New Roman" w:hAnsi="Times New Roman"/>
          <w:sz w:val="19"/>
          <w:szCs w:val="19"/>
          <w:color w:val="auto"/>
        </w:rPr>
        <w:t xml:space="preserve"> any third party.</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19"/>
          <w:szCs w:val="19"/>
          <w:color w:val="auto"/>
        </w:rPr>
        <w:t>The present Article constitutes an agreement of proof within the meaning of article 1368 of the French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i w:val="1"/>
          <w:iCs w:val="1"/>
          <w:color w:val="auto"/>
        </w:rPr>
        <w:t>Code civil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limits permitted under article 1356 of the same code.</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19"/>
          <w:szCs w:val="19"/>
          <w:color w:val="auto"/>
        </w:rPr>
        <w:t>The Amendment Parties hereby agree not to register the Amendment with the French tax administration, although if one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Party elects to do so, it shall carry out such a registration at its own expense.</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PARTIAL INVALIDITY</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color w:val="auto"/>
        </w:rPr>
        <w:t>If a provision of the Amendment is or becomes illegal, invalid or unenforceable, that shall not affect the legality, validity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other provision of any Transaction Document.</w:t>
      </w:r>
    </w:p>
    <w:p>
      <w:pPr>
        <w:spacing w:after="0" w:line="1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color w:val="auto"/>
        </w:rPr>
        <w:t>Each Amendment Party agrees to negotiate in good faith to replace the affected provisions, or parts of those provisions, with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 and effective agreements having substantially the same economic effect, having regard to the subject matter and purpose of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ectPr>
          <w:pgSz w:w="11900" w:h="16838" w:orient="portrait"/>
          <w:cols w:equalWidth="0" w:num="1">
            <w:col w:w="11240"/>
          </w:cols>
          <w:pgMar w:left="320" w:top="1372" w:right="339" w:bottom="1440" w:gutter="0" w:footer="0" w:header="0"/>
        </w:sectPr>
      </w:pPr>
    </w:p>
    <w:bookmarkStart w:id="141" w:name="page142"/>
    <w:bookmarkEnd w:id="141"/>
    <w:p>
      <w:pPr>
        <w:ind w:left="640" w:hanging="632"/>
        <w:spacing w:after="0"/>
        <w:tabs>
          <w:tab w:leader="none" w:pos="64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NOTARISATION</w:t>
      </w:r>
    </w:p>
    <w:p>
      <w:pPr>
        <w:spacing w:after="0" w:line="202" w:lineRule="exact"/>
        <w:rPr>
          <w:sz w:val="20"/>
          <w:szCs w:val="20"/>
          <w:color w:val="auto"/>
        </w:rPr>
      </w:pPr>
    </w:p>
    <w:p>
      <w:pPr>
        <w:jc w:val="both"/>
        <w:ind w:left="780"/>
        <w:spacing w:after="0" w:line="260" w:lineRule="auto"/>
        <w:rPr>
          <w:sz w:val="20"/>
          <w:szCs w:val="20"/>
          <w:color w:val="auto"/>
        </w:rPr>
      </w:pPr>
      <w:r>
        <w:rPr>
          <w:rFonts w:ascii="Times New Roman" w:cs="Times New Roman" w:eastAsia="Times New Roman" w:hAnsi="Times New Roman"/>
          <w:sz w:val="20"/>
          <w:szCs w:val="20"/>
          <w:color w:val="auto"/>
        </w:rPr>
        <w:t xml:space="preserve">For the purposes contemplated in Article 517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Spanish Law 1/2000 of 7 January (</w:t>
      </w:r>
      <w:r>
        <w:rPr>
          <w:rFonts w:ascii="Times New Roman" w:cs="Times New Roman" w:eastAsia="Times New Roman" w:hAnsi="Times New Roman"/>
          <w:sz w:val="20"/>
          <w:szCs w:val="20"/>
          <w:i w:val="1"/>
          <w:iCs w:val="1"/>
          <w:color w:val="auto"/>
        </w:rPr>
        <w:t>Ley de Enjuiciamiento Civil</w:t>
      </w:r>
      <w:r>
        <w:rPr>
          <w:rFonts w:ascii="Times New Roman" w:cs="Times New Roman" w:eastAsia="Times New Roman" w:hAnsi="Times New Roman"/>
          <w:sz w:val="20"/>
          <w:szCs w:val="20"/>
          <w:color w:val="auto"/>
        </w:rPr>
        <w:t>) as amended from time to time and related provisions, the Amendment Parties agree to raise the Amendment to public document status by means of a Spanish Public Document, on the date of the Amendment or, if not possible, as soon as practicable thereafter on any other subsequent date determined by the Agent, the Purchaser and the Centralising Unit.</w:t>
      </w:r>
    </w:p>
    <w:p>
      <w:pPr>
        <w:spacing w:after="0" w:line="151"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 JURISDICTION</w:t>
      </w:r>
    </w:p>
    <w:p>
      <w:pPr>
        <w:spacing w:after="0" w:line="18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19"/>
          <w:szCs w:val="19"/>
          <w:color w:val="auto"/>
        </w:rPr>
        <w:t>The Amendment shall be governed by, and construed in accordance, with French law.</w:t>
      </w:r>
    </w:p>
    <w:p>
      <w:pPr>
        <w:spacing w:after="0" w:line="175" w:lineRule="exact"/>
        <w:rPr>
          <w:sz w:val="20"/>
          <w:szCs w:val="20"/>
          <w:color w:val="auto"/>
        </w:rPr>
      </w:pPr>
    </w:p>
    <w:p>
      <w:pPr>
        <w:ind w:left="780" w:hanging="764"/>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20"/>
          <w:szCs w:val="20"/>
          <w:color w:val="auto"/>
        </w:rPr>
        <w:t>Any dispute as to the validity, interpretation, performance or any other matter arising out of the Amendment shall be subject to the jurisdiction of the competent courts of Paris.</w:t>
      </w:r>
    </w:p>
    <w:p>
      <w:pPr>
        <w:spacing w:after="0" w:line="161"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15.3    </w:t>
      </w:r>
      <w:r>
        <w:rPr>
          <w:rFonts w:ascii="Times New Roman" w:cs="Times New Roman" w:eastAsia="Times New Roman" w:hAnsi="Times New Roman"/>
          <w:sz w:val="20"/>
          <w:szCs w:val="20"/>
          <w:color w:val="auto"/>
        </w:rPr>
        <w:t>The restrictions set forth in Section 181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any similar provisions contained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laws of any other country shall not apply to any Amendment Party to the fullest extent permitted under law in respect of</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its powers, authorisations, rights and obligations hereunder.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at the end of the Amendment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ectPr>
          <w:pgSz w:w="11900" w:h="16838" w:orient="portrait"/>
          <w:cols w:equalWidth="0" w:num="1">
            <w:col w:w="11240"/>
          </w:cols>
          <w:pgMar w:left="320" w:top="1368"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LIST OF SELLERS</w:t>
      </w: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344"/>
        </w:trPr>
        <w:tc>
          <w:tcPr>
            <w:tcW w:w="4120" w:type="dxa"/>
            <w:vAlign w:val="bottom"/>
            <w:tcBorders>
              <w:top w:val="single" w:sz="8" w:color="0000FF"/>
              <w:left w:val="single" w:sz="8" w:color="0000FF"/>
            </w:tcBorders>
            <w:shd w:val="clear" w:color="auto" w:fill="366091"/>
          </w:tcPr>
          <w:p>
            <w:pPr>
              <w:jc w:val="center"/>
              <w:ind w:left="281"/>
              <w:spacing w:after="0"/>
              <w:rPr>
                <w:sz w:val="20"/>
                <w:szCs w:val="20"/>
                <w:color w:val="auto"/>
              </w:rPr>
            </w:pPr>
            <w:r>
              <w:rPr>
                <w:rFonts w:ascii="Times New Roman" w:cs="Times New Roman" w:eastAsia="Times New Roman" w:hAnsi="Times New Roman"/>
                <w:sz w:val="20"/>
                <w:szCs w:val="20"/>
                <w:b w:val="1"/>
                <w:bCs w:val="1"/>
                <w:color w:val="FFFFFF"/>
                <w:w w:val="99"/>
              </w:rPr>
              <w:t>Name</w:t>
            </w:r>
          </w:p>
        </w:tc>
        <w:tc>
          <w:tcPr>
            <w:tcW w:w="380" w:type="dxa"/>
            <w:vAlign w:val="bottom"/>
            <w:tcBorders>
              <w:top w:val="single" w:sz="8" w:color="0000FF"/>
              <w:right w:val="single" w:sz="8" w:color="366091"/>
            </w:tcBorders>
            <w:shd w:val="clear" w:color="auto" w:fill="366091"/>
          </w:tcPr>
          <w:p>
            <w:pPr>
              <w:spacing w:after="0"/>
              <w:rPr>
                <w:sz w:val="24"/>
                <w:szCs w:val="24"/>
                <w:color w:val="auto"/>
              </w:rPr>
            </w:pPr>
          </w:p>
        </w:tc>
        <w:tc>
          <w:tcPr>
            <w:tcW w:w="2960" w:type="dxa"/>
            <w:vAlign w:val="bottom"/>
            <w:tcBorders>
              <w:top w:val="single" w:sz="8" w:color="0000FF"/>
              <w:right w:val="single" w:sz="8" w:color="0000FF"/>
            </w:tcBorders>
            <w:shd w:val="clear" w:color="auto" w:fill="366091"/>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Country</w:t>
            </w:r>
          </w:p>
        </w:tc>
        <w:tc>
          <w:tcPr>
            <w:tcW w:w="3760" w:type="dxa"/>
            <w:vAlign w:val="bottom"/>
            <w:tcBorders>
              <w:top w:val="single" w:sz="8" w:color="0000FF"/>
              <w:right w:val="single" w:sz="8" w:color="0000FF"/>
            </w:tcBorders>
            <w:shd w:val="clear" w:color="auto" w:fill="366091"/>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Register Numbe</w:t>
            </w:r>
            <w:r>
              <w:rPr>
                <w:rFonts w:ascii="Times New Roman" w:cs="Times New Roman" w:eastAsia="Times New Roman" w:hAnsi="Times New Roman"/>
                <w:sz w:val="20"/>
                <w:szCs w:val="20"/>
                <w:color w:val="FFFFFF"/>
                <w:w w:val="99"/>
              </w:rPr>
              <w:t>r</w:t>
            </w:r>
          </w:p>
        </w:tc>
        <w:tc>
          <w:tcPr>
            <w:tcW w:w="0" w:type="dxa"/>
            <w:vAlign w:val="bottom"/>
          </w:tcPr>
          <w:p>
            <w:pPr>
              <w:spacing w:after="0"/>
              <w:rPr>
                <w:sz w:val="1"/>
                <w:szCs w:val="1"/>
                <w:color w:val="auto"/>
              </w:rPr>
            </w:pPr>
          </w:p>
        </w:tc>
      </w:tr>
      <w:tr>
        <w:trPr>
          <w:trHeight w:val="95"/>
        </w:trPr>
        <w:tc>
          <w:tcPr>
            <w:tcW w:w="4120" w:type="dxa"/>
            <w:vAlign w:val="bottom"/>
            <w:tcBorders>
              <w:left w:val="single" w:sz="8" w:color="0000FF"/>
              <w:bottom w:val="single" w:sz="8" w:color="0000FF"/>
            </w:tcBorders>
            <w:shd w:val="clear" w:color="auto" w:fill="366091"/>
          </w:tcPr>
          <w:p>
            <w:pPr>
              <w:spacing w:after="0"/>
              <w:rPr>
                <w:sz w:val="8"/>
                <w:szCs w:val="8"/>
                <w:color w:val="auto"/>
              </w:rPr>
            </w:pPr>
          </w:p>
        </w:tc>
        <w:tc>
          <w:tcPr>
            <w:tcW w:w="380" w:type="dxa"/>
            <w:vAlign w:val="bottom"/>
            <w:tcBorders>
              <w:bottom w:val="single" w:sz="8" w:color="0000FF"/>
              <w:right w:val="single" w:sz="8" w:color="366091"/>
            </w:tcBorders>
            <w:shd w:val="clear" w:color="auto" w:fill="366091"/>
          </w:tcPr>
          <w:p>
            <w:pPr>
              <w:spacing w:after="0"/>
              <w:rPr>
                <w:sz w:val="8"/>
                <w:szCs w:val="8"/>
                <w:color w:val="auto"/>
              </w:rPr>
            </w:pPr>
          </w:p>
        </w:tc>
        <w:tc>
          <w:tcPr>
            <w:tcW w:w="2960" w:type="dxa"/>
            <w:vAlign w:val="bottom"/>
            <w:tcBorders>
              <w:bottom w:val="single" w:sz="8" w:color="0000FF"/>
              <w:right w:val="single" w:sz="8" w:color="0000FF"/>
            </w:tcBorders>
            <w:shd w:val="clear" w:color="auto" w:fill="366091"/>
          </w:tcPr>
          <w:p>
            <w:pPr>
              <w:spacing w:after="0"/>
              <w:rPr>
                <w:sz w:val="8"/>
                <w:szCs w:val="8"/>
                <w:color w:val="auto"/>
              </w:rPr>
            </w:pPr>
          </w:p>
        </w:tc>
        <w:tc>
          <w:tcPr>
            <w:tcW w:w="3760" w:type="dxa"/>
            <w:vAlign w:val="bottom"/>
            <w:tcBorders>
              <w:bottom w:val="single" w:sz="8" w:color="0000FF"/>
              <w:right w:val="single" w:sz="8" w:color="0000FF"/>
            </w:tcBorders>
            <w:shd w:val="clear" w:color="auto" w:fill="366091"/>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4120" w:type="dxa"/>
            <w:vAlign w:val="bottom"/>
            <w:tcBorders>
              <w:left w:val="single" w:sz="8" w:color="0000FF"/>
            </w:tcBorders>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GOODYEAR FRANCE S.A.S.</w:t>
            </w:r>
          </w:p>
        </w:tc>
        <w:tc>
          <w:tcPr>
            <w:tcW w:w="380" w:type="dxa"/>
            <w:vAlign w:val="bottom"/>
            <w:tcBorders>
              <w:right w:val="single" w:sz="8" w:color="0000FF"/>
            </w:tcBorders>
          </w:tcPr>
          <w:p>
            <w:pPr>
              <w:spacing w:after="0"/>
              <w:rPr>
                <w:sz w:val="24"/>
                <w:szCs w:val="24"/>
                <w:color w:val="auto"/>
              </w:rPr>
            </w:pPr>
          </w:p>
        </w:tc>
        <w:tc>
          <w:tcPr>
            <w:tcW w:w="29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FRANCE</w:t>
            </w:r>
          </w:p>
        </w:tc>
        <w:tc>
          <w:tcPr>
            <w:tcW w:w="37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330 139 403 (NANTERRE)</w:t>
            </w:r>
          </w:p>
        </w:tc>
        <w:tc>
          <w:tcPr>
            <w:tcW w:w="0" w:type="dxa"/>
            <w:vAlign w:val="bottom"/>
          </w:tcPr>
          <w:p>
            <w:pPr>
              <w:spacing w:after="0"/>
              <w:rPr>
                <w:sz w:val="1"/>
                <w:szCs w:val="1"/>
                <w:color w:val="auto"/>
              </w:rPr>
            </w:pPr>
          </w:p>
        </w:tc>
      </w:tr>
      <w:tr>
        <w:trPr>
          <w:trHeight w:val="143"/>
        </w:trPr>
        <w:tc>
          <w:tcPr>
            <w:tcW w:w="4120" w:type="dxa"/>
            <w:vAlign w:val="bottom"/>
            <w:tcBorders>
              <w:left w:val="single" w:sz="8" w:color="0000FF"/>
              <w:bottom w:val="single" w:sz="8" w:color="0000FF"/>
            </w:tcBorders>
          </w:tcPr>
          <w:p>
            <w:pPr>
              <w:spacing w:after="0"/>
              <w:rPr>
                <w:sz w:val="12"/>
                <w:szCs w:val="12"/>
                <w:color w:val="auto"/>
              </w:rPr>
            </w:pPr>
          </w:p>
        </w:tc>
        <w:tc>
          <w:tcPr>
            <w:tcW w:w="380" w:type="dxa"/>
            <w:vAlign w:val="bottom"/>
            <w:tcBorders>
              <w:bottom w:val="single" w:sz="8" w:color="0000FF"/>
              <w:right w:val="single" w:sz="8" w:color="0000FF"/>
            </w:tcBorders>
          </w:tcPr>
          <w:p>
            <w:pPr>
              <w:spacing w:after="0"/>
              <w:rPr>
                <w:sz w:val="12"/>
                <w:szCs w:val="12"/>
                <w:color w:val="auto"/>
              </w:rPr>
            </w:pPr>
          </w:p>
        </w:tc>
        <w:tc>
          <w:tcPr>
            <w:tcW w:w="2960" w:type="dxa"/>
            <w:vAlign w:val="bottom"/>
            <w:tcBorders>
              <w:bottom w:val="single" w:sz="8" w:color="0000FF"/>
              <w:right w:val="single" w:sz="8" w:color="0000FF"/>
            </w:tcBorders>
          </w:tcPr>
          <w:p>
            <w:pPr>
              <w:spacing w:after="0"/>
              <w:rPr>
                <w:sz w:val="12"/>
                <w:szCs w:val="12"/>
                <w:color w:val="auto"/>
              </w:rPr>
            </w:pPr>
          </w:p>
        </w:tc>
        <w:tc>
          <w:tcPr>
            <w:tcW w:w="3760" w:type="dxa"/>
            <w:vAlign w:val="bottom"/>
            <w:tcBorders>
              <w:bottom w:val="single" w:sz="8" w:color="0000FF"/>
              <w:right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4120" w:type="dxa"/>
            <w:vAlign w:val="bottom"/>
            <w:tcBorders>
              <w:left w:val="single" w:sz="8" w:color="0000FF"/>
            </w:tcBorders>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GOODYEAR GERMANY GmbH</w:t>
            </w:r>
          </w:p>
        </w:tc>
        <w:tc>
          <w:tcPr>
            <w:tcW w:w="380" w:type="dxa"/>
            <w:vAlign w:val="bottom"/>
            <w:tcBorders>
              <w:right w:val="single" w:sz="8" w:color="0000FF"/>
            </w:tcBorders>
          </w:tcPr>
          <w:p>
            <w:pPr>
              <w:spacing w:after="0"/>
              <w:rPr>
                <w:sz w:val="24"/>
                <w:szCs w:val="24"/>
                <w:color w:val="auto"/>
              </w:rPr>
            </w:pPr>
          </w:p>
        </w:tc>
        <w:tc>
          <w:tcPr>
            <w:tcW w:w="29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GERMANY</w:t>
            </w:r>
          </w:p>
        </w:tc>
        <w:tc>
          <w:tcPr>
            <w:tcW w:w="37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9"/>
              </w:rPr>
              <w:t>HRB 7163 (HANAU)</w:t>
            </w:r>
          </w:p>
        </w:tc>
        <w:tc>
          <w:tcPr>
            <w:tcW w:w="0" w:type="dxa"/>
            <w:vAlign w:val="bottom"/>
          </w:tcPr>
          <w:p>
            <w:pPr>
              <w:spacing w:after="0"/>
              <w:rPr>
                <w:sz w:val="1"/>
                <w:szCs w:val="1"/>
                <w:color w:val="auto"/>
              </w:rPr>
            </w:pPr>
          </w:p>
        </w:tc>
      </w:tr>
      <w:tr>
        <w:trPr>
          <w:trHeight w:val="88"/>
        </w:trPr>
        <w:tc>
          <w:tcPr>
            <w:tcW w:w="4120" w:type="dxa"/>
            <w:vAlign w:val="bottom"/>
            <w:tcBorders>
              <w:left w:val="single" w:sz="8" w:color="0000FF"/>
              <w:bottom w:val="single" w:sz="8" w:color="0000FF"/>
            </w:tcBorders>
          </w:tcPr>
          <w:p>
            <w:pPr>
              <w:spacing w:after="0"/>
              <w:rPr>
                <w:sz w:val="7"/>
                <w:szCs w:val="7"/>
                <w:color w:val="auto"/>
              </w:rPr>
            </w:pPr>
          </w:p>
        </w:tc>
        <w:tc>
          <w:tcPr>
            <w:tcW w:w="380" w:type="dxa"/>
            <w:vAlign w:val="bottom"/>
            <w:tcBorders>
              <w:bottom w:val="single" w:sz="8" w:color="0000FF"/>
              <w:right w:val="single" w:sz="8" w:color="0000FF"/>
            </w:tcBorders>
          </w:tcPr>
          <w:p>
            <w:pPr>
              <w:spacing w:after="0"/>
              <w:rPr>
                <w:sz w:val="7"/>
                <w:szCs w:val="7"/>
                <w:color w:val="auto"/>
              </w:rPr>
            </w:pPr>
          </w:p>
        </w:tc>
        <w:tc>
          <w:tcPr>
            <w:tcW w:w="2960" w:type="dxa"/>
            <w:vAlign w:val="bottom"/>
            <w:tcBorders>
              <w:bottom w:val="single" w:sz="8" w:color="0000FF"/>
              <w:right w:val="single" w:sz="8" w:color="0000FF"/>
            </w:tcBorders>
          </w:tcPr>
          <w:p>
            <w:pPr>
              <w:spacing w:after="0"/>
              <w:rPr>
                <w:sz w:val="7"/>
                <w:szCs w:val="7"/>
                <w:color w:val="auto"/>
              </w:rPr>
            </w:pPr>
          </w:p>
        </w:tc>
        <w:tc>
          <w:tcPr>
            <w:tcW w:w="3760" w:type="dxa"/>
            <w:vAlign w:val="bottom"/>
            <w:tcBorders>
              <w:bottom w:val="single" w:sz="8" w:color="0000FF"/>
              <w:right w:val="single" w:sz="8" w:color="0000FF"/>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120" w:type="dxa"/>
            <w:vAlign w:val="bottom"/>
            <w:tcBorders>
              <w:left w:val="single" w:sz="8" w:color="0000FF"/>
            </w:tcBorders>
          </w:tcPr>
          <w:p>
            <w:pPr>
              <w:spacing w:after="0"/>
              <w:rPr>
                <w:sz w:val="16"/>
                <w:szCs w:val="16"/>
                <w:color w:val="auto"/>
              </w:rPr>
            </w:pPr>
          </w:p>
        </w:tc>
        <w:tc>
          <w:tcPr>
            <w:tcW w:w="380" w:type="dxa"/>
            <w:vAlign w:val="bottom"/>
            <w:tcBorders>
              <w:right w:val="single" w:sz="8" w:color="0000FF"/>
            </w:tcBorders>
          </w:tcPr>
          <w:p>
            <w:pPr>
              <w:spacing w:after="0"/>
              <w:rPr>
                <w:sz w:val="16"/>
                <w:szCs w:val="16"/>
                <w:color w:val="auto"/>
              </w:rPr>
            </w:pPr>
          </w:p>
        </w:tc>
        <w:tc>
          <w:tcPr>
            <w:tcW w:w="2960" w:type="dxa"/>
            <w:vAlign w:val="bottom"/>
            <w:tcBorders>
              <w:right w:val="single" w:sz="8" w:color="0000FF"/>
            </w:tcBorders>
          </w:tcPr>
          <w:p>
            <w:pPr>
              <w:spacing w:after="0"/>
              <w:rPr>
                <w:sz w:val="16"/>
                <w:szCs w:val="16"/>
                <w:color w:val="auto"/>
              </w:rPr>
            </w:pPr>
          </w:p>
        </w:tc>
        <w:tc>
          <w:tcPr>
            <w:tcW w:w="3760" w:type="dxa"/>
            <w:vAlign w:val="bottom"/>
            <w:tcBorders>
              <w:right w:val="single" w:sz="8" w:color="0000FF"/>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REGISTERED WITH THE COMMERCIAL</w:t>
            </w:r>
          </w:p>
        </w:tc>
        <w:tc>
          <w:tcPr>
            <w:tcW w:w="0" w:type="dxa"/>
            <w:vAlign w:val="bottom"/>
          </w:tcPr>
          <w:p>
            <w:pPr>
              <w:spacing w:after="0"/>
              <w:rPr>
                <w:sz w:val="1"/>
                <w:szCs w:val="1"/>
                <w:color w:val="auto"/>
              </w:rPr>
            </w:pPr>
          </w:p>
        </w:tc>
      </w:tr>
      <w:tr>
        <w:trPr>
          <w:trHeight w:val="203"/>
        </w:trPr>
        <w:tc>
          <w:tcPr>
            <w:tcW w:w="4120" w:type="dxa"/>
            <w:vAlign w:val="bottom"/>
            <w:tcBorders>
              <w:left w:val="single" w:sz="8" w:color="0000FF"/>
            </w:tcBorders>
            <w:vMerge w:val="restart"/>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GOODYEAR TIRES ESPAÑA, S.A.</w:t>
            </w:r>
          </w:p>
        </w:tc>
        <w:tc>
          <w:tcPr>
            <w:tcW w:w="380" w:type="dxa"/>
            <w:vAlign w:val="bottom"/>
            <w:tcBorders>
              <w:right w:val="single" w:sz="8" w:color="0000FF"/>
            </w:tcBorders>
          </w:tcPr>
          <w:p>
            <w:pPr>
              <w:spacing w:after="0"/>
              <w:rPr>
                <w:sz w:val="17"/>
                <w:szCs w:val="17"/>
                <w:color w:val="auto"/>
              </w:rPr>
            </w:pPr>
          </w:p>
        </w:tc>
        <w:tc>
          <w:tcPr>
            <w:tcW w:w="2960" w:type="dxa"/>
            <w:vAlign w:val="bottom"/>
            <w:tcBorders>
              <w:right w:val="single" w:sz="8" w:color="0000FF"/>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SPAIN</w:t>
            </w:r>
          </w:p>
        </w:tc>
        <w:tc>
          <w:tcPr>
            <w:tcW w:w="3760" w:type="dxa"/>
            <w:vAlign w:val="bottom"/>
            <w:tcBorders>
              <w:right w:val="single" w:sz="8" w:color="0000FF"/>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REGISTRY OF MADRID UNDER SHEET</w:t>
            </w:r>
          </w:p>
        </w:tc>
        <w:tc>
          <w:tcPr>
            <w:tcW w:w="0" w:type="dxa"/>
            <w:vAlign w:val="bottom"/>
          </w:tcPr>
          <w:p>
            <w:pPr>
              <w:spacing w:after="0"/>
              <w:rPr>
                <w:sz w:val="1"/>
                <w:szCs w:val="1"/>
                <w:color w:val="auto"/>
              </w:rPr>
            </w:pPr>
          </w:p>
        </w:tc>
      </w:tr>
      <w:tr>
        <w:trPr>
          <w:trHeight w:val="198"/>
        </w:trPr>
        <w:tc>
          <w:tcPr>
            <w:tcW w:w="4120" w:type="dxa"/>
            <w:vAlign w:val="bottom"/>
            <w:tcBorders>
              <w:left w:val="single" w:sz="8" w:color="0000FF"/>
            </w:tcBorders>
            <w:vMerge w:val="continue"/>
          </w:tcPr>
          <w:p>
            <w:pPr>
              <w:spacing w:after="0"/>
              <w:rPr>
                <w:sz w:val="17"/>
                <w:szCs w:val="17"/>
                <w:color w:val="auto"/>
              </w:rPr>
            </w:pPr>
          </w:p>
        </w:tc>
        <w:tc>
          <w:tcPr>
            <w:tcW w:w="380" w:type="dxa"/>
            <w:vAlign w:val="bottom"/>
            <w:tcBorders>
              <w:right w:val="single" w:sz="8" w:color="0000FF"/>
            </w:tcBorders>
          </w:tcPr>
          <w:p>
            <w:pPr>
              <w:spacing w:after="0"/>
              <w:rPr>
                <w:sz w:val="17"/>
                <w:szCs w:val="17"/>
                <w:color w:val="auto"/>
              </w:rPr>
            </w:pPr>
          </w:p>
        </w:tc>
        <w:tc>
          <w:tcPr>
            <w:tcW w:w="2960" w:type="dxa"/>
            <w:vAlign w:val="bottom"/>
            <w:tcBorders>
              <w:right w:val="single" w:sz="8" w:color="0000FF"/>
            </w:tcBorders>
            <w:vMerge w:val="continue"/>
          </w:tcPr>
          <w:p>
            <w:pPr>
              <w:spacing w:after="0"/>
              <w:rPr>
                <w:sz w:val="17"/>
                <w:szCs w:val="17"/>
                <w:color w:val="auto"/>
              </w:rPr>
            </w:pPr>
          </w:p>
        </w:tc>
        <w:tc>
          <w:tcPr>
            <w:tcW w:w="3760" w:type="dxa"/>
            <w:vAlign w:val="bottom"/>
            <w:tcBorders>
              <w:right w:val="single" w:sz="8" w:color="0000FF"/>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M-110718, VOLUME 6799, PAGE 194 AND</w:t>
            </w:r>
          </w:p>
        </w:tc>
        <w:tc>
          <w:tcPr>
            <w:tcW w:w="0" w:type="dxa"/>
            <w:vAlign w:val="bottom"/>
          </w:tcPr>
          <w:p>
            <w:pPr>
              <w:spacing w:after="0"/>
              <w:rPr>
                <w:sz w:val="1"/>
                <w:szCs w:val="1"/>
                <w:color w:val="auto"/>
              </w:rPr>
            </w:pPr>
          </w:p>
        </w:tc>
      </w:tr>
      <w:tr>
        <w:trPr>
          <w:trHeight w:val="193"/>
        </w:trPr>
        <w:tc>
          <w:tcPr>
            <w:tcW w:w="4120" w:type="dxa"/>
            <w:vAlign w:val="bottom"/>
            <w:tcBorders>
              <w:left w:val="single" w:sz="8" w:color="0000FF"/>
            </w:tcBorders>
          </w:tcPr>
          <w:p>
            <w:pPr>
              <w:spacing w:after="0"/>
              <w:rPr>
                <w:sz w:val="16"/>
                <w:szCs w:val="16"/>
                <w:color w:val="auto"/>
              </w:rPr>
            </w:pPr>
          </w:p>
        </w:tc>
        <w:tc>
          <w:tcPr>
            <w:tcW w:w="380" w:type="dxa"/>
            <w:vAlign w:val="bottom"/>
            <w:tcBorders>
              <w:right w:val="single" w:sz="8" w:color="0000FF"/>
            </w:tcBorders>
          </w:tcPr>
          <w:p>
            <w:pPr>
              <w:spacing w:after="0"/>
              <w:rPr>
                <w:sz w:val="16"/>
                <w:szCs w:val="16"/>
                <w:color w:val="auto"/>
              </w:rPr>
            </w:pPr>
          </w:p>
        </w:tc>
        <w:tc>
          <w:tcPr>
            <w:tcW w:w="2960" w:type="dxa"/>
            <w:vAlign w:val="bottom"/>
            <w:tcBorders>
              <w:right w:val="single" w:sz="8" w:color="0000FF"/>
            </w:tcBorders>
          </w:tcPr>
          <w:p>
            <w:pPr>
              <w:spacing w:after="0"/>
              <w:rPr>
                <w:sz w:val="16"/>
                <w:szCs w:val="16"/>
                <w:color w:val="auto"/>
              </w:rPr>
            </w:pPr>
          </w:p>
        </w:tc>
        <w:tc>
          <w:tcPr>
            <w:tcW w:w="3760" w:type="dxa"/>
            <w:vAlign w:val="bottom"/>
            <w:tcBorders>
              <w:right w:val="single" w:sz="8" w:color="0000FF"/>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7"/>
              </w:rPr>
              <w:t>SPANISH TAX IDENTIFICATION</w:t>
            </w:r>
          </w:p>
        </w:tc>
        <w:tc>
          <w:tcPr>
            <w:tcW w:w="0" w:type="dxa"/>
            <w:vAlign w:val="bottom"/>
          </w:tcPr>
          <w:p>
            <w:pPr>
              <w:spacing w:after="0"/>
              <w:rPr>
                <w:sz w:val="1"/>
                <w:szCs w:val="1"/>
                <w:color w:val="auto"/>
              </w:rPr>
            </w:pPr>
          </w:p>
        </w:tc>
      </w:tr>
      <w:tr>
        <w:trPr>
          <w:trHeight w:val="252"/>
        </w:trPr>
        <w:tc>
          <w:tcPr>
            <w:tcW w:w="4120" w:type="dxa"/>
            <w:vAlign w:val="bottom"/>
            <w:tcBorders>
              <w:left w:val="single" w:sz="8" w:color="0000FF"/>
              <w:bottom w:val="single" w:sz="8" w:color="0000FF"/>
            </w:tcBorders>
          </w:tcPr>
          <w:p>
            <w:pPr>
              <w:spacing w:after="0"/>
              <w:rPr>
                <w:sz w:val="21"/>
                <w:szCs w:val="21"/>
                <w:color w:val="auto"/>
              </w:rPr>
            </w:pPr>
          </w:p>
        </w:tc>
        <w:tc>
          <w:tcPr>
            <w:tcW w:w="380" w:type="dxa"/>
            <w:vAlign w:val="bottom"/>
            <w:tcBorders>
              <w:bottom w:val="single" w:sz="8" w:color="0000FF"/>
              <w:right w:val="single" w:sz="8" w:color="0000FF"/>
            </w:tcBorders>
          </w:tcPr>
          <w:p>
            <w:pPr>
              <w:spacing w:after="0"/>
              <w:rPr>
                <w:sz w:val="21"/>
                <w:szCs w:val="21"/>
                <w:color w:val="auto"/>
              </w:rPr>
            </w:pPr>
          </w:p>
        </w:tc>
        <w:tc>
          <w:tcPr>
            <w:tcW w:w="2960" w:type="dxa"/>
            <w:vAlign w:val="bottom"/>
            <w:tcBorders>
              <w:bottom w:val="single" w:sz="8" w:color="0000FF"/>
              <w:right w:val="single" w:sz="8" w:color="0000FF"/>
            </w:tcBorders>
          </w:tcPr>
          <w:p>
            <w:pPr>
              <w:spacing w:after="0"/>
              <w:rPr>
                <w:sz w:val="21"/>
                <w:szCs w:val="21"/>
                <w:color w:val="auto"/>
              </w:rPr>
            </w:pPr>
          </w:p>
        </w:tc>
        <w:tc>
          <w:tcPr>
            <w:tcW w:w="3760" w:type="dxa"/>
            <w:vAlign w:val="bottom"/>
            <w:tcBorders>
              <w:bottom w:val="single" w:sz="8" w:color="0000FF"/>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NUMBER (N.I.F.) A80641897</w:t>
            </w:r>
          </w:p>
        </w:tc>
        <w:tc>
          <w:tcPr>
            <w:tcW w:w="0" w:type="dxa"/>
            <w:vAlign w:val="bottom"/>
          </w:tcPr>
          <w:p>
            <w:pPr>
              <w:spacing w:after="0"/>
              <w:rPr>
                <w:sz w:val="1"/>
                <w:szCs w:val="1"/>
                <w:color w:val="auto"/>
              </w:rPr>
            </w:pPr>
          </w:p>
        </w:tc>
      </w:tr>
      <w:tr>
        <w:trPr>
          <w:trHeight w:val="250"/>
        </w:trPr>
        <w:tc>
          <w:tcPr>
            <w:tcW w:w="4120" w:type="dxa"/>
            <w:vAlign w:val="bottom"/>
            <w:tcBorders>
              <w:left w:val="single" w:sz="8" w:color="0000FF"/>
            </w:tcBorders>
          </w:tcPr>
          <w:p>
            <w:pPr>
              <w:jc w:val="center"/>
              <w:ind w:left="281"/>
              <w:spacing w:after="0"/>
              <w:rPr>
                <w:sz w:val="20"/>
                <w:szCs w:val="20"/>
                <w:color w:val="auto"/>
              </w:rPr>
            </w:pPr>
            <w:r>
              <w:rPr>
                <w:rFonts w:ascii="Times New Roman" w:cs="Times New Roman" w:eastAsia="Times New Roman" w:hAnsi="Times New Roman"/>
                <w:sz w:val="20"/>
                <w:szCs w:val="20"/>
                <w:b w:val="1"/>
                <w:bCs w:val="1"/>
                <w:color w:val="auto"/>
                <w:w w:val="97"/>
              </w:rPr>
              <w:t>GOODYEAR TYRES UK LTD.</w:t>
            </w:r>
          </w:p>
        </w:tc>
        <w:tc>
          <w:tcPr>
            <w:tcW w:w="380" w:type="dxa"/>
            <w:vAlign w:val="bottom"/>
            <w:tcBorders>
              <w:right w:val="single" w:sz="8" w:color="0000FF"/>
            </w:tcBorders>
          </w:tcPr>
          <w:p>
            <w:pPr>
              <w:spacing w:after="0"/>
              <w:rPr>
                <w:sz w:val="21"/>
                <w:szCs w:val="21"/>
                <w:color w:val="auto"/>
              </w:rPr>
            </w:pPr>
          </w:p>
        </w:tc>
        <w:tc>
          <w:tcPr>
            <w:tcW w:w="29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UNITED KINGDOM</w:t>
            </w:r>
          </w:p>
        </w:tc>
        <w:tc>
          <w:tcPr>
            <w:tcW w:w="3760" w:type="dxa"/>
            <w:vAlign w:val="bottom"/>
            <w:tcBorders>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9"/>
              </w:rPr>
              <w:t>223064 (BIRMINGHAM)</w:t>
            </w:r>
          </w:p>
        </w:tc>
        <w:tc>
          <w:tcPr>
            <w:tcW w:w="0" w:type="dxa"/>
            <w:vAlign w:val="bottom"/>
          </w:tcPr>
          <w:p>
            <w:pPr>
              <w:spacing w:after="0"/>
              <w:rPr>
                <w:sz w:val="1"/>
                <w:szCs w:val="1"/>
                <w:color w:val="auto"/>
              </w:rPr>
            </w:pPr>
          </w:p>
        </w:tc>
      </w:tr>
      <w:tr>
        <w:trPr>
          <w:trHeight w:val="284"/>
        </w:trPr>
        <w:tc>
          <w:tcPr>
            <w:tcW w:w="4120" w:type="dxa"/>
            <w:vAlign w:val="bottom"/>
            <w:tcBorders>
              <w:left w:val="single" w:sz="8" w:color="0000FF"/>
            </w:tcBorders>
            <w:shd w:val="clear" w:color="auto" w:fill="366091"/>
          </w:tcPr>
          <w:p>
            <w:pPr>
              <w:spacing w:after="0"/>
              <w:rPr>
                <w:sz w:val="24"/>
                <w:szCs w:val="24"/>
                <w:color w:val="auto"/>
              </w:rPr>
            </w:pPr>
          </w:p>
        </w:tc>
        <w:tc>
          <w:tcPr>
            <w:tcW w:w="3340" w:type="dxa"/>
            <w:vAlign w:val="bottom"/>
            <w:tcBorders>
              <w:right w:val="single" w:sz="8" w:color="366091"/>
            </w:tcBorders>
            <w:gridSpan w:val="2"/>
            <w:shd w:val="clear" w:color="auto" w:fill="366091"/>
          </w:tcPr>
          <w:p>
            <w:pPr>
              <w:ind w:left="300"/>
              <w:spacing w:after="0"/>
              <w:rPr>
                <w:sz w:val="20"/>
                <w:szCs w:val="20"/>
                <w:color w:val="auto"/>
              </w:rPr>
            </w:pPr>
            <w:r>
              <w:rPr>
                <w:rFonts w:ascii="Times New Roman" w:cs="Times New Roman" w:eastAsia="Times New Roman" w:hAnsi="Times New Roman"/>
                <w:sz w:val="20"/>
                <w:szCs w:val="20"/>
                <w:b w:val="1"/>
                <w:bCs w:val="1"/>
                <w:color w:val="FFFFFF"/>
              </w:rPr>
              <w:t>THE ENTERING SELLER</w:t>
            </w:r>
          </w:p>
        </w:tc>
        <w:tc>
          <w:tcPr>
            <w:tcW w:w="3760" w:type="dxa"/>
            <w:vAlign w:val="bottom"/>
            <w:tcBorders>
              <w:right w:val="single" w:sz="8" w:color="0000FF"/>
            </w:tcBorders>
            <w:shd w:val="clear" w:color="auto" w:fill="366091"/>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left w:val="single" w:sz="8" w:color="0000FF"/>
              <w:bottom w:val="single" w:sz="8" w:color="0000FF"/>
            </w:tcBorders>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GOODYEAR OPERATIONS S.A.</w:t>
            </w:r>
          </w:p>
        </w:tc>
        <w:tc>
          <w:tcPr>
            <w:tcW w:w="380" w:type="dxa"/>
            <w:vAlign w:val="bottom"/>
            <w:tcBorders>
              <w:bottom w:val="single" w:sz="8" w:color="0000FF"/>
              <w:right w:val="single" w:sz="8" w:color="0000FF"/>
            </w:tcBorders>
          </w:tcPr>
          <w:p>
            <w:pPr>
              <w:spacing w:after="0"/>
              <w:rPr>
                <w:sz w:val="22"/>
                <w:szCs w:val="22"/>
                <w:color w:val="auto"/>
              </w:rPr>
            </w:pPr>
          </w:p>
        </w:tc>
        <w:tc>
          <w:tcPr>
            <w:tcW w:w="2960" w:type="dxa"/>
            <w:vAlign w:val="bottom"/>
            <w:tcBorders>
              <w:bottom w:val="single" w:sz="8" w:color="0000FF"/>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9"/>
              </w:rPr>
              <w:t>LUXEMBOURG</w:t>
            </w:r>
          </w:p>
        </w:tc>
        <w:tc>
          <w:tcPr>
            <w:tcW w:w="3760" w:type="dxa"/>
            <w:vAlign w:val="bottom"/>
            <w:tcBorders>
              <w:bottom w:val="single" w:sz="8" w:color="0000FF"/>
              <w:right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auto"/>
                <w:w w:val="98"/>
              </w:rPr>
              <w:t>B71219 (LUXEMBOURG)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10</w:t>
      </w:r>
    </w:p>
    <w:p>
      <w:pPr>
        <w:sectPr>
          <w:pgSz w:w="11900" w:h="16838" w:orient="portrait"/>
          <w:cols w:equalWidth="0" w:num="1">
            <w:col w:w="11220"/>
          </w:cols>
          <w:pgMar w:left="320" w:top="1367" w:right="359" w:bottom="1440" w:gutter="0" w:footer="0" w:header="0"/>
        </w:sectPr>
      </w:pPr>
    </w:p>
    <w:bookmarkStart w:id="143" w:name="page144"/>
    <w:bookmarkEnd w:id="14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SCHEDULE 2 CONDITIONS PRECEDENT</w:t>
      </w:r>
    </w:p>
    <w:p>
      <w:pPr>
        <w:spacing w:after="0" w:line="200" w:lineRule="exact"/>
        <w:rPr>
          <w:sz w:val="20"/>
          <w:szCs w:val="20"/>
          <w:color w:val="auto"/>
        </w:rPr>
      </w:pPr>
    </w:p>
    <w:p>
      <w:pPr>
        <w:spacing w:after="0" w:line="326" w:lineRule="exact"/>
        <w:rPr>
          <w:sz w:val="20"/>
          <w:szCs w:val="20"/>
          <w:color w:val="auto"/>
        </w:rPr>
      </w:pPr>
    </w:p>
    <w:p>
      <w:pPr>
        <w:ind w:left="340" w:hanging="333"/>
        <w:spacing w:after="0"/>
        <w:tabs>
          <w:tab w:leader="none" w:pos="3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French Seller:</w:t>
      </w:r>
    </w:p>
    <w:p>
      <w:pPr>
        <w:spacing w:after="0" w:line="25"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13"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copy of an </w:t>
      </w:r>
      <w:r>
        <w:rPr>
          <w:rFonts w:ascii="Times New Roman" w:cs="Times New Roman" w:eastAsia="Times New Roman" w:hAnsi="Times New Roman"/>
          <w:sz w:val="20"/>
          <w:szCs w:val="20"/>
          <w:i w:val="1"/>
          <w:iCs w:val="1"/>
          <w:color w:val="auto"/>
        </w:rPr>
        <w:t>extrait Kbis</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copy of a </w:t>
      </w:r>
      <w:r>
        <w:rPr>
          <w:rFonts w:ascii="Times New Roman" w:cs="Times New Roman" w:eastAsia="Times New Roman" w:hAnsi="Times New Roman"/>
          <w:sz w:val="20"/>
          <w:szCs w:val="20"/>
          <w:i w:val="1"/>
          <w:iCs w:val="1"/>
          <w:color w:val="auto"/>
        </w:rPr>
        <w:t>certificat de non faillite</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360" w:hanging="518"/>
        <w:spacing w:after="0" w:line="246" w:lineRule="auto"/>
        <w:tabs>
          <w:tab w:leader="none" w:pos="1351"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powers of attorney and/or any other equivalent document authorising the representatives of the French Seller to execute the relevant Transaction Documents; and</w:t>
      </w:r>
    </w:p>
    <w:p>
      <w:pPr>
        <w:spacing w:after="0" w:line="1" w:lineRule="exact"/>
        <w:rPr>
          <w:rFonts w:ascii="Times New Roman" w:cs="Times New Roman" w:eastAsia="Times New Roman" w:hAnsi="Times New Roman"/>
          <w:sz w:val="20"/>
          <w:szCs w:val="20"/>
          <w:color w:val="auto"/>
        </w:rPr>
      </w:pPr>
    </w:p>
    <w:p>
      <w:pPr>
        <w:ind w:left="1360" w:hanging="518"/>
        <w:spacing w:after="0" w:line="246" w:lineRule="auto"/>
        <w:tabs>
          <w:tab w:leader="none" w:pos="135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decision of the sole shareholder authorising the French Seller to enter into the relevant Transaction Documents;</w:t>
      </w:r>
    </w:p>
    <w:p>
      <w:pPr>
        <w:spacing w:after="0" w:line="1"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13"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23"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German Seller:</w:t>
      </w:r>
    </w:p>
    <w:p>
      <w:pPr>
        <w:spacing w:after="0" w:line="32"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an extract from the Commercial registry;</w:t>
      </w:r>
    </w:p>
    <w:p>
      <w:pPr>
        <w:spacing w:after="0" w:line="13" w:lineRule="exact"/>
        <w:rPr>
          <w:rFonts w:ascii="Times New Roman" w:cs="Times New Roman" w:eastAsia="Times New Roman" w:hAnsi="Times New Roman"/>
          <w:sz w:val="20"/>
          <w:szCs w:val="20"/>
          <w:color w:val="auto"/>
        </w:rPr>
      </w:pPr>
    </w:p>
    <w:p>
      <w:pPr>
        <w:ind w:left="1360" w:hanging="518"/>
        <w:spacing w:after="0" w:line="246" w:lineRule="auto"/>
        <w:tabs>
          <w:tab w:leader="none" w:pos="1349"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powers of attorney and/or any other equivalent document authorising the representatives of the German Seller to execute the relevant Transaction Documents; and</w:t>
      </w:r>
    </w:p>
    <w:p>
      <w:pPr>
        <w:spacing w:after="0" w:line="1" w:lineRule="exact"/>
        <w:rPr>
          <w:rFonts w:ascii="Times New Roman" w:cs="Times New Roman" w:eastAsia="Times New Roman" w:hAnsi="Times New Roman"/>
          <w:sz w:val="20"/>
          <w:szCs w:val="20"/>
          <w:color w:val="auto"/>
        </w:rPr>
      </w:pPr>
    </w:p>
    <w:p>
      <w:pPr>
        <w:ind w:left="1360" w:right="20" w:hanging="518"/>
        <w:spacing w:after="0" w:line="246" w:lineRule="auto"/>
        <w:tabs>
          <w:tab w:leader="none" w:pos="1351"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written shareholders' resolutions authorising the German Seller to enter into the relevant Transaction Documents;</w:t>
      </w:r>
    </w:p>
    <w:p>
      <w:pPr>
        <w:spacing w:after="0" w:line="1"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13"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23"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Spanish Seller:</w:t>
      </w:r>
    </w:p>
    <w:p>
      <w:pPr>
        <w:spacing w:after="0" w:line="32"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online extract from the Commercial Register;</w:t>
      </w:r>
    </w:p>
    <w:p>
      <w:pPr>
        <w:spacing w:after="0" w:line="6" w:lineRule="exact"/>
        <w:rPr>
          <w:rFonts w:ascii="Times New Roman" w:cs="Times New Roman" w:eastAsia="Times New Roman" w:hAnsi="Times New Roman"/>
          <w:sz w:val="20"/>
          <w:szCs w:val="20"/>
          <w:color w:val="auto"/>
        </w:rPr>
      </w:pPr>
    </w:p>
    <w:p>
      <w:pPr>
        <w:ind w:left="1360" w:right="20" w:hanging="518"/>
        <w:spacing w:after="0" w:line="250" w:lineRule="auto"/>
        <w:tabs>
          <w:tab w:leader="none" w:pos="1348"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notarised powers of attorney and/or any other equivalent document authorising the representatives of the Spanish Seller to execute the relevant Transaction Documents; and</w:t>
      </w:r>
    </w:p>
    <w:p>
      <w:pPr>
        <w:ind w:left="1360" w:hanging="518"/>
        <w:spacing w:after="0" w:line="246" w:lineRule="auto"/>
        <w:tabs>
          <w:tab w:leader="none" w:pos="1349"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notarised copy the board of directors' resolutions authorising the Spanish Seller to enter into the relevant Transaction Documents;</w:t>
      </w:r>
    </w:p>
    <w:p>
      <w:pPr>
        <w:spacing w:after="0" w:line="1"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36"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UK Seller:</w:t>
      </w:r>
    </w:p>
    <w:p>
      <w:pPr>
        <w:spacing w:after="0" w:line="25"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memorandum of association;</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incorporation; and</w:t>
      </w:r>
    </w:p>
    <w:p>
      <w:pPr>
        <w:spacing w:after="0" w:line="13" w:lineRule="exact"/>
        <w:rPr>
          <w:rFonts w:ascii="Times New Roman" w:cs="Times New Roman" w:eastAsia="Times New Roman" w:hAnsi="Times New Roman"/>
          <w:sz w:val="20"/>
          <w:szCs w:val="20"/>
          <w:color w:val="auto"/>
        </w:rPr>
      </w:pPr>
    </w:p>
    <w:p>
      <w:pPr>
        <w:ind w:left="1360" w:hanging="518"/>
        <w:spacing w:after="0" w:line="246" w:lineRule="auto"/>
        <w:tabs>
          <w:tab w:leader="none" w:pos="1351"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powers of attorney and/or any other equivalent document authorising the representatives of the UK Seller to execute the relevant Transaction Documents; and</w:t>
      </w:r>
    </w:p>
    <w:p>
      <w:pPr>
        <w:spacing w:after="0" w:line="1"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sole director's resolutions authorising the UK Seller to enter into the relevant Transaction Documents;</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ectPr>
          <w:pgSz w:w="11900" w:h="16838" w:orient="portrait"/>
          <w:cols w:equalWidth="0" w:num="1">
            <w:col w:w="11180"/>
          </w:cols>
          <w:pgMar w:left="380" w:top="1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w:t>
      </w:r>
    </w:p>
    <w:p>
      <w:pPr>
        <w:sectPr>
          <w:pgSz w:w="11900" w:h="16838" w:orient="portrait"/>
          <w:cols w:equalWidth="0" w:num="1">
            <w:col w:w="11180"/>
          </w:cols>
          <w:pgMar w:left="380" w:top="1368" w:right="339" w:bottom="1440" w:gutter="0" w:footer="0" w:header="0"/>
          <w:type w:val="continuous"/>
        </w:sectPr>
      </w:pPr>
    </w:p>
    <w:bookmarkStart w:id="144" w:name="page145"/>
    <w:bookmarkEnd w:id="144"/>
    <w:p>
      <w:pPr>
        <w:ind w:left="340" w:hanging="333"/>
        <w:spacing w:after="0"/>
        <w:tabs>
          <w:tab w:leader="none" w:pos="34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Luxembourg Seller:</w:t>
      </w:r>
    </w:p>
    <w:p>
      <w:pPr>
        <w:spacing w:after="0" w:line="32"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an excerpt from the Luxembourg Trade and Companies Register;</w:t>
      </w:r>
    </w:p>
    <w:p>
      <w:pPr>
        <w:spacing w:after="0" w:line="6" w:lineRule="exact"/>
        <w:rPr>
          <w:rFonts w:ascii="Times New Roman" w:cs="Times New Roman" w:eastAsia="Times New Roman" w:hAnsi="Times New Roman"/>
          <w:sz w:val="20"/>
          <w:szCs w:val="20"/>
          <w:color w:val="auto"/>
        </w:rPr>
      </w:pPr>
    </w:p>
    <w:p>
      <w:pPr>
        <w:jc w:val="both"/>
        <w:ind w:left="1360" w:hanging="518"/>
        <w:spacing w:after="0" w:line="248" w:lineRule="auto"/>
        <w:tabs>
          <w:tab w:leader="none" w:pos="1349"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certificate of non-registration of judgments (</w:t>
      </w:r>
      <w:r>
        <w:rPr>
          <w:rFonts w:ascii="Times New Roman" w:cs="Times New Roman" w:eastAsia="Times New Roman" w:hAnsi="Times New Roman"/>
          <w:sz w:val="20"/>
          <w:szCs w:val="20"/>
          <w:i w:val="1"/>
          <w:iCs w:val="1"/>
          <w:color w:val="auto"/>
        </w:rPr>
        <w:t>certificat de non-inscription d'une décision judiciaire ou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dissolution administrative sans liquidation</w:t>
      </w:r>
      <w:r>
        <w:rPr>
          <w:rFonts w:ascii="Times New Roman" w:cs="Times New Roman" w:eastAsia="Times New Roman" w:hAnsi="Times New Roman"/>
          <w:sz w:val="20"/>
          <w:szCs w:val="20"/>
          <w:color w:val="auto"/>
        </w:rPr>
        <w:t>) from the Insolvency Register (</w:t>
      </w:r>
      <w:r>
        <w:rPr>
          <w:rFonts w:ascii="Times New Roman" w:cs="Times New Roman" w:eastAsia="Times New Roman" w:hAnsi="Times New Roman"/>
          <w:sz w:val="20"/>
          <w:szCs w:val="20"/>
          <w:i w:val="1"/>
          <w:iCs w:val="1"/>
          <w:color w:val="auto"/>
        </w:rPr>
        <w:t>Registre de l'insolvabilité (REGINSOL</w:t>
      </w:r>
      <w:r>
        <w:rPr>
          <w:rFonts w:ascii="Times New Roman" w:cs="Times New Roman" w:eastAsia="Times New Roman" w:hAnsi="Times New Roman"/>
          <w:sz w:val="20"/>
          <w:szCs w:val="20"/>
          <w:color w:val="auto"/>
        </w:rPr>
        <w:t>)) held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maintained by the Luxembourg Trade and Companies Register;</w:t>
      </w:r>
    </w:p>
    <w:p>
      <w:pPr>
        <w:spacing w:after="0" w:line="2" w:lineRule="exact"/>
        <w:rPr>
          <w:rFonts w:ascii="Times New Roman" w:cs="Times New Roman" w:eastAsia="Times New Roman" w:hAnsi="Times New Roman"/>
          <w:sz w:val="20"/>
          <w:szCs w:val="20"/>
          <w:color w:val="auto"/>
        </w:rPr>
      </w:pPr>
    </w:p>
    <w:p>
      <w:pPr>
        <w:ind w:left="1360" w:hanging="518"/>
        <w:spacing w:after="0" w:line="246" w:lineRule="auto"/>
        <w:tabs>
          <w:tab w:leader="none" w:pos="1351"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notarised powers of attorney and/or any other equivalent document authorising the representatives of the Luxembourg Seller to execute the relevant Transaction Documents; and</w:t>
      </w:r>
    </w:p>
    <w:p>
      <w:pPr>
        <w:spacing w:after="0" w:line="1" w:lineRule="exact"/>
        <w:rPr>
          <w:rFonts w:ascii="Times New Roman" w:cs="Times New Roman" w:eastAsia="Times New Roman" w:hAnsi="Times New Roman"/>
          <w:sz w:val="20"/>
          <w:szCs w:val="20"/>
          <w:color w:val="auto"/>
        </w:rPr>
      </w:pPr>
    </w:p>
    <w:p>
      <w:pPr>
        <w:ind w:left="1360" w:right="20" w:hanging="518"/>
        <w:spacing w:after="0" w:line="250" w:lineRule="auto"/>
        <w:tabs>
          <w:tab w:leader="none" w:pos="1350"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board of directors' resolutions authorising the Luxembourg Seller to enter into the relevant Transaction Documents,</w:t>
      </w:r>
    </w:p>
    <w:p>
      <w:pPr>
        <w:ind w:left="840" w:hanging="460"/>
        <w:spacing w:after="0"/>
        <w:tabs>
          <w:tab w:leader="none" w:pos="84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30"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respect to the Centralising Unit:</w:t>
      </w:r>
    </w:p>
    <w:p>
      <w:pPr>
        <w:spacing w:after="0" w:line="25"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13"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memorandum of association;</w:t>
      </w:r>
    </w:p>
    <w:p>
      <w:pPr>
        <w:spacing w:after="0" w:line="6" w:lineRule="exact"/>
        <w:rPr>
          <w:rFonts w:ascii="Times New Roman" w:cs="Times New Roman" w:eastAsia="Times New Roman" w:hAnsi="Times New Roman"/>
          <w:sz w:val="20"/>
          <w:szCs w:val="20"/>
          <w:color w:val="auto"/>
        </w:rPr>
      </w:pPr>
    </w:p>
    <w:p>
      <w:pPr>
        <w:ind w:left="1340" w:hanging="498"/>
        <w:spacing w:after="0"/>
        <w:tabs>
          <w:tab w:leader="none" w:pos="1340"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incorporation;</w:t>
      </w:r>
    </w:p>
    <w:p>
      <w:pPr>
        <w:spacing w:after="0" w:line="6" w:lineRule="exact"/>
        <w:rPr>
          <w:rFonts w:ascii="Times New Roman" w:cs="Times New Roman" w:eastAsia="Times New Roman" w:hAnsi="Times New Roman"/>
          <w:sz w:val="20"/>
          <w:szCs w:val="20"/>
          <w:color w:val="auto"/>
        </w:rPr>
      </w:pPr>
    </w:p>
    <w:p>
      <w:pPr>
        <w:ind w:left="1360" w:hanging="518"/>
        <w:spacing w:after="0" w:line="246" w:lineRule="auto"/>
        <w:tabs>
          <w:tab w:leader="none" w:pos="1351"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powers of attorney and/or any other equivalent document authorising the representatives of the Centralising Unit to execute the relevant Transaction Documents; and</w:t>
      </w:r>
    </w:p>
    <w:p>
      <w:pPr>
        <w:spacing w:after="0" w:line="1" w:lineRule="exact"/>
        <w:rPr>
          <w:rFonts w:ascii="Times New Roman" w:cs="Times New Roman" w:eastAsia="Times New Roman" w:hAnsi="Times New Roman"/>
          <w:sz w:val="20"/>
          <w:szCs w:val="20"/>
          <w:color w:val="auto"/>
        </w:rPr>
      </w:pPr>
    </w:p>
    <w:p>
      <w:pPr>
        <w:ind w:left="1360" w:hanging="518"/>
        <w:spacing w:after="0" w:line="250" w:lineRule="auto"/>
        <w:tabs>
          <w:tab w:leader="none" w:pos="1350"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board of directors' resolutions authorising the Centralising Unit to enter into the relevant Transaction Documents;</w:t>
      </w:r>
    </w:p>
    <w:p>
      <w:pPr>
        <w:ind w:left="840" w:hanging="460"/>
        <w:spacing w:after="0"/>
        <w:tabs>
          <w:tab w:leader="none" w:pos="84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23"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With respect to GOODYEAR EUROPE BV, as parent company of the Sellers:</w:t>
      </w:r>
    </w:p>
    <w:p>
      <w:pPr>
        <w:spacing w:after="0" w:line="32" w:lineRule="exact"/>
        <w:rPr>
          <w:rFonts w:ascii="Times New Roman" w:cs="Times New Roman" w:eastAsia="Times New Roman" w:hAnsi="Times New Roman"/>
          <w:sz w:val="18"/>
          <w:szCs w:val="18"/>
          <w:b w:val="1"/>
          <w:bCs w:val="1"/>
          <w:color w:val="auto"/>
        </w:rPr>
      </w:pPr>
    </w:p>
    <w:p>
      <w:pPr>
        <w:ind w:left="840" w:hanging="509"/>
        <w:spacing w:after="0"/>
        <w:tabs>
          <w:tab w:leader="none" w:pos="8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conformity certificate including:</w:t>
      </w:r>
    </w:p>
    <w:p>
      <w:pPr>
        <w:spacing w:after="0" w:line="13" w:lineRule="exact"/>
        <w:rPr>
          <w:rFonts w:ascii="Times New Roman" w:cs="Times New Roman" w:eastAsia="Times New Roman" w:hAnsi="Times New Roman"/>
          <w:sz w:val="20"/>
          <w:szCs w:val="20"/>
          <w:color w:val="auto"/>
        </w:rPr>
      </w:pPr>
    </w:p>
    <w:p>
      <w:pPr>
        <w:ind w:left="1560" w:hanging="640"/>
        <w:spacing w:after="0"/>
        <w:tabs>
          <w:tab w:leader="none" w:pos="1560" w:val="left"/>
        </w:tabs>
        <w:numPr>
          <w:ilvl w:val="4"/>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articles of association;</w:t>
      </w:r>
    </w:p>
    <w:p>
      <w:pPr>
        <w:spacing w:after="0" w:line="6" w:lineRule="exact"/>
        <w:rPr>
          <w:rFonts w:ascii="Times New Roman" w:cs="Times New Roman" w:eastAsia="Times New Roman" w:hAnsi="Times New Roman"/>
          <w:sz w:val="20"/>
          <w:szCs w:val="20"/>
          <w:color w:val="auto"/>
        </w:rPr>
      </w:pPr>
    </w:p>
    <w:p>
      <w:pPr>
        <w:ind w:left="1560" w:hanging="640"/>
        <w:spacing w:after="0" w:line="250" w:lineRule="auto"/>
        <w:tabs>
          <w:tab w:leader="none" w:pos="1559" w:val="left"/>
        </w:tabs>
        <w:numPr>
          <w:ilvl w:val="4"/>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commercial register extract, also reporting that the parent company is not subject to any Insolvency Proceedings;</w:t>
      </w:r>
    </w:p>
    <w:p>
      <w:pPr>
        <w:ind w:left="1560" w:hanging="643"/>
        <w:spacing w:after="0" w:line="260" w:lineRule="auto"/>
        <w:tabs>
          <w:tab w:leader="none" w:pos="1560" w:val="left"/>
        </w:tabs>
        <w:numPr>
          <w:ilvl w:val="4"/>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powers of attorney or any other equivalent document authorising the representatives of the parent company to execute the relevant Transaction Documents; and</w:t>
      </w:r>
    </w:p>
    <w:p>
      <w:pPr>
        <w:spacing w:after="0" w:line="1" w:lineRule="exact"/>
        <w:rPr>
          <w:rFonts w:ascii="Times New Roman" w:cs="Times New Roman" w:eastAsia="Times New Roman" w:hAnsi="Times New Roman"/>
          <w:sz w:val="20"/>
          <w:szCs w:val="20"/>
          <w:color w:val="auto"/>
        </w:rPr>
      </w:pPr>
    </w:p>
    <w:p>
      <w:pPr>
        <w:ind w:left="1560" w:hanging="643"/>
        <w:spacing w:after="0" w:line="260" w:lineRule="auto"/>
        <w:tabs>
          <w:tab w:leader="none" w:pos="1549" w:val="left"/>
        </w:tabs>
        <w:numPr>
          <w:ilvl w:val="4"/>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board of directors' resolutions authorising the parent company to enter into the relevant Transaction Documents;</w:t>
      </w:r>
    </w:p>
    <w:p>
      <w:pPr>
        <w:spacing w:after="0" w:line="1" w:lineRule="exact"/>
        <w:rPr>
          <w:rFonts w:ascii="Times New Roman" w:cs="Times New Roman" w:eastAsia="Times New Roman" w:hAnsi="Times New Roman"/>
          <w:sz w:val="20"/>
          <w:szCs w:val="20"/>
          <w:color w:val="auto"/>
        </w:rPr>
      </w:pPr>
    </w:p>
    <w:p>
      <w:pPr>
        <w:ind w:left="840" w:hanging="509"/>
        <w:spacing w:after="0"/>
        <w:tabs>
          <w:tab w:leader="none" w:pos="8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internal solvency certificate; and</w:t>
      </w:r>
    </w:p>
    <w:p>
      <w:pPr>
        <w:spacing w:after="0" w:line="6" w:lineRule="exact"/>
        <w:rPr>
          <w:rFonts w:ascii="Times New Roman" w:cs="Times New Roman" w:eastAsia="Times New Roman" w:hAnsi="Times New Roman"/>
          <w:sz w:val="20"/>
          <w:szCs w:val="20"/>
          <w:color w:val="auto"/>
        </w:rPr>
      </w:pPr>
    </w:p>
    <w:p>
      <w:pPr>
        <w:ind w:left="840" w:hanging="509"/>
        <w:spacing w:after="0"/>
        <w:tabs>
          <w:tab w:leader="none" w:pos="8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in-house legal opinion.</w:t>
      </w:r>
    </w:p>
    <w:p>
      <w:pPr>
        <w:spacing w:after="0" w:line="234" w:lineRule="exact"/>
        <w:rPr>
          <w:rFonts w:ascii="Times New Roman" w:cs="Times New Roman" w:eastAsia="Times New Roman" w:hAnsi="Times New Roman"/>
          <w:sz w:val="20"/>
          <w:szCs w:val="20"/>
          <w:color w:val="auto"/>
        </w:rPr>
      </w:pPr>
    </w:p>
    <w:p>
      <w:pPr>
        <w:ind w:left="340" w:hanging="333"/>
        <w:spacing w:after="0"/>
        <w:tabs>
          <w:tab w:leader="none" w:pos="34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Issuer, each Liquidity Bank and each Fund Subscriber have given their prior written consent to the Amendment.</w:t>
      </w:r>
    </w:p>
    <w:p>
      <w:pPr>
        <w:spacing w:after="0" w:line="256" w:lineRule="exact"/>
        <w:rPr>
          <w:rFonts w:ascii="Times New Roman" w:cs="Times New Roman" w:eastAsia="Times New Roman" w:hAnsi="Times New Roman"/>
          <w:sz w:val="20"/>
          <w:szCs w:val="20"/>
          <w:b w:val="1"/>
          <w:bCs w:val="1"/>
          <w:color w:val="auto"/>
        </w:rPr>
      </w:pPr>
    </w:p>
    <w:p>
      <w:pPr>
        <w:ind w:left="340" w:hanging="333"/>
        <w:spacing w:after="0" w:line="269" w:lineRule="auto"/>
        <w:tabs>
          <w:tab w:leader="none" w:pos="34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outstanding Class M Units (as such term is defined in the Magenta Costs Letter) have been fully amortised on the Funded Settlement Date of October 2025.</w:t>
      </w:r>
    </w:p>
    <w:p>
      <w:pPr>
        <w:spacing w:after="0" w:line="199" w:lineRule="exact"/>
        <w:rPr>
          <w:rFonts w:ascii="Times New Roman" w:cs="Times New Roman" w:eastAsia="Times New Roman" w:hAnsi="Times New Roman"/>
          <w:sz w:val="20"/>
          <w:szCs w:val="20"/>
          <w:b w:val="1"/>
          <w:bCs w:val="1"/>
          <w:color w:val="auto"/>
        </w:rPr>
      </w:pPr>
    </w:p>
    <w:p>
      <w:pPr>
        <w:ind w:left="340" w:hanging="333"/>
        <w:spacing w:after="0" w:line="269" w:lineRule="auto"/>
        <w:tabs>
          <w:tab w:leader="none" w:pos="331"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capacity opinion issued by the counsel to the Sellers and the Centralisating Unit in respect of (i) the Sellers, (ii) the Centralising Unit and (iii) GOODYEAR EUROPE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12</w:t>
      </w:r>
    </w:p>
    <w:p>
      <w:pPr>
        <w:sectPr>
          <w:pgSz w:w="11900" w:h="16838" w:orient="portrait"/>
          <w:cols w:equalWidth="0" w:num="1">
            <w:col w:w="11180"/>
          </w:cols>
          <w:pgMar w:left="380" w:top="1382" w:right="339" w:bottom="1440" w:gutter="0" w:footer="0" w:header="0"/>
        </w:sectPr>
      </w:pPr>
    </w:p>
    <w:bookmarkStart w:id="145" w:name="page146"/>
    <w:bookmarkEnd w:id="145"/>
    <w:p>
      <w:pPr>
        <w:jc w:val="both"/>
        <w:ind w:left="340" w:hanging="333"/>
        <w:spacing w:after="0" w:line="261" w:lineRule="auto"/>
        <w:tabs>
          <w:tab w:leader="none" w:pos="3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validity, enforceability and true sale opinion issued by CMS Francis Lefebvre, as French counsel of the Agent, the Calculation Agent and the Lead Arranger, in respect of the relevant Transaction Documents and the accession of the Luxembourg Seller to the Securitisation Transaction.</w:t>
      </w:r>
    </w:p>
    <w:p>
      <w:pPr>
        <w:spacing w:after="0" w:line="208" w:lineRule="exact"/>
        <w:rPr>
          <w:rFonts w:ascii="Times New Roman" w:cs="Times New Roman" w:eastAsia="Times New Roman" w:hAnsi="Times New Roman"/>
          <w:sz w:val="20"/>
          <w:szCs w:val="20"/>
          <w:b w:val="1"/>
          <w:bCs w:val="1"/>
          <w:color w:val="auto"/>
        </w:rPr>
      </w:pPr>
    </w:p>
    <w:p>
      <w:pPr>
        <w:ind w:left="340" w:hanging="333"/>
        <w:spacing w:after="0" w:line="269" w:lineRule="auto"/>
        <w:tabs>
          <w:tab w:leader="none" w:pos="331"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true sale opinion issued by CMS DeBacker Luxembourg SCS, as Luxembourg counsel of the Agent, the Calculation Agent and the Lead Arranger in respect of the accession of the Luxembourg Seller to the Securitisation Transaction</w:t>
      </w:r>
      <w:r>
        <w:rPr>
          <w:rFonts w:ascii="Times New Roman" w:cs="Times New Roman" w:eastAsia="Times New Roman" w:hAnsi="Times New Roman"/>
          <w:sz w:val="20"/>
          <w:szCs w:val="20"/>
          <w:i w:val="1"/>
          <w:iCs w:val="1"/>
          <w:color w:val="auto"/>
        </w:rPr>
        <w:t>.</w:t>
      </w:r>
    </w:p>
    <w:p>
      <w:pPr>
        <w:spacing w:after="0" w:line="199" w:lineRule="exact"/>
        <w:rPr>
          <w:rFonts w:ascii="Times New Roman" w:cs="Times New Roman" w:eastAsia="Times New Roman" w:hAnsi="Times New Roman"/>
          <w:sz w:val="20"/>
          <w:szCs w:val="20"/>
          <w:b w:val="1"/>
          <w:bCs w:val="1"/>
          <w:color w:val="auto"/>
        </w:rPr>
      </w:pPr>
    </w:p>
    <w:p>
      <w:pPr>
        <w:ind w:left="340" w:right="20" w:hanging="333"/>
        <w:spacing w:after="0" w:line="283" w:lineRule="auto"/>
        <w:tabs>
          <w:tab w:leader="none" w:pos="331"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true sale opinion issued by CMS Hasche Sigle, as German counsel of the Agent, the Calculation Agent and the Lead Arranger in respect of the accession of the Luxembourg Seller to the Securitisation Transaction.</w:t>
      </w:r>
    </w:p>
    <w:p>
      <w:pPr>
        <w:spacing w:after="0" w:line="173" w:lineRule="exact"/>
        <w:rPr>
          <w:rFonts w:ascii="Times New Roman" w:cs="Times New Roman" w:eastAsia="Times New Roman" w:hAnsi="Times New Roman"/>
          <w:sz w:val="20"/>
          <w:szCs w:val="20"/>
          <w:b w:val="1"/>
          <w:bCs w:val="1"/>
          <w:color w:val="auto"/>
        </w:rPr>
      </w:pPr>
    </w:p>
    <w:p>
      <w:pPr>
        <w:ind w:left="340" w:hanging="333"/>
        <w:spacing w:after="0" w:line="283" w:lineRule="auto"/>
        <w:tabs>
          <w:tab w:leader="none" w:pos="331"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true sale opinion issued by CMS Cameron McKenna Nabarro Olswang LLP, as English counsel of the Agent, the Calculation Agent and the Lead Arranger in respect of the accession of the Luxembourg Seller to the Securitisation Transaction.</w:t>
      </w:r>
    </w:p>
    <w:p>
      <w:pPr>
        <w:spacing w:after="0" w:line="169" w:lineRule="exact"/>
        <w:rPr>
          <w:rFonts w:ascii="Times New Roman" w:cs="Times New Roman" w:eastAsia="Times New Roman" w:hAnsi="Times New Roman"/>
          <w:sz w:val="20"/>
          <w:szCs w:val="20"/>
          <w:b w:val="1"/>
          <w:bCs w:val="1"/>
          <w:color w:val="auto"/>
        </w:rPr>
      </w:pPr>
    </w:p>
    <w:p>
      <w:pPr>
        <w:ind w:left="320" w:hanging="313"/>
        <w:spacing w:after="0"/>
        <w:tabs>
          <w:tab w:leader="none" w:pos="3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Closing documents:</w:t>
      </w:r>
    </w:p>
    <w:p>
      <w:pPr>
        <w:spacing w:after="0" w:line="260" w:lineRule="exact"/>
        <w:rPr>
          <w:rFonts w:ascii="Times New Roman" w:cs="Times New Roman" w:eastAsia="Times New Roman" w:hAnsi="Times New Roman"/>
          <w:sz w:val="20"/>
          <w:szCs w:val="20"/>
          <w:b w:val="1"/>
          <w:bCs w:val="1"/>
          <w:color w:val="auto"/>
        </w:rPr>
      </w:pPr>
    </w:p>
    <w:p>
      <w:pPr>
        <w:ind w:left="820" w:hanging="440"/>
        <w:spacing w:after="0"/>
        <w:tabs>
          <w:tab w:leader="none" w:pos="8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n°7 to the French Receivables Purchase Agreement;</w:t>
      </w:r>
    </w:p>
    <w:p>
      <w:pPr>
        <w:spacing w:after="0" w:line="28"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n°7 to the German Receivables Purchase Agreement;</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n°4 to the UK Receivables Purchase Agreement;</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notarised signed copy of the amendment n°4 to the Spanish Receivables Purchase Agreement;</w:t>
      </w:r>
    </w:p>
    <w:p>
      <w:pPr>
        <w:spacing w:after="0" w:line="6" w:lineRule="exact"/>
        <w:rPr>
          <w:rFonts w:ascii="Times New Roman" w:cs="Times New Roman" w:eastAsia="Times New Roman" w:hAnsi="Times New Roman"/>
          <w:sz w:val="20"/>
          <w:szCs w:val="20"/>
          <w:color w:val="auto"/>
        </w:rPr>
      </w:pPr>
    </w:p>
    <w:p>
      <w:pPr>
        <w:ind w:left="820" w:hanging="440"/>
        <w:spacing w:after="0"/>
        <w:tabs>
          <w:tab w:leader="none" w:pos="8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n°2 to the Italian Receivables Purchase Agreement;</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n°2 to the Italian Sub-Servicing Agreement;</w:t>
      </w:r>
    </w:p>
    <w:p>
      <w:pPr>
        <w:spacing w:after="0" w:line="13"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signed copy of the master amendment n°5 to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Master Senior Deposit Agreement;</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amendment n°3 to the Master Subordinated Deposit Agreement;</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termination agreement to the Master Complementary Deposit Agreement;</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LMA/CACIB costs letter;</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LMA alternative funding letter;</w:t>
      </w:r>
    </w:p>
    <w:p>
      <w:pPr>
        <w:spacing w:after="0" w:line="13" w:lineRule="exact"/>
        <w:rPr>
          <w:rFonts w:ascii="Times New Roman" w:cs="Times New Roman" w:eastAsia="Times New Roman" w:hAnsi="Times New Roman"/>
          <w:sz w:val="20"/>
          <w:szCs w:val="20"/>
          <w:color w:val="auto"/>
        </w:rPr>
      </w:pPr>
    </w:p>
    <w:p>
      <w:pPr>
        <w:jc w:val="both"/>
        <w:ind w:left="840" w:hanging="460"/>
        <w:spacing w:after="0" w:line="246" w:lineRule="auto"/>
        <w:tabs>
          <w:tab w:leader="none" w:pos="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the withdrawal letter entered into on [9] October 2025 between the Amendment Parties and Natixis, as Joint Lead Arranger, setting forth the terms and conditions under which Natixis will cease to act as Joint Lead Arranger under this Securitisation Transaction in accordance with, and subject to, the terms and conditions set forth therein;</w:t>
      </w:r>
    </w:p>
    <w:p>
      <w:pPr>
        <w:spacing w:after="0" w:line="1"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Comfort Letter; and</w:t>
      </w:r>
    </w:p>
    <w:p>
      <w:pPr>
        <w:spacing w:after="0" w:line="6" w:lineRule="exact"/>
        <w:rPr>
          <w:rFonts w:ascii="Times New Roman" w:cs="Times New Roman" w:eastAsia="Times New Roman" w:hAnsi="Times New Roman"/>
          <w:sz w:val="20"/>
          <w:szCs w:val="20"/>
          <w:color w:val="auto"/>
        </w:rPr>
      </w:pPr>
    </w:p>
    <w:p>
      <w:pPr>
        <w:ind w:left="840" w:hanging="460"/>
        <w:spacing w:after="0"/>
        <w:tabs>
          <w:tab w:leader="none" w:pos="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copy of a Performance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13</w:t>
      </w:r>
    </w:p>
    <w:p>
      <w:pPr>
        <w:sectPr>
          <w:pgSz w:w="11900" w:h="16838" w:orient="portrait"/>
          <w:cols w:equalWidth="0" w:num="1">
            <w:col w:w="11180"/>
          </w:cols>
          <w:pgMar w:left="380" w:top="1386" w:right="339" w:bottom="1440" w:gutter="0" w:footer="0" w:header="0"/>
        </w:sectPr>
      </w:pPr>
    </w:p>
    <w:bookmarkStart w:id="146" w:name="page147"/>
    <w:bookmarkEnd w:id="146"/>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3</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GENERAL MASTER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14</w:t>
      </w:r>
    </w:p>
    <w:p>
      <w:pPr>
        <w:sectPr>
          <w:pgSz w:w="11900" w:h="16838" w:orient="portrait"/>
          <w:cols w:equalWidth="0" w:num="1">
            <w:col w:w="9019"/>
          </w:cols>
          <w:pgMar w:left="1440" w:top="1440"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5889D4"/>
        </w:rPr>
        <w:t>Agreed form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GOODYEAR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GENERAL MASTER PURCHASE AGREEMENT</w:t>
      </w:r>
    </w:p>
    <w:p>
      <w:pPr>
        <w:spacing w:after="0" w:line="143" w:lineRule="exact"/>
        <w:rPr>
          <w:sz w:val="20"/>
          <w:szCs w:val="20"/>
          <w:color w:val="auto"/>
        </w:rPr>
      </w:pPr>
    </w:p>
    <w:p>
      <w:pPr>
        <w:jc w:val="center"/>
        <w:ind w:left="420"/>
        <w:spacing w:after="0" w:line="357" w:lineRule="auto"/>
        <w:rPr>
          <w:sz w:val="20"/>
          <w:szCs w:val="20"/>
          <w:color w:val="auto"/>
        </w:rPr>
      </w:pPr>
      <w:r>
        <w:rPr>
          <w:rFonts w:ascii="Times New Roman" w:cs="Times New Roman" w:eastAsia="Times New Roman" w:hAnsi="Times New Roman"/>
          <w:sz w:val="20"/>
          <w:szCs w:val="20"/>
          <w:b w:val="1"/>
          <w:bCs w:val="1"/>
          <w:color w:val="auto"/>
        </w:rPr>
        <w:t>IN RELATION TO THE SECURITISATION OF TRADE RECEIVABLES OF CERTAIN EUROPEAN SUBSIDIARIES OF THE GOODYEAR GROUP</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dated 10 December 2004, as last amended on 10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ESTER FINANCE TECHNOLOGIES</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CREDIT AGRICOLE CORPORATE AND INVESTMENT BANK</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Lead Arranger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i w:val="1"/>
          <w:iCs w:val="1"/>
          <w:color w:val="auto"/>
        </w:rPr>
        <w:t xml:space="preserve"> and as </w:t>
      </w:r>
      <w:r>
        <w:rPr>
          <w:rFonts w:ascii="Times New Roman" w:cs="Times New Roman" w:eastAsia="Times New Roman" w:hAnsi="Times New Roman"/>
          <w:sz w:val="20"/>
          <w:szCs w:val="20"/>
          <w:b w:val="1"/>
          <w:bCs w:val="1"/>
          <w:i w:val="1"/>
          <w:iCs w:val="1"/>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DUNLOP TYRES LTD</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 xml:space="preserve">as </w:t>
      </w:r>
      <w:r>
        <w:rPr>
          <w:rFonts w:ascii="Times New Roman" w:cs="Times New Roman" w:eastAsia="Times New Roman" w:hAnsi="Times New Roman"/>
          <w:sz w:val="20"/>
          <w:szCs w:val="20"/>
          <w:b w:val="1"/>
          <w:bCs w:val="1"/>
          <w:i w:val="1"/>
          <w:iCs w:val="1"/>
          <w:color w:val="auto"/>
        </w:rPr>
        <w:t>Centralising Unit</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SELLERS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Listed in SCHEDULE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489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Avocats au Barreau des Hauts de Seine</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 rue Ancelle, 92522 Neuilly-sur-Seine Cedex, France</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cms.law/fl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Goodyear - GMPA (amended 2025)(51591956.2)</w:t>
      </w:r>
    </w:p>
    <w:p>
      <w:pPr>
        <w:sectPr>
          <w:pgSz w:w="11900" w:h="16838" w:orient="portrait"/>
          <w:cols w:equalWidth="0" w:num="1">
            <w:col w:w="11140"/>
          </w:cols>
          <w:pgMar w:left="320" w:top="117" w:right="439" w:bottom="1440" w:gutter="0" w:footer="0" w:header="0"/>
        </w:sectPr>
      </w:pPr>
    </w:p>
    <w:bookmarkStart w:id="148" w:name="page149"/>
    <w:bookmarkEnd w:id="148"/>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18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CLAUSE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189"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0"/>
          <w:szCs w:val="20"/>
          <w:b w:val="1"/>
          <w:bCs w:val="1"/>
          <w:color w:val="auto"/>
        </w:rPr>
        <w:t>CHAPTER I INTERPRETATION</w:t>
        <w:tab/>
        <w:t>8</w:t>
      </w:r>
    </w:p>
    <w:p>
      <w:pPr>
        <w:spacing w:after="0" w:line="148" w:lineRule="exact"/>
        <w:rPr>
          <w:sz w:val="20"/>
          <w:szCs w:val="20"/>
          <w:color w:val="auto"/>
        </w:rPr>
      </w:pPr>
    </w:p>
    <w:p>
      <w:pPr>
        <w:ind w:left="380" w:hanging="372"/>
        <w:spacing w:after="0"/>
        <w:tabs>
          <w:tab w:leader="none" w:pos="38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8</w:t>
      </w:r>
    </w:p>
    <w:p>
      <w:pPr>
        <w:spacing w:after="0" w:line="14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  8</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3"/>
              </w:rPr>
              <w:t>3.</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PURPOSE OF THIS AGREEMENT  9</w:t>
            </w:r>
          </w:p>
        </w:tc>
      </w:tr>
      <w:tr>
        <w:trPr>
          <w:trHeight w:val="378"/>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3"/>
              </w:rPr>
              <w:t>4.</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TERM OF THIS AGREEMENT  13</w:t>
            </w:r>
          </w:p>
        </w:tc>
      </w:tr>
    </w:tbl>
    <w:p>
      <w:pPr>
        <w:spacing w:after="0" w:line="200" w:lineRule="exact"/>
        <w:rPr>
          <w:sz w:val="20"/>
          <w:szCs w:val="20"/>
          <w:color w:val="auto"/>
        </w:rPr>
      </w:pPr>
    </w:p>
    <w:p>
      <w:pPr>
        <w:spacing w:after="0" w:line="280" w:lineRule="exact"/>
        <w:rPr>
          <w:sz w:val="20"/>
          <w:szCs w:val="20"/>
          <w:color w:val="auto"/>
        </w:rPr>
      </w:pPr>
    </w:p>
    <w:p>
      <w:pPr>
        <w:ind w:left="380" w:hanging="372"/>
        <w:spacing w:after="0"/>
        <w:tabs>
          <w:tab w:leader="none" w:pos="38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CURRENT ACCOUNT  14</w:t>
      </w:r>
    </w:p>
    <w:p>
      <w:pPr>
        <w:spacing w:after="0" w:line="148" w:lineRule="exact"/>
        <w:rPr>
          <w:sz w:val="20"/>
          <w:szCs w:val="20"/>
          <w:color w:val="auto"/>
        </w:rPr>
      </w:pPr>
    </w:p>
    <w:p>
      <w:pPr>
        <w:spacing w:after="0"/>
        <w:tabs>
          <w:tab w:leader="none" w:pos="360" w:val="left"/>
          <w:tab w:leader="none" w:pos="4660" w:val="left"/>
        </w:tabs>
        <w:rPr>
          <w:sz w:val="20"/>
          <w:szCs w:val="20"/>
          <w:color w:val="auto"/>
        </w:rPr>
      </w:pPr>
      <w:r>
        <w:rPr>
          <w:rFonts w:ascii="Times New Roman" w:cs="Times New Roman" w:eastAsia="Times New Roman" w:hAnsi="Times New Roman"/>
          <w:sz w:val="20"/>
          <w:szCs w:val="20"/>
          <w:b w:val="1"/>
          <w:bCs w:val="1"/>
          <w:color w:val="auto"/>
        </w:rPr>
        <w:t>6.</w:t>
        <w:tab/>
        <w:t>AMOUNT OF THE PURCHASER'S FUNDING</w:t>
        <w:tab/>
        <w:t>17</w:t>
      </w:r>
    </w:p>
    <w:p>
      <w:pPr>
        <w:spacing w:after="0" w:line="148" w:lineRule="exact"/>
        <w:rPr>
          <w:sz w:val="20"/>
          <w:szCs w:val="20"/>
          <w:color w:val="auto"/>
        </w:rPr>
      </w:pPr>
    </w:p>
    <w:p>
      <w:pPr>
        <w:ind w:left="380" w:hanging="372"/>
        <w:spacing w:after="0"/>
        <w:tabs>
          <w:tab w:leader="none" w:pos="38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SUBORDINATED DEPOSIT  19</w:t>
      </w:r>
    </w:p>
    <w:p>
      <w:pPr>
        <w:spacing w:after="0" w:line="200" w:lineRule="exact"/>
        <w:rPr>
          <w:sz w:val="20"/>
          <w:szCs w:val="20"/>
          <w:color w:val="auto"/>
        </w:rPr>
      </w:pPr>
    </w:p>
    <w:p>
      <w:pPr>
        <w:spacing w:after="0" w:line="326" w:lineRule="exact"/>
        <w:rPr>
          <w:sz w:val="20"/>
          <w:szCs w:val="20"/>
          <w:color w:val="auto"/>
        </w:rPr>
      </w:pPr>
    </w:p>
    <w:p>
      <w:pPr>
        <w:ind w:left="380" w:hanging="372"/>
        <w:spacing w:after="0"/>
        <w:tabs>
          <w:tab w:leader="none" w:pos="38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FEES  20</w:t>
      </w:r>
    </w:p>
    <w:p>
      <w:pPr>
        <w:spacing w:after="0" w:line="200" w:lineRule="exact"/>
        <w:rPr>
          <w:sz w:val="20"/>
          <w:szCs w:val="20"/>
          <w:color w:val="auto"/>
        </w:rPr>
      </w:pPr>
    </w:p>
    <w:p>
      <w:pPr>
        <w:spacing w:after="0" w:line="313" w:lineRule="exact"/>
        <w:rPr>
          <w:sz w:val="20"/>
          <w:szCs w:val="20"/>
          <w:color w:val="auto"/>
        </w:rPr>
      </w:pPr>
    </w:p>
    <w:p>
      <w:pPr>
        <w:ind w:left="380" w:hanging="372"/>
        <w:spacing w:after="0"/>
        <w:tabs>
          <w:tab w:leader="none" w:pos="38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21</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COVENANTS  24</w:t>
      </w:r>
    </w:p>
    <w:p>
      <w:pPr>
        <w:spacing w:after="0" w:line="200" w:lineRule="exact"/>
        <w:rPr>
          <w:sz w:val="20"/>
          <w:szCs w:val="20"/>
          <w:color w:val="auto"/>
        </w:rPr>
      </w:pPr>
    </w:p>
    <w:p>
      <w:pPr>
        <w:spacing w:after="0" w:line="326"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AMORTISATION  35</w:t>
      </w:r>
    </w:p>
    <w:p>
      <w:pPr>
        <w:spacing w:after="0" w:line="200" w:lineRule="exact"/>
        <w:rPr>
          <w:sz w:val="20"/>
          <w:szCs w:val="20"/>
          <w:color w:val="auto"/>
        </w:rPr>
      </w:pPr>
    </w:p>
    <w:p>
      <w:pPr>
        <w:spacing w:after="0" w:line="313" w:lineRule="exact"/>
        <w:rPr>
          <w:sz w:val="20"/>
          <w:szCs w:val="20"/>
          <w:color w:val="auto"/>
        </w:rPr>
      </w:pPr>
    </w:p>
    <w:p>
      <w:pPr>
        <w:ind w:left="480" w:hanging="472"/>
        <w:spacing w:after="0"/>
        <w:tabs>
          <w:tab w:leader="none" w:pos="48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  41</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CIRCUMSTANCES  43</w:t>
      </w:r>
    </w:p>
    <w:p>
      <w:pPr>
        <w:spacing w:after="0" w:line="200" w:lineRule="exact"/>
        <w:rPr>
          <w:sz w:val="20"/>
          <w:szCs w:val="20"/>
          <w:color w:val="auto"/>
        </w:rPr>
      </w:pPr>
    </w:p>
    <w:p>
      <w:pPr>
        <w:spacing w:after="0" w:line="313" w:lineRule="exact"/>
        <w:rPr>
          <w:sz w:val="20"/>
          <w:szCs w:val="20"/>
          <w:color w:val="auto"/>
        </w:rPr>
      </w:pPr>
    </w:p>
    <w:p>
      <w:pPr>
        <w:spacing w:after="0"/>
        <w:tabs>
          <w:tab w:leader="none" w:pos="460" w:val="left"/>
          <w:tab w:leader="none" w:pos="6480" w:val="left"/>
        </w:tabs>
        <w:rPr>
          <w:sz w:val="20"/>
          <w:szCs w:val="20"/>
          <w:color w:val="auto"/>
        </w:rPr>
      </w:pPr>
      <w:r>
        <w:rPr>
          <w:rFonts w:ascii="Times New Roman" w:cs="Times New Roman" w:eastAsia="Times New Roman" w:hAnsi="Times New Roman"/>
          <w:sz w:val="20"/>
          <w:szCs w:val="20"/>
          <w:b w:val="1"/>
          <w:bCs w:val="1"/>
          <w:color w:val="auto"/>
        </w:rPr>
        <w:t>14.</w:t>
        <w:tab/>
        <w:t>ORDER OF PRIORITY DURING THE AMORTISATION PERIOD</w:t>
        <w:tab/>
        <w:t>44</w:t>
      </w:r>
    </w:p>
    <w:p>
      <w:pPr>
        <w:spacing w:after="0" w:line="162" w:lineRule="exact"/>
        <w:rPr>
          <w:sz w:val="20"/>
          <w:szCs w:val="20"/>
          <w:color w:val="auto"/>
        </w:rPr>
      </w:pPr>
    </w:p>
    <w:p>
      <w:pPr>
        <w:ind w:left="480" w:hanging="472"/>
        <w:spacing w:after="0"/>
        <w:tabs>
          <w:tab w:leader="none" w:pos="48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  46</w:t>
      </w:r>
    </w:p>
    <w:p>
      <w:pPr>
        <w:spacing w:after="0" w:line="135" w:lineRule="exact"/>
        <w:rPr>
          <w:sz w:val="20"/>
          <w:szCs w:val="20"/>
          <w:color w:val="auto"/>
        </w:rPr>
      </w:pPr>
    </w:p>
    <w:p>
      <w:pPr>
        <w:ind w:left="660" w:right="1120" w:hanging="647"/>
        <w:spacing w:after="0" w:line="357" w:lineRule="auto"/>
        <w:rPr>
          <w:sz w:val="20"/>
          <w:szCs w:val="20"/>
          <w:color w:val="auto"/>
        </w:rPr>
      </w:pPr>
      <w:r>
        <w:rPr>
          <w:rFonts w:ascii="Times New Roman" w:cs="Times New Roman" w:eastAsia="Times New Roman" w:hAnsi="Times New Roman"/>
          <w:sz w:val="20"/>
          <w:szCs w:val="20"/>
          <w:b w:val="1"/>
          <w:bCs w:val="1"/>
          <w:color w:val="auto"/>
        </w:rPr>
        <w:t>CHAPTER IX PURCHASE OF ONGOING PURCHASABLE RECEIVABLES AND REMAINING PURCHASABLE RECEIVABLES 47</w:t>
      </w:r>
    </w:p>
    <w:p>
      <w:pPr>
        <w:spacing w:after="0" w:line="4" w:lineRule="exact"/>
        <w:rPr>
          <w:sz w:val="20"/>
          <w:szCs w:val="20"/>
          <w:color w:val="auto"/>
        </w:rPr>
      </w:pPr>
    </w:p>
    <w:p>
      <w:pPr>
        <w:ind w:left="660" w:hanging="652"/>
        <w:spacing w:after="0" w:line="357" w:lineRule="auto"/>
        <w:tabs>
          <w:tab w:leader="none" w:pos="475"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IN RELATION TO ANY PURCHASE OF ONGOING PURCHASABLE RECEIVABLES AND REMAINING PURCHASABLE RECEIVABLES 47</w:t>
      </w:r>
    </w:p>
    <w:p>
      <w:pPr>
        <w:sectPr>
          <w:pgSz w:w="11900" w:h="16838" w:orient="portrait"/>
          <w:cols w:equalWidth="0" w:num="1">
            <w:col w:w="11120"/>
          </w:cols>
          <w:pgMar w:left="320" w:top="1440" w:right="459" w:bottom="1440" w:gutter="0" w:footer="0" w:header="0"/>
        </w:sectPr>
      </w:pPr>
    </w:p>
    <w:bookmarkStart w:id="149" w:name="page150"/>
    <w:bookmarkEnd w:id="149"/>
    <w:p>
      <w:pPr>
        <w:spacing w:after="0" w:line="145" w:lineRule="exact"/>
        <w:rPr>
          <w:sz w:val="20"/>
          <w:szCs w:val="20"/>
          <w:color w:val="auto"/>
        </w:rPr>
      </w:pPr>
    </w:p>
    <w:p>
      <w:pPr>
        <w:ind w:left="660" w:hanging="652"/>
        <w:spacing w:after="0" w:line="352" w:lineRule="auto"/>
        <w:tabs>
          <w:tab w:leader="none" w:pos="475"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CONFORMITY WARRANTIES FOR ONGOING PURCHASABLE RECEIVABLES AND REMAINING PURCHASABLE RECEIVABLES 49</w:t>
      </w:r>
    </w:p>
    <w:p>
      <w:pPr>
        <w:ind w:left="660" w:right="400" w:hanging="652"/>
        <w:spacing w:after="0" w:line="357" w:lineRule="auto"/>
        <w:tabs>
          <w:tab w:leader="none" w:pos="475"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IDENTIFICATION OF THE CONTRACTUAL DOCUMENTATION FOR THE SOLD RECEIVABLES - ACCESS TO DOCUMENTS 50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19.</w:t>
            </w:r>
          </w:p>
        </w:tc>
        <w:tc>
          <w:tcPr>
            <w:tcW w:w="67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COLLECTION OF SOLD RECEIVABLES  51</w:t>
            </w:r>
          </w:p>
        </w:tc>
      </w:tr>
      <w:tr>
        <w:trPr>
          <w:trHeight w:val="392"/>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20.</w:t>
            </w:r>
          </w:p>
        </w:tc>
        <w:tc>
          <w:tcPr>
            <w:tcW w:w="67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ASSESSMENT REPORT AND BACK-UP SERVICER REPORT  55</w:t>
            </w:r>
          </w:p>
        </w:tc>
      </w:tr>
      <w:tr>
        <w:trPr>
          <w:trHeight w:val="378"/>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21.</w:t>
            </w:r>
          </w:p>
        </w:tc>
        <w:tc>
          <w:tcPr>
            <w:tcW w:w="67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8"/>
              </w:rPr>
              <w:t>APPLICATION OF PAYMENTS AND PAYMENTS OF COLLECTIONS  56</w:t>
            </w:r>
          </w:p>
        </w:tc>
      </w:tr>
    </w:tbl>
    <w:p>
      <w:pPr>
        <w:spacing w:after="0" w:line="116" w:lineRule="exact"/>
        <w:rPr>
          <w:sz w:val="20"/>
          <w:szCs w:val="20"/>
          <w:color w:val="auto"/>
        </w:rPr>
      </w:pPr>
    </w:p>
    <w:p>
      <w:pPr>
        <w:ind w:left="480" w:hanging="472"/>
        <w:spacing w:after="0"/>
        <w:tabs>
          <w:tab w:leader="none" w:pos="48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RENEGOTIATION  57</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 MANDATE  58</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OBLIGATIONS OF CARE  58</w:t>
      </w:r>
    </w:p>
    <w:p>
      <w:pPr>
        <w:spacing w:after="0" w:line="148" w:lineRule="exact"/>
        <w:rPr>
          <w:sz w:val="20"/>
          <w:szCs w:val="20"/>
          <w:color w:val="auto"/>
        </w:rPr>
      </w:pPr>
    </w:p>
    <w:p>
      <w:pPr>
        <w:ind w:right="5460"/>
        <w:spacing w:after="0" w:line="394" w:lineRule="auto"/>
        <w:rPr>
          <w:sz w:val="20"/>
          <w:szCs w:val="20"/>
          <w:color w:val="auto"/>
        </w:rPr>
      </w:pPr>
      <w:r>
        <w:rPr>
          <w:rFonts w:ascii="Times New Roman" w:cs="Times New Roman" w:eastAsia="Times New Roman" w:hAnsi="Times New Roman"/>
          <w:sz w:val="20"/>
          <w:szCs w:val="20"/>
          <w:b w:val="1"/>
          <w:bCs w:val="1"/>
          <w:color w:val="auto"/>
        </w:rPr>
        <w:t>25. COMMISSION FOR AND COSTS OF COLLECTION 59 CHAPTER XI DEEMED COLLECTIONS 61</w:t>
      </w:r>
    </w:p>
    <w:p>
      <w:pPr>
        <w:spacing w:after="0" w:line="1" w:lineRule="exact"/>
        <w:rPr>
          <w:sz w:val="20"/>
          <w:szCs w:val="20"/>
          <w:color w:val="auto"/>
        </w:rPr>
      </w:pPr>
    </w:p>
    <w:p>
      <w:pPr>
        <w:ind w:right="7520" w:firstLine="8"/>
        <w:spacing w:after="0" w:line="387" w:lineRule="auto"/>
        <w:tabs>
          <w:tab w:leader="none" w:pos="463"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DEEMED COLLECTIONS 61 CHAPTER XII MISCELLANEOUS 62</w:t>
      </w:r>
    </w:p>
    <w:p>
      <w:pPr>
        <w:spacing w:after="0" w:line="1" w:lineRule="exact"/>
        <w:rPr>
          <w:sz w:val="20"/>
          <w:szCs w:val="20"/>
          <w:color w:val="auto"/>
        </w:rPr>
      </w:pPr>
    </w:p>
    <w:p>
      <w:pPr>
        <w:spacing w:after="0"/>
        <w:tabs>
          <w:tab w:leader="none" w:pos="460" w:val="left"/>
          <w:tab w:leader="none" w:pos="2700" w:val="left"/>
        </w:tabs>
        <w:rPr>
          <w:sz w:val="20"/>
          <w:szCs w:val="20"/>
          <w:color w:val="auto"/>
        </w:rPr>
      </w:pPr>
      <w:r>
        <w:rPr>
          <w:rFonts w:ascii="Times New Roman" w:cs="Times New Roman" w:eastAsia="Times New Roman" w:hAnsi="Times New Roman"/>
          <w:sz w:val="20"/>
          <w:szCs w:val="20"/>
          <w:b w:val="1"/>
          <w:bCs w:val="1"/>
          <w:color w:val="auto"/>
        </w:rPr>
        <w:t>27.</w:t>
        <w:tab/>
        <w:t>FEES AND EXPENSES</w:t>
        <w:tab/>
        <w:t>62</w:t>
      </w:r>
    </w:p>
    <w:p>
      <w:pPr>
        <w:spacing w:after="0" w:line="148" w:lineRule="exact"/>
        <w:rPr>
          <w:sz w:val="20"/>
          <w:szCs w:val="20"/>
          <w:color w:val="auto"/>
        </w:rPr>
      </w:pPr>
    </w:p>
    <w:p>
      <w:pPr>
        <w:ind w:left="480" w:hanging="472"/>
        <w:spacing w:after="0"/>
        <w:tabs>
          <w:tab w:leader="none" w:pos="48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SUBSTITUTION AND AGENCY  63</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63</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  64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31.</w:t>
            </w:r>
          </w:p>
        </w:tc>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EXERCISE OF RIGHTS – RECOURSE – NO PETITION</w:t>
            </w:r>
          </w:p>
        </w:tc>
        <w:tc>
          <w:tcPr>
            <w:tcW w:w="3400" w:type="dxa"/>
            <w:vAlign w:val="bottom"/>
          </w:tcPr>
          <w:p>
            <w:pPr>
              <w:jc w:val="right"/>
              <w:ind w:right="3001"/>
              <w:spacing w:after="0"/>
              <w:rPr>
                <w:sz w:val="20"/>
                <w:szCs w:val="20"/>
                <w:color w:val="auto"/>
              </w:rPr>
            </w:pPr>
            <w:r>
              <w:rPr>
                <w:rFonts w:ascii="Times New Roman" w:cs="Times New Roman" w:eastAsia="Times New Roman" w:hAnsi="Times New Roman"/>
                <w:sz w:val="20"/>
                <w:szCs w:val="20"/>
                <w:b w:val="1"/>
                <w:bCs w:val="1"/>
                <w:color w:val="auto"/>
              </w:rPr>
              <w:t>65</w:t>
            </w:r>
          </w:p>
        </w:tc>
      </w:tr>
      <w:tr>
        <w:trPr>
          <w:trHeight w:val="378"/>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32.</w:t>
            </w: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TRANSFERABILITY OF THIS AGREEMENT – FINANCIAL GUARANTEE AGREEMENT  65</w:t>
            </w:r>
          </w:p>
        </w:tc>
      </w:tr>
      <w:tr>
        <w:trPr>
          <w:trHeight w:val="378"/>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33.</w:t>
            </w:r>
          </w:p>
        </w:tc>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AMENDMENT TO THE TRANSACTION DOCUMENTS</w:t>
            </w:r>
          </w:p>
        </w:tc>
        <w:tc>
          <w:tcPr>
            <w:tcW w:w="3400" w:type="dxa"/>
            <w:vAlign w:val="bottom"/>
          </w:tcPr>
          <w:p>
            <w:pPr>
              <w:jc w:val="right"/>
              <w:ind w:right="2981"/>
              <w:spacing w:after="0"/>
              <w:rPr>
                <w:sz w:val="20"/>
                <w:szCs w:val="20"/>
                <w:color w:val="auto"/>
              </w:rPr>
            </w:pPr>
            <w:r>
              <w:rPr>
                <w:rFonts w:ascii="Times New Roman" w:cs="Times New Roman" w:eastAsia="Times New Roman" w:hAnsi="Times New Roman"/>
                <w:sz w:val="20"/>
                <w:szCs w:val="20"/>
                <w:b w:val="1"/>
                <w:bCs w:val="1"/>
                <w:color w:val="auto"/>
              </w:rPr>
              <w:t>66</w:t>
            </w:r>
          </w:p>
        </w:tc>
      </w:tr>
    </w:tbl>
    <w:p>
      <w:pPr>
        <w:spacing w:after="0" w:line="116" w:lineRule="exact"/>
        <w:rPr>
          <w:sz w:val="20"/>
          <w:szCs w:val="20"/>
          <w:color w:val="auto"/>
        </w:rPr>
      </w:pPr>
    </w:p>
    <w:p>
      <w:pPr>
        <w:ind w:left="480" w:hanging="472"/>
        <w:spacing w:after="0"/>
        <w:tabs>
          <w:tab w:leader="none" w:pos="48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INDEMNITIES  67</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INDIVISIBILITY  69</w:t>
      </w:r>
    </w:p>
    <w:p>
      <w:pPr>
        <w:spacing w:after="0" w:line="148"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EXECUTION AND EVIDENCE  69</w:t>
      </w:r>
    </w:p>
    <w:p>
      <w:pPr>
        <w:spacing w:after="0" w:line="161"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WITHDRAWAL OF SELLERS  70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38.</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ACCESSION OF THE LUXEMBOURG SELLER  70</w:t>
            </w:r>
          </w:p>
        </w:tc>
      </w:tr>
      <w:tr>
        <w:trPr>
          <w:trHeight w:val="378"/>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5"/>
              </w:rPr>
              <w:t>39.</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ACCESSION OF NEW SELLERS  71</w:t>
            </w:r>
          </w:p>
        </w:tc>
      </w:tr>
    </w:tbl>
    <w:p>
      <w:pPr>
        <w:sectPr>
          <w:pgSz w:w="11900" w:h="16838" w:orient="portrait"/>
          <w:cols w:equalWidth="0" w:num="1">
            <w:col w:w="11020"/>
          </w:cols>
          <w:pgMar w:left="320" w:top="1440" w:right="559" w:bottom="1440" w:gutter="0" w:footer="0" w:header="0"/>
        </w:sectPr>
      </w:pPr>
    </w:p>
    <w:bookmarkStart w:id="150" w:name="page151"/>
    <w:bookmarkEnd w:id="150"/>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40.</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NO HARDSHIP  73</w:t>
            </w:r>
          </w:p>
        </w:tc>
        <w:tc>
          <w:tcPr>
            <w:tcW w:w="5620" w:type="dxa"/>
            <w:vAlign w:val="bottom"/>
          </w:tcPr>
          <w:p>
            <w:pPr>
              <w:spacing w:after="0"/>
              <w:rPr>
                <w:sz w:val="22"/>
                <w:szCs w:val="22"/>
                <w:color w:val="auto"/>
              </w:rPr>
            </w:pPr>
          </w:p>
        </w:tc>
      </w:tr>
      <w:tr>
        <w:trPr>
          <w:trHeight w:val="378"/>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41.</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SANCTIONS  73</w:t>
            </w:r>
          </w:p>
        </w:tc>
        <w:tc>
          <w:tcPr>
            <w:tcW w:w="5620" w:type="dxa"/>
            <w:vAlign w:val="bottom"/>
          </w:tcPr>
          <w:p>
            <w:pPr>
              <w:spacing w:after="0"/>
              <w:rPr>
                <w:sz w:val="24"/>
                <w:szCs w:val="24"/>
                <w:color w:val="auto"/>
              </w:rPr>
            </w:pPr>
          </w:p>
        </w:tc>
      </w:tr>
      <w:tr>
        <w:trPr>
          <w:trHeight w:val="378"/>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42.</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SECURITISATION REGULATION  73</w:t>
            </w:r>
          </w:p>
        </w:tc>
        <w:tc>
          <w:tcPr>
            <w:tcW w:w="5620" w:type="dxa"/>
            <w:vAlign w:val="bottom"/>
          </w:tcPr>
          <w:p>
            <w:pPr>
              <w:spacing w:after="0"/>
              <w:rPr>
                <w:sz w:val="24"/>
                <w:szCs w:val="24"/>
                <w:color w:val="auto"/>
              </w:rPr>
            </w:pPr>
          </w:p>
        </w:tc>
      </w:tr>
      <w:tr>
        <w:trPr>
          <w:trHeight w:val="378"/>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43.</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DAC 6  74</w:t>
            </w:r>
          </w:p>
        </w:tc>
        <w:tc>
          <w:tcPr>
            <w:tcW w:w="5620" w:type="dxa"/>
            <w:vAlign w:val="bottom"/>
          </w:tcPr>
          <w:p>
            <w:pPr>
              <w:spacing w:after="0"/>
              <w:rPr>
                <w:sz w:val="24"/>
                <w:szCs w:val="24"/>
                <w:color w:val="auto"/>
              </w:rPr>
            </w:pPr>
          </w:p>
        </w:tc>
      </w:tr>
      <w:tr>
        <w:trPr>
          <w:trHeight w:val="364"/>
        </w:trPr>
        <w:tc>
          <w:tcPr>
            <w:tcW w:w="102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CHAPTER XIII GOVERNING LAW - JURISDICTION  74</w:t>
            </w:r>
          </w:p>
        </w:tc>
      </w:tr>
      <w:tr>
        <w:trPr>
          <w:trHeight w:val="378"/>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44.</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GOVERNING LAW - JURISDICTION  74</w:t>
            </w:r>
          </w:p>
        </w:tc>
        <w:tc>
          <w:tcPr>
            <w:tcW w:w="5620" w:type="dxa"/>
            <w:vAlign w:val="bottom"/>
          </w:tcPr>
          <w:p>
            <w:pPr>
              <w:spacing w:after="0"/>
              <w:rPr>
                <w:sz w:val="24"/>
                <w:szCs w:val="24"/>
                <w:color w:val="auto"/>
              </w:rPr>
            </w:pPr>
          </w:p>
        </w:tc>
      </w:tr>
      <w:tr>
        <w:trPr>
          <w:trHeight w:val="783"/>
        </w:trPr>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SCHEDULE  PAGE</w:t>
            </w:r>
          </w:p>
        </w:tc>
        <w:tc>
          <w:tcPr>
            <w:tcW w:w="5620" w:type="dxa"/>
            <w:vAlign w:val="bottom"/>
          </w:tcPr>
          <w:p>
            <w:pPr>
              <w:spacing w:after="0"/>
              <w:rPr>
                <w:sz w:val="24"/>
                <w:szCs w:val="24"/>
                <w:color w:val="auto"/>
              </w:rPr>
            </w:pPr>
          </w:p>
        </w:tc>
      </w:tr>
      <w:tr>
        <w:trPr>
          <w:trHeight w:val="365"/>
        </w:trPr>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 MASTER DEFINITIONS SCHEDULE</w:t>
            </w:r>
          </w:p>
        </w:tc>
        <w:tc>
          <w:tcPr>
            <w:tcW w:w="5620" w:type="dxa"/>
            <w:vAlign w:val="bottom"/>
          </w:tcPr>
          <w:p>
            <w:pPr>
              <w:jc w:val="right"/>
              <w:ind w:right="5121"/>
              <w:spacing w:after="0"/>
              <w:rPr>
                <w:sz w:val="20"/>
                <w:szCs w:val="20"/>
                <w:color w:val="auto"/>
              </w:rPr>
            </w:pPr>
            <w:r>
              <w:rPr>
                <w:rFonts w:ascii="Times New Roman" w:cs="Times New Roman" w:eastAsia="Times New Roman" w:hAnsi="Times New Roman"/>
                <w:sz w:val="20"/>
                <w:szCs w:val="20"/>
                <w:color w:val="auto"/>
              </w:rPr>
              <w:t>75</w:t>
            </w:r>
          </w:p>
        </w:tc>
      </w:tr>
      <w:tr>
        <w:trPr>
          <w:trHeight w:val="297"/>
        </w:trPr>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 [RESERVED]  112</w:t>
            </w:r>
          </w:p>
        </w:tc>
        <w:tc>
          <w:tcPr>
            <w:tcW w:w="5620" w:type="dxa"/>
            <w:vAlign w:val="bottom"/>
          </w:tcPr>
          <w:p>
            <w:pPr>
              <w:spacing w:after="0"/>
              <w:rPr>
                <w:sz w:val="24"/>
                <w:szCs w:val="24"/>
                <w:color w:val="auto"/>
              </w:rPr>
            </w:pPr>
          </w:p>
        </w:tc>
      </w:tr>
      <w:tr>
        <w:trPr>
          <w:trHeight w:val="311"/>
        </w:trPr>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3 FORM OF ASSESSMENT REPORT</w:t>
            </w:r>
          </w:p>
        </w:tc>
        <w:tc>
          <w:tcPr>
            <w:tcW w:w="5620" w:type="dxa"/>
            <w:vAlign w:val="bottom"/>
          </w:tcPr>
          <w:p>
            <w:pPr>
              <w:jc w:val="right"/>
              <w:ind w:right="5221"/>
              <w:spacing w:after="0"/>
              <w:rPr>
                <w:sz w:val="20"/>
                <w:szCs w:val="20"/>
                <w:color w:val="auto"/>
              </w:rPr>
            </w:pPr>
            <w:r>
              <w:rPr>
                <w:rFonts w:ascii="Times New Roman" w:cs="Times New Roman" w:eastAsia="Times New Roman" w:hAnsi="Times New Roman"/>
                <w:sz w:val="20"/>
                <w:szCs w:val="20"/>
                <w:color w:val="auto"/>
                <w:w w:val="93"/>
              </w:rPr>
              <w:t>113</w:t>
            </w:r>
          </w:p>
        </w:tc>
      </w:tr>
      <w:tr>
        <w:trPr>
          <w:trHeight w:val="31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4</w:t>
            </w:r>
          </w:p>
        </w:tc>
        <w:tc>
          <w:tcPr>
            <w:tcW w:w="3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  138</w:t>
            </w:r>
          </w:p>
        </w:tc>
        <w:tc>
          <w:tcPr>
            <w:tcW w:w="5620" w:type="dxa"/>
            <w:vAlign w:val="bottom"/>
          </w:tcPr>
          <w:p>
            <w:pPr>
              <w:spacing w:after="0"/>
              <w:rPr>
                <w:sz w:val="24"/>
                <w:szCs w:val="24"/>
                <w:color w:val="auto"/>
              </w:rPr>
            </w:pPr>
          </w:p>
        </w:tc>
      </w:tr>
      <w:tr>
        <w:trPr>
          <w:trHeight w:val="297"/>
        </w:trPr>
        <w:tc>
          <w:tcPr>
            <w:tcW w:w="10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SCHEDULE 5 </w:t>
            </w:r>
            <w:r>
              <w:rPr>
                <w:rFonts w:ascii="Times New Roman" w:cs="Times New Roman" w:eastAsia="Times New Roman" w:hAnsi="Times New Roman"/>
                <w:sz w:val="18"/>
                <w:szCs w:val="18"/>
                <w:color w:val="auto"/>
              </w:rPr>
              <w:t>FORM OF SELLER'S AND CENTRALISING UNIT'S SOLVENCY CERTIFICATE</w:t>
            </w:r>
            <w:r>
              <w:rPr>
                <w:rFonts w:ascii="Times New Roman" w:cs="Times New Roman" w:eastAsia="Times New Roman" w:hAnsi="Times New Roman"/>
                <w:sz w:val="20"/>
                <w:szCs w:val="20"/>
                <w:color w:val="auto"/>
              </w:rPr>
              <w:t xml:space="preserve">  140</w:t>
            </w:r>
          </w:p>
        </w:tc>
      </w:tr>
      <w:tr>
        <w:trPr>
          <w:trHeight w:val="31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w:t>
            </w:r>
          </w:p>
        </w:tc>
        <w:tc>
          <w:tcPr>
            <w:tcW w:w="3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LIST OF ADDRESSEES  149</w:t>
            </w:r>
          </w:p>
        </w:tc>
        <w:tc>
          <w:tcPr>
            <w:tcW w:w="5620" w:type="dxa"/>
            <w:vAlign w:val="bottom"/>
          </w:tcPr>
          <w:p>
            <w:pPr>
              <w:spacing w:after="0"/>
              <w:rPr>
                <w:sz w:val="24"/>
                <w:szCs w:val="24"/>
                <w:color w:val="auto"/>
              </w:rPr>
            </w:pPr>
          </w:p>
        </w:tc>
      </w:tr>
      <w:tr>
        <w:trPr>
          <w:trHeight w:val="31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w:t>
            </w:r>
          </w:p>
        </w:tc>
        <w:tc>
          <w:tcPr>
            <w:tcW w:w="8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FORMS OF NOTIFICATION OF WITHDRAWAL OR ACCESSION OF ONE OR MORE SELLER(S)  151</w:t>
            </w:r>
          </w:p>
        </w:tc>
      </w:tr>
    </w:tbl>
    <w:p>
      <w:pPr>
        <w:spacing w:after="0" w:line="52"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color w:val="auto"/>
        </w:rPr>
        <w:t>SCHEDULE 8 LIST OF SELLERS</w:t>
        <w:tab/>
        <w:t>154</w:t>
      </w:r>
    </w:p>
    <w:p>
      <w:pPr>
        <w:spacing w:after="0" w:line="67"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20"/>
          <w:szCs w:val="20"/>
          <w:color w:val="auto"/>
        </w:rPr>
        <w:t>SCHEDULE 9 LIST OF CALENDAR DATES OF THE TRANSACTION</w:t>
        <w:tab/>
        <w:t>155</w:t>
      </w:r>
    </w:p>
    <w:p>
      <w:pPr>
        <w:spacing w:after="0" w:line="81" w:lineRule="exact"/>
        <w:rPr>
          <w:sz w:val="20"/>
          <w:szCs w:val="20"/>
          <w:color w:val="auto"/>
        </w:rPr>
      </w:pPr>
    </w:p>
    <w:p>
      <w:pPr>
        <w:spacing w:after="0"/>
        <w:tabs>
          <w:tab w:leader="none" w:pos="9220" w:val="left"/>
        </w:tabs>
        <w:rPr>
          <w:sz w:val="20"/>
          <w:szCs w:val="20"/>
          <w:color w:val="auto"/>
        </w:rPr>
      </w:pPr>
      <w:r>
        <w:rPr>
          <w:rFonts w:ascii="Times New Roman" w:cs="Times New Roman" w:eastAsia="Times New Roman" w:hAnsi="Times New Roman"/>
          <w:sz w:val="20"/>
          <w:szCs w:val="20"/>
          <w:color w:val="auto"/>
        </w:rPr>
        <w:t>SCHEDULE 10 REPORTING DOCUMENT RELATING TO THE SOLD RECEIVABLES (ARTICLE 10.3.3)</w:t>
        <w:tab/>
        <w:t>164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11 CONFORMITY WARRANTIES FOR REMAINING PURCHASABLE RECEIVABLES</w:t>
            </w:r>
          </w:p>
        </w:tc>
        <w:tc>
          <w:tcPr>
            <w:tcW w:w="1740" w:type="dxa"/>
            <w:vAlign w:val="bottom"/>
          </w:tcPr>
          <w:p>
            <w:pPr>
              <w:jc w:val="right"/>
              <w:ind w:right="1241"/>
              <w:spacing w:after="0"/>
              <w:rPr>
                <w:sz w:val="20"/>
                <w:szCs w:val="20"/>
                <w:color w:val="auto"/>
              </w:rPr>
            </w:pPr>
            <w:r>
              <w:rPr>
                <w:rFonts w:ascii="Times New Roman" w:cs="Times New Roman" w:eastAsia="Times New Roman" w:hAnsi="Times New Roman"/>
                <w:sz w:val="20"/>
                <w:szCs w:val="20"/>
                <w:color w:val="auto"/>
              </w:rPr>
              <w:t>177</w:t>
            </w:r>
          </w:p>
        </w:tc>
      </w:tr>
      <w:tr>
        <w:trPr>
          <w:trHeight w:val="29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12 LIST OF EXCLUDED DEBTORS  184</w:t>
            </w:r>
          </w:p>
        </w:tc>
        <w:tc>
          <w:tcPr>
            <w:tcW w:w="1740" w:type="dxa"/>
            <w:vAlign w:val="bottom"/>
          </w:tcPr>
          <w:p>
            <w:pPr>
              <w:spacing w:after="0"/>
              <w:rPr>
                <w:sz w:val="24"/>
                <w:szCs w:val="24"/>
                <w:color w:val="auto"/>
              </w:rPr>
            </w:pPr>
          </w:p>
        </w:tc>
      </w:tr>
      <w:tr>
        <w:trPr>
          <w:trHeight w:val="311"/>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13 FORM OF CALCULATION LETTER  188</w:t>
            </w:r>
          </w:p>
        </w:tc>
        <w:tc>
          <w:tcPr>
            <w:tcW w:w="1740" w:type="dxa"/>
            <w:vAlign w:val="bottom"/>
          </w:tcPr>
          <w:p>
            <w:pPr>
              <w:spacing w:after="0"/>
              <w:rPr>
                <w:sz w:val="24"/>
                <w:szCs w:val="24"/>
                <w:color w:val="auto"/>
              </w:rPr>
            </w:pPr>
          </w:p>
        </w:tc>
      </w:tr>
      <w:tr>
        <w:trPr>
          <w:trHeight w:val="310"/>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14 FINANCIAL COVENANTS DEFINITIONS  189</w:t>
            </w:r>
          </w:p>
        </w:tc>
        <w:tc>
          <w:tcPr>
            <w:tcW w:w="1740" w:type="dxa"/>
            <w:vAlign w:val="bottom"/>
          </w:tcPr>
          <w:p>
            <w:pPr>
              <w:spacing w:after="0"/>
              <w:rPr>
                <w:sz w:val="24"/>
                <w:szCs w:val="24"/>
                <w:color w:val="auto"/>
              </w:rPr>
            </w:pPr>
          </w:p>
        </w:tc>
      </w:tr>
      <w:tr>
        <w:trPr>
          <w:trHeight w:val="29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15 [</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  200</w:t>
            </w:r>
          </w:p>
        </w:tc>
        <w:tc>
          <w:tcPr>
            <w:tcW w:w="1740" w:type="dxa"/>
            <w:vAlign w:val="bottom"/>
          </w:tcPr>
          <w:p>
            <w:pPr>
              <w:spacing w:after="0"/>
              <w:rPr>
                <w:sz w:val="24"/>
                <w:szCs w:val="24"/>
                <w:color w:val="auto"/>
              </w:rPr>
            </w:pPr>
          </w:p>
        </w:tc>
      </w:tr>
      <w:tr>
        <w:trPr>
          <w:trHeight w:val="311"/>
        </w:trPr>
        <w:tc>
          <w:tcPr>
            <w:tcW w:w="10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16 CALCULATION FORMULAE OF THE DISCOUNT RESERVE AND OF THE ASSIGNMENT COSTS  201</w:t>
            </w:r>
          </w:p>
        </w:tc>
      </w:tr>
      <w:tr>
        <w:trPr>
          <w:trHeight w:val="31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17</w:t>
            </w:r>
          </w:p>
        </w:tc>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FORM OF NOTICE FOR MAXIMUM AMOUNT OF THE PURCHASER'S FUNDING</w:t>
            </w:r>
          </w:p>
        </w:tc>
        <w:tc>
          <w:tcPr>
            <w:tcW w:w="1740" w:type="dxa"/>
            <w:vAlign w:val="bottom"/>
          </w:tcPr>
          <w:p>
            <w:pPr>
              <w:jc w:val="right"/>
              <w:ind w:right="1241"/>
              <w:spacing w:after="0"/>
              <w:rPr>
                <w:sz w:val="20"/>
                <w:szCs w:val="20"/>
                <w:color w:val="auto"/>
              </w:rPr>
            </w:pPr>
            <w:r>
              <w:rPr>
                <w:rFonts w:ascii="Times New Roman" w:cs="Times New Roman" w:eastAsia="Times New Roman" w:hAnsi="Times New Roman"/>
                <w:sz w:val="20"/>
                <w:szCs w:val="20"/>
                <w:color w:val="auto"/>
              </w:rPr>
              <w:t>207</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18</w:t>
            </w:r>
          </w:p>
        </w:tc>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LIST OF THE COLLECTION ACCOUNTS (AS OF THE 2025 AMENDMENT DATE)</w:t>
            </w:r>
          </w:p>
        </w:tc>
        <w:tc>
          <w:tcPr>
            <w:tcW w:w="1740" w:type="dxa"/>
            <w:vAlign w:val="bottom"/>
          </w:tcPr>
          <w:p>
            <w:pPr>
              <w:jc w:val="right"/>
              <w:ind w:right="1261"/>
              <w:spacing w:after="0"/>
              <w:rPr>
                <w:sz w:val="20"/>
                <w:szCs w:val="20"/>
                <w:color w:val="auto"/>
              </w:rPr>
            </w:pPr>
            <w:r>
              <w:rPr>
                <w:rFonts w:ascii="Times New Roman" w:cs="Times New Roman" w:eastAsia="Times New Roman" w:hAnsi="Times New Roman"/>
                <w:sz w:val="20"/>
                <w:szCs w:val="20"/>
                <w:color w:val="auto"/>
              </w:rPr>
              <w:t>208</w:t>
            </w:r>
          </w:p>
        </w:tc>
      </w:tr>
      <w:tr>
        <w:trPr>
          <w:trHeight w:val="311"/>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19</w:t>
            </w:r>
          </w:p>
        </w:tc>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DATA PROCESSING  209</w:t>
            </w:r>
          </w:p>
        </w:tc>
        <w:tc>
          <w:tcPr>
            <w:tcW w:w="1740" w:type="dxa"/>
            <w:vAlign w:val="bottom"/>
          </w:tcPr>
          <w:p>
            <w:pPr>
              <w:spacing w:after="0"/>
              <w:rPr>
                <w:sz w:val="24"/>
                <w:szCs w:val="24"/>
                <w:color w:val="auto"/>
              </w:rPr>
            </w:pPr>
          </w:p>
        </w:tc>
      </w:tr>
      <w:tr>
        <w:trPr>
          <w:trHeight w:val="31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20</w:t>
            </w:r>
          </w:p>
        </w:tc>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CREDIT AND COLLECTION POLICIES  212</w:t>
            </w:r>
          </w:p>
        </w:tc>
        <w:tc>
          <w:tcPr>
            <w:tcW w:w="1740" w:type="dxa"/>
            <w:vAlign w:val="bottom"/>
          </w:tcPr>
          <w:p>
            <w:pPr>
              <w:spacing w:after="0"/>
              <w:rPr>
                <w:sz w:val="24"/>
                <w:szCs w:val="24"/>
                <w:color w:val="auto"/>
              </w:rPr>
            </w:pPr>
          </w:p>
        </w:tc>
      </w:tr>
    </w:tbl>
    <w:p>
      <w:pPr>
        <w:sectPr>
          <w:pgSz w:w="11900" w:h="16838" w:orient="portrait"/>
          <w:cols w:equalWidth="0" w:num="1">
            <w:col w:w="10460"/>
          </w:cols>
          <w:pgMar w:left="320" w:top="1440" w:right="1119" w:bottom="1440" w:gutter="0" w:footer="0" w:header="0"/>
        </w:sectPr>
      </w:pPr>
    </w:p>
    <w:bookmarkStart w:id="151" w:name="page152"/>
    <w:bookmarkEnd w:id="151"/>
    <w:p>
      <w:pPr>
        <w:spacing w:after="0" w:line="37"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BETWEEN:</w:t>
      </w:r>
    </w:p>
    <w:p>
      <w:pPr>
        <w:spacing w:after="0" w:line="189" w:lineRule="exact"/>
        <w:rPr>
          <w:sz w:val="20"/>
          <w:szCs w:val="20"/>
          <w:color w:val="auto"/>
        </w:rPr>
      </w:pPr>
    </w:p>
    <w:p>
      <w:pPr>
        <w:jc w:val="both"/>
        <w:ind w:left="640" w:hanging="637"/>
        <w:spacing w:after="0" w:line="324" w:lineRule="auto"/>
        <w:rPr>
          <w:sz w:val="20"/>
          <w:szCs w:val="20"/>
          <w:color w:val="auto"/>
        </w:rPr>
      </w:pPr>
      <w:r>
        <w:rPr>
          <w:rFonts w:ascii="Times New Roman" w:cs="Times New Roman" w:eastAsia="Times New Roman" w:hAnsi="Times New Roman"/>
          <w:sz w:val="20"/>
          <w:szCs w:val="20"/>
          <w:b w:val="1"/>
          <w:bCs w:val="1"/>
          <w:color w:val="auto"/>
        </w:rPr>
        <w:t>ESTER FINANCE TECHNOLOGIES</w:t>
      </w:r>
      <w:r>
        <w:rPr>
          <w:rFonts w:ascii="Times New Roman" w:cs="Times New Roman" w:eastAsia="Times New Roman" w:hAnsi="Times New Roman"/>
          <w:sz w:val="20"/>
          <w:szCs w:val="20"/>
          <w:color w:val="auto"/>
        </w:rPr>
        <w:t>, a company incorporated under French law and authorised as a specialized credit institution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établissement de crédit spécialisé</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 Nanterre under the number 414 886 226, whose representative is duly authorised for the purpose of this Agreement (the</w:t>
      </w: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40" w:hanging="637"/>
        <w:spacing w:after="0" w:line="341" w:lineRule="auto"/>
        <w:rPr>
          <w:sz w:val="20"/>
          <w:szCs w:val="20"/>
          <w:color w:val="auto"/>
        </w:rPr>
      </w:pPr>
      <w:r>
        <w:rPr>
          <w:rFonts w:ascii="Times New Roman" w:cs="Times New Roman" w:eastAsia="Times New Roman" w:hAnsi="Times New Roman"/>
          <w:sz w:val="19"/>
          <w:szCs w:val="19"/>
          <w:b w:val="1"/>
          <w:bCs w:val="1"/>
          <w:color w:val="auto"/>
        </w:rPr>
        <w:t>CREDIT AGRICOLE CORPORATE AND INVESTMENT BANK</w:t>
      </w:r>
      <w:r>
        <w:rPr>
          <w:rFonts w:ascii="Times New Roman" w:cs="Times New Roman" w:eastAsia="Times New Roman" w:hAnsi="Times New Roman"/>
          <w:sz w:val="19"/>
          <w:szCs w:val="19"/>
          <w:color w:val="auto"/>
        </w:rPr>
        <w:t>, a company incorporated under French law and authorised as a credit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institution (</w:t>
      </w:r>
      <w:r>
        <w:rPr>
          <w:rFonts w:ascii="Times New Roman" w:cs="Times New Roman" w:eastAsia="Times New Roman" w:hAnsi="Times New Roman"/>
          <w:sz w:val="19"/>
          <w:szCs w:val="19"/>
          <w:i w:val="1"/>
          <w:iCs w:val="1"/>
          <w:color w:val="auto"/>
        </w:rPr>
        <w:t>établissement de crédit</w:t>
      </w:r>
      <w:r>
        <w:rPr>
          <w:rFonts w:ascii="Times New Roman" w:cs="Times New Roman" w:eastAsia="Times New Roman" w:hAnsi="Times New Roman"/>
          <w:sz w:val="19"/>
          <w:szCs w:val="19"/>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19"/>
          <w:szCs w:val="19"/>
          <w:i w:val="1"/>
          <w:iCs w:val="1"/>
          <w:color w:val="auto"/>
        </w:rPr>
        <w:t>registre du commerce et des sociétés</w:t>
      </w:r>
      <w:r>
        <w:rPr>
          <w:rFonts w:ascii="Times New Roman" w:cs="Times New Roman" w:eastAsia="Times New Roman" w:hAnsi="Times New Roman"/>
          <w:sz w:val="19"/>
          <w:szCs w:val="19"/>
          <w:color w:val="auto"/>
        </w:rPr>
        <w:t>) of Nanterre under the number 304 187 701, whose representatives are duly authorised for the purpose of this Agreement ("</w:t>
      </w:r>
      <w:r>
        <w:rPr>
          <w:rFonts w:ascii="Times New Roman" w:cs="Times New Roman" w:eastAsia="Times New Roman" w:hAnsi="Times New Roman"/>
          <w:sz w:val="19"/>
          <w:szCs w:val="19"/>
          <w:b w:val="1"/>
          <w:bCs w:val="1"/>
          <w:color w:val="auto"/>
        </w:rPr>
        <w:t>CREDIT</w:t>
      </w:r>
    </w:p>
    <w:p>
      <w:pPr>
        <w:ind w:left="640"/>
        <w:spacing w:after="0"/>
        <w:rPr>
          <w:sz w:val="20"/>
          <w:szCs w:val="20"/>
          <w:color w:val="auto"/>
        </w:rPr>
      </w:pPr>
      <w:r>
        <w:rPr>
          <w:rFonts w:ascii="Times New Roman" w:cs="Times New Roman" w:eastAsia="Times New Roman" w:hAnsi="Times New Roman"/>
          <w:sz w:val="20"/>
          <w:szCs w:val="20"/>
          <w:b w:val="1"/>
          <w:bCs w:val="1"/>
          <w:color w:val="auto"/>
        </w:rPr>
        <w:t>AGRICOLE CORPORATE AND INVESTMENT BANK</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Lead Arranger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Calculation Agent</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640" w:hanging="637"/>
        <w:spacing w:after="0" w:line="347" w:lineRule="auto"/>
        <w:rPr>
          <w:sz w:val="20"/>
          <w:szCs w:val="20"/>
          <w:color w:val="auto"/>
        </w:rPr>
      </w:pPr>
      <w:r>
        <w:rPr>
          <w:rFonts w:ascii="Times New Roman" w:cs="Times New Roman" w:eastAsia="Times New Roman" w:hAnsi="Times New Roman"/>
          <w:sz w:val="20"/>
          <w:szCs w:val="20"/>
          <w:b w:val="1"/>
          <w:bCs w:val="1"/>
          <w:color w:val="auto"/>
        </w:rPr>
        <w:t xml:space="preserve">DUNLOP TYRES LTD, </w:t>
      </w:r>
      <w:r>
        <w:rPr>
          <w:rFonts w:ascii="Times New Roman" w:cs="Times New Roman" w:eastAsia="Times New Roman" w:hAnsi="Times New Roman"/>
          <w:sz w:val="20"/>
          <w:szCs w:val="20"/>
          <w:color w:val="auto"/>
        </w:rPr>
        <w:t>a company incorporated under the laws of England and Wales with company number 1792065 whose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 is situated at 2920 Trident Court Solihull Parkway, Birmingham Business Park, Birmingham, England, B37 7YN, whose representative is duly authorised for the purpose of this Agreement (the "</w:t>
      </w:r>
      <w:r>
        <w:rPr>
          <w:rFonts w:ascii="Times New Roman" w:cs="Times New Roman" w:eastAsia="Times New Roman" w:hAnsi="Times New Roman"/>
          <w:sz w:val="20"/>
          <w:szCs w:val="20"/>
          <w:b w:val="1"/>
          <w:bCs w:val="1"/>
          <w:color w:val="auto"/>
        </w:rPr>
        <w:t>Centralising Unit</w:t>
      </w:r>
      <w:r>
        <w:rPr>
          <w:rFonts w:ascii="Times New Roman" w:cs="Times New Roman" w:eastAsia="Times New Roman" w:hAnsi="Times New Roman"/>
          <w:sz w:val="20"/>
          <w:szCs w:val="20"/>
          <w:color w:val="auto"/>
        </w:rPr>
        <w:t>");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companies </w:t>
      </w:r>
      <w:r>
        <w:rPr>
          <w:rFonts w:ascii="Times New Roman" w:cs="Times New Roman" w:eastAsia="Times New Roman" w:hAnsi="Times New Roman"/>
          <w:sz w:val="20"/>
          <w:szCs w:val="20"/>
          <w:color w:val="auto"/>
        </w:rPr>
        <w:t>listed in SCHEDULE 8 (each of them as 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WHEREAS:</w:t>
      </w:r>
    </w:p>
    <w:p>
      <w:pPr>
        <w:spacing w:after="0" w:line="108" w:lineRule="exact"/>
        <w:rPr>
          <w:sz w:val="20"/>
          <w:szCs w:val="20"/>
          <w:color w:val="auto"/>
        </w:rPr>
      </w:pPr>
    </w:p>
    <w:p>
      <w:pPr>
        <w:jc w:val="both"/>
        <w:ind w:left="660" w:hanging="647"/>
        <w:spacing w:after="0" w:line="280" w:lineRule="auto"/>
        <w:rPr>
          <w:sz w:val="20"/>
          <w:szCs w:val="20"/>
          <w:color w:val="auto"/>
        </w:rPr>
      </w:pPr>
      <w:r>
        <w:rPr>
          <w:rFonts w:ascii="Times New Roman" w:cs="Times New Roman" w:eastAsia="Times New Roman" w:hAnsi="Times New Roman"/>
          <w:sz w:val="20"/>
          <w:szCs w:val="20"/>
          <w:color w:val="auto"/>
        </w:rPr>
        <w:t>GOODYEAR FRANCE S.A.S. (previously named GOODYEAR DUNLOP TIRES FRANCE S.A.S.) (the "</w:t>
      </w:r>
      <w:r>
        <w:rPr>
          <w:rFonts w:ascii="Times New Roman" w:cs="Times New Roman" w:eastAsia="Times New Roman" w:hAnsi="Times New Roman"/>
          <w:sz w:val="20"/>
          <w:szCs w:val="20"/>
          <w:b w:val="1"/>
          <w:bCs w:val="1"/>
          <w:color w:val="auto"/>
        </w:rPr>
        <w:t>French Seller</w:t>
      </w:r>
      <w:r>
        <w:rPr>
          <w:rFonts w:ascii="Times New Roman" w:cs="Times New Roman" w:eastAsia="Times New Roman" w:hAnsi="Times New Roman"/>
          <w:sz w:val="20"/>
          <w:szCs w:val="20"/>
          <w:color w:val="auto"/>
        </w:rPr>
        <w:t>"), GOODYEAR GERMANY GmbH (previously named GOODYEAR DUNLOP TIRES GERMANY GmbH) (the "</w:t>
      </w:r>
      <w:r>
        <w:rPr>
          <w:rFonts w:ascii="Times New Roman" w:cs="Times New Roman" w:eastAsia="Times New Roman" w:hAnsi="Times New Roman"/>
          <w:sz w:val="20"/>
          <w:szCs w:val="20"/>
          <w:b w:val="1"/>
          <w:bCs w:val="1"/>
          <w:color w:val="auto"/>
        </w:rPr>
        <w:t>German Seller</w:t>
      </w:r>
      <w:r>
        <w:rPr>
          <w:rFonts w:ascii="Times New Roman" w:cs="Times New Roman" w:eastAsia="Times New Roman" w:hAnsi="Times New Roman"/>
          <w:sz w:val="20"/>
          <w:szCs w:val="20"/>
          <w:color w:val="auto"/>
        </w:rPr>
        <w:t>"), GOODYEAR TIRES ITALIA S.P.A (previously named GOODYEAR DUNLOP TIRES ITALIA S.P.A) (the "</w:t>
      </w:r>
      <w:r>
        <w:rPr>
          <w:rFonts w:ascii="Times New Roman" w:cs="Times New Roman" w:eastAsia="Times New Roman" w:hAnsi="Times New Roman"/>
          <w:sz w:val="20"/>
          <w:szCs w:val="20"/>
          <w:b w:val="1"/>
          <w:bCs w:val="1"/>
          <w:color w:val="auto"/>
        </w:rPr>
        <w:t>Italian Seller</w:t>
      </w:r>
      <w:r>
        <w:rPr>
          <w:rFonts w:ascii="Times New Roman" w:cs="Times New Roman" w:eastAsia="Times New Roman" w:hAnsi="Times New Roman"/>
          <w:sz w:val="20"/>
          <w:szCs w:val="20"/>
          <w:color w:val="auto"/>
        </w:rPr>
        <w:t>"), GOODYEAR TIRES ESPAÑA, S.A. (previously named GOODYEAR DUNLOP TIRES ESPAÑA, S.A.) (the "</w:t>
      </w:r>
      <w:r>
        <w:rPr>
          <w:rFonts w:ascii="Times New Roman" w:cs="Times New Roman" w:eastAsia="Times New Roman" w:hAnsi="Times New Roman"/>
          <w:sz w:val="20"/>
          <w:szCs w:val="20"/>
          <w:b w:val="1"/>
          <w:bCs w:val="1"/>
          <w:color w:val="auto"/>
        </w:rPr>
        <w:t>Spanish Seller</w:t>
      </w:r>
      <w:r>
        <w:rPr>
          <w:rFonts w:ascii="Times New Roman" w:cs="Times New Roman" w:eastAsia="Times New Roman" w:hAnsi="Times New Roman"/>
          <w:sz w:val="20"/>
          <w:szCs w:val="20"/>
          <w:color w:val="auto"/>
        </w:rPr>
        <w:t>"), GOODYEAR TYRES UK Ltd (previously named GOODYEAR DUNLOP TYRES UK Ltd) (the "</w:t>
      </w:r>
      <w:r>
        <w:rPr>
          <w:rFonts w:ascii="Times New Roman" w:cs="Times New Roman" w:eastAsia="Times New Roman" w:hAnsi="Times New Roman"/>
          <w:sz w:val="20"/>
          <w:szCs w:val="20"/>
          <w:b w:val="1"/>
          <w:bCs w:val="1"/>
          <w:color w:val="auto"/>
        </w:rPr>
        <w:t>UK Seller</w:t>
      </w:r>
      <w:r>
        <w:rPr>
          <w:rFonts w:ascii="Times New Roman" w:cs="Times New Roman" w:eastAsia="Times New Roman" w:hAnsi="Times New Roman"/>
          <w:sz w:val="20"/>
          <w:szCs w:val="20"/>
          <w:color w:val="auto"/>
        </w:rPr>
        <w:t>") and GOODYEAR OPERATIONS S.A. (the "</w:t>
      </w:r>
      <w:r>
        <w:rPr>
          <w:rFonts w:ascii="Times New Roman" w:cs="Times New Roman" w:eastAsia="Times New Roman" w:hAnsi="Times New Roman"/>
          <w:sz w:val="20"/>
          <w:szCs w:val="20"/>
          <w:b w:val="1"/>
          <w:bCs w:val="1"/>
          <w:color w:val="auto"/>
        </w:rPr>
        <w:t>Luxembourg Seller</w:t>
      </w:r>
      <w:r>
        <w:rPr>
          <w:rFonts w:ascii="Times New Roman" w:cs="Times New Roman" w:eastAsia="Times New Roman" w:hAnsi="Times New Roman"/>
          <w:sz w:val="20"/>
          <w:szCs w:val="20"/>
          <w:color w:val="auto"/>
        </w:rPr>
        <w:t>") are in the business of manufacturing and/or supplying tyres and activities relating thereto, and hold receivables over certain customers.</w:t>
      </w:r>
    </w:p>
    <w:p>
      <w:pPr>
        <w:spacing w:after="0" w:line="70" w:lineRule="exact"/>
        <w:rPr>
          <w:sz w:val="20"/>
          <w:szCs w:val="20"/>
          <w:color w:val="auto"/>
        </w:rPr>
      </w:pPr>
    </w:p>
    <w:p>
      <w:pPr>
        <w:jc w:val="both"/>
        <w:ind w:left="660" w:hanging="647"/>
        <w:spacing w:after="0" w:line="311" w:lineRule="auto"/>
        <w:rPr>
          <w:sz w:val="20"/>
          <w:szCs w:val="20"/>
          <w:color w:val="auto"/>
        </w:rPr>
      </w:pPr>
      <w:r>
        <w:rPr>
          <w:rFonts w:ascii="Times New Roman" w:cs="Times New Roman" w:eastAsia="Times New Roman" w:hAnsi="Times New Roman"/>
          <w:sz w:val="19"/>
          <w:szCs w:val="19"/>
          <w:color w:val="auto"/>
        </w:rPr>
        <w:t>In order to provide financing to certain European Subsidiaries of GOODYEAR, CREDIT AGRICOLE CORPORATE AND INVESTMENT BANK has proposed to set up a securitisation transaction by way of the sale, on an ongoing basis, of trade receivables resulting from the ordinary business of the Sellers in the United Kingdom, France, Germany, Italy and Spain (the "</w:t>
      </w:r>
      <w:r>
        <w:rPr>
          <w:rFonts w:ascii="Times New Roman" w:cs="Times New Roman" w:eastAsia="Times New Roman" w:hAnsi="Times New Roman"/>
          <w:sz w:val="19"/>
          <w:szCs w:val="19"/>
          <w:b w:val="1"/>
          <w:bCs w:val="1"/>
          <w:color w:val="auto"/>
        </w:rPr>
        <w:t>Securitisation Transaction</w:t>
      </w:r>
      <w:r>
        <w:rPr>
          <w:rFonts w:ascii="Times New Roman" w:cs="Times New Roman" w:eastAsia="Times New Roman" w:hAnsi="Times New Roman"/>
          <w:sz w:val="19"/>
          <w:szCs w:val="19"/>
          <w:color w:val="auto"/>
        </w:rPr>
        <w:t>").</w:t>
      </w:r>
    </w:p>
    <w:p>
      <w:pPr>
        <w:spacing w:after="0" w:line="55" w:lineRule="exact"/>
        <w:rPr>
          <w:sz w:val="20"/>
          <w:szCs w:val="20"/>
          <w:color w:val="auto"/>
        </w:rPr>
      </w:pPr>
    </w:p>
    <w:p>
      <w:pPr>
        <w:jc w:val="both"/>
        <w:ind w:left="660" w:hanging="647"/>
        <w:spacing w:after="0" w:line="301" w:lineRule="auto"/>
        <w:rPr>
          <w:sz w:val="20"/>
          <w:szCs w:val="20"/>
          <w:color w:val="auto"/>
        </w:rPr>
      </w:pPr>
      <w:r>
        <w:rPr>
          <w:rFonts w:ascii="Times New Roman" w:cs="Times New Roman" w:eastAsia="Times New Roman" w:hAnsi="Times New Roman"/>
          <w:sz w:val="19"/>
          <w:szCs w:val="19"/>
          <w:color w:val="auto"/>
        </w:rPr>
        <w:t>Pursuant to the Securitisation Transaction, existing and future domestic trade receivables will be purchased by the Purchaser from the Sellers on an ongoing basis and in accordance with receivables purchase agreements governed (i) by French law, in respect of the French Seller, the Luxembourg Seller and the Spanish Seller, (ii) English law, in respect of the UK Seller and the Luxembourg Seller and (iii) German law, in respect of the German Seller and the Luxembourg Seller (together, the "</w:t>
      </w:r>
      <w:r>
        <w:rPr>
          <w:rFonts w:ascii="Times New Roman" w:cs="Times New Roman" w:eastAsia="Times New Roman" w:hAnsi="Times New Roman"/>
          <w:sz w:val="19"/>
          <w:szCs w:val="19"/>
          <w:b w:val="1"/>
          <w:bCs w:val="1"/>
          <w:color w:val="auto"/>
        </w:rPr>
        <w:t>Receivables Purchase Agreements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64" w:lineRule="exact"/>
        <w:rPr>
          <w:sz w:val="20"/>
          <w:szCs w:val="20"/>
          <w:color w:val="auto"/>
        </w:rPr>
      </w:pPr>
    </w:p>
    <w:p>
      <w:pPr>
        <w:jc w:val="both"/>
        <w:ind w:hanging="647"/>
        <w:spacing w:after="0" w:line="283" w:lineRule="auto"/>
        <w:rPr>
          <w:sz w:val="20"/>
          <w:szCs w:val="20"/>
          <w:color w:val="auto"/>
        </w:rPr>
      </w:pPr>
      <w:r>
        <w:rPr>
          <w:rFonts w:ascii="Times New Roman" w:cs="Times New Roman" w:eastAsia="Times New Roman" w:hAnsi="Times New Roman"/>
          <w:sz w:val="20"/>
          <w:szCs w:val="20"/>
          <w:color w:val="auto"/>
        </w:rPr>
        <w:t>The Purchaser has agreed to acquire certain existing trade receivables (the "</w:t>
      </w:r>
      <w:r>
        <w:rPr>
          <w:rFonts w:ascii="Times New Roman" w:cs="Times New Roman" w:eastAsia="Times New Roman" w:hAnsi="Times New Roman"/>
          <w:sz w:val="20"/>
          <w:szCs w:val="20"/>
          <w:b w:val="1"/>
          <w:bCs w:val="1"/>
          <w:color w:val="auto"/>
        </w:rPr>
        <w:t>Remaining Purchasable Receivables</w:t>
      </w:r>
      <w:r>
        <w:rPr>
          <w:rFonts w:ascii="Times New Roman" w:cs="Times New Roman" w:eastAsia="Times New Roman" w:hAnsi="Times New Roman"/>
          <w:sz w:val="20"/>
          <w:szCs w:val="20"/>
          <w:color w:val="auto"/>
        </w:rPr>
        <w:t>") and future trade receivables (the "</w:t>
      </w:r>
      <w:r>
        <w:rPr>
          <w:rFonts w:ascii="Times New Roman" w:cs="Times New Roman" w:eastAsia="Times New Roman" w:hAnsi="Times New Roman"/>
          <w:sz w:val="20"/>
          <w:szCs w:val="20"/>
          <w:b w:val="1"/>
          <w:bCs w:val="1"/>
          <w:color w:val="auto"/>
        </w:rPr>
        <w:t>Ongoing Purchasable Receivables</w:t>
      </w:r>
      <w:r>
        <w:rPr>
          <w:rFonts w:ascii="Times New Roman" w:cs="Times New Roman" w:eastAsia="Times New Roman" w:hAnsi="Times New Roman"/>
          <w:sz w:val="20"/>
          <w:szCs w:val="20"/>
          <w:color w:val="auto"/>
        </w:rPr>
        <w:t>") held and to be held by the Sellers subject to the terms and conditions contained in this Agreement and in the Receivables Purchase Agreements. Furthermore, the Purchaser shall refinance the purchase of Refinanced Ongoing Purchasable Receivables and the Refinanced Remaining Purchasable Receivables by ITALASSET FINANCE S.R.L. through the subscription and funding of Italian Notes.</w:t>
      </w:r>
    </w:p>
    <w:p>
      <w:pPr>
        <w:spacing w:after="0" w:line="79" w:lineRule="exact"/>
        <w:rPr>
          <w:sz w:val="20"/>
          <w:szCs w:val="20"/>
          <w:color w:val="auto"/>
        </w:rPr>
      </w:pPr>
    </w:p>
    <w:p>
      <w:pPr>
        <w:jc w:val="both"/>
        <w:ind w:hanging="647"/>
        <w:spacing w:after="0" w:line="289" w:lineRule="auto"/>
        <w:rPr>
          <w:sz w:val="20"/>
          <w:szCs w:val="20"/>
          <w:color w:val="auto"/>
        </w:rPr>
      </w:pPr>
      <w:r>
        <w:rPr>
          <w:rFonts w:ascii="Times New Roman" w:cs="Times New Roman" w:eastAsia="Times New Roman" w:hAnsi="Times New Roman"/>
          <w:sz w:val="20"/>
          <w:szCs w:val="20"/>
          <w:color w:val="auto"/>
        </w:rPr>
        <w:t>The Purchaser shall fund the acquisition of (i) the Ongoing Purchasable Receivables, (ii) the Remaining Purchasable Receivables and (iii) the Italian Notes issued in order to refinance the purchase on an ongoing basis by ITALASSET FINANCE S.R.L. of existing and future domestic trade receivables from the Italian RPA Sellers against Eligible Debtors located in Italy:</w:t>
      </w:r>
    </w:p>
    <w:p>
      <w:pPr>
        <w:spacing w:after="0" w:line="56" w:lineRule="exact"/>
        <w:rPr>
          <w:sz w:val="20"/>
          <w:szCs w:val="20"/>
          <w:color w:val="auto"/>
        </w:rPr>
      </w:pPr>
    </w:p>
    <w:p>
      <w:pPr>
        <w:ind w:left="1500" w:hanging="366"/>
        <w:spacing w:after="0" w:line="315" w:lineRule="auto"/>
        <w:tabs>
          <w:tab w:leader="none" w:pos="149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partly out of a senior deposit (the "</w:t>
      </w:r>
      <w:r>
        <w:rPr>
          <w:rFonts w:ascii="Times New Roman" w:cs="Times New Roman" w:eastAsia="Times New Roman" w:hAnsi="Times New Roman"/>
          <w:sz w:val="20"/>
          <w:szCs w:val="20"/>
          <w:b w:val="1"/>
          <w:bCs w:val="1"/>
          <w:color w:val="auto"/>
        </w:rPr>
        <w:t>Senior Deposit</w:t>
      </w:r>
      <w:r>
        <w:rPr>
          <w:rFonts w:ascii="Times New Roman" w:cs="Times New Roman" w:eastAsia="Times New Roman" w:hAnsi="Times New Roman"/>
          <w:sz w:val="20"/>
          <w:szCs w:val="20"/>
          <w:color w:val="auto"/>
        </w:rPr>
        <w:t>") effected by the Depositor with the Purchaser in accordance with a master senior deposit agreement (the "</w:t>
      </w:r>
      <w:r>
        <w:rPr>
          <w:rFonts w:ascii="Times New Roman" w:cs="Times New Roman" w:eastAsia="Times New Roman" w:hAnsi="Times New Roman"/>
          <w:sz w:val="20"/>
          <w:szCs w:val="20"/>
          <w:b w:val="1"/>
          <w:bCs w:val="1"/>
          <w:color w:val="auto"/>
        </w:rPr>
        <w:t>Master Senior Deposit Agreement</w:t>
      </w:r>
      <w:r>
        <w:rPr>
          <w:rFonts w:ascii="Times New Roman" w:cs="Times New Roman" w:eastAsia="Times New Roman" w:hAnsi="Times New Roman"/>
          <w:sz w:val="20"/>
          <w:szCs w:val="20"/>
          <w:color w:val="auto"/>
        </w:rPr>
        <w:t>"); and</w:t>
      </w:r>
    </w:p>
    <w:p>
      <w:pPr>
        <w:spacing w:after="0" w:line="34" w:lineRule="exact"/>
        <w:rPr>
          <w:rFonts w:ascii="Times New Roman" w:cs="Times New Roman" w:eastAsia="Times New Roman" w:hAnsi="Times New Roman"/>
          <w:sz w:val="20"/>
          <w:szCs w:val="20"/>
          <w:color w:val="auto"/>
        </w:rPr>
      </w:pPr>
    </w:p>
    <w:p>
      <w:pPr>
        <w:jc w:val="both"/>
        <w:ind w:left="1500" w:hanging="366"/>
        <w:spacing w:after="0" w:line="286" w:lineRule="auto"/>
        <w:tabs>
          <w:tab w:leader="none" w:pos="149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partly by way of set-off against any amount due and payable by the Centralising Unit to the Purchaser in connection with a subordinated deposit (the "</w:t>
      </w:r>
      <w:r>
        <w:rPr>
          <w:rFonts w:ascii="Times New Roman" w:cs="Times New Roman" w:eastAsia="Times New Roman" w:hAnsi="Times New Roman"/>
          <w:sz w:val="20"/>
          <w:szCs w:val="20"/>
          <w:b w:val="1"/>
          <w:bCs w:val="1"/>
          <w:color w:val="auto"/>
        </w:rPr>
        <w:t>Subordinated Deposit</w:t>
      </w:r>
      <w:r>
        <w:rPr>
          <w:rFonts w:ascii="Times New Roman" w:cs="Times New Roman" w:eastAsia="Times New Roman" w:hAnsi="Times New Roman"/>
          <w:sz w:val="20"/>
          <w:szCs w:val="20"/>
          <w:color w:val="auto"/>
        </w:rPr>
        <w:t>") to be effected by the Centralising Unit, with the Purchaser in accordance with the terms and conditions of a master subordinated deposit agreement (the "</w:t>
      </w:r>
      <w:r>
        <w:rPr>
          <w:rFonts w:ascii="Times New Roman" w:cs="Times New Roman" w:eastAsia="Times New Roman" w:hAnsi="Times New Roman"/>
          <w:sz w:val="20"/>
          <w:szCs w:val="20"/>
          <w:b w:val="1"/>
          <w:bCs w:val="1"/>
          <w:color w:val="auto"/>
        </w:rPr>
        <w:t>Master Subordinated Deposit Agreement</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hanging="647"/>
        <w:spacing w:after="0" w:line="331" w:lineRule="auto"/>
        <w:rPr>
          <w:sz w:val="20"/>
          <w:szCs w:val="20"/>
          <w:color w:val="auto"/>
        </w:rPr>
      </w:pPr>
      <w:r>
        <w:rPr>
          <w:rFonts w:ascii="Times New Roman" w:cs="Times New Roman" w:eastAsia="Times New Roman" w:hAnsi="Times New Roman"/>
          <w:sz w:val="20"/>
          <w:szCs w:val="20"/>
          <w:color w:val="auto"/>
        </w:rPr>
        <w:t xml:space="preserve">The receivable held by the Depositor over the Purchaser in connection with the repayment of the Senior Deposit shall be assigned to a French </w:t>
      </w:r>
      <w:r>
        <w:rPr>
          <w:rFonts w:ascii="Times New Roman" w:cs="Times New Roman" w:eastAsia="Times New Roman" w:hAnsi="Times New Roman"/>
          <w:sz w:val="20"/>
          <w:szCs w:val="20"/>
          <w:i w:val="1"/>
          <w:iCs w:val="1"/>
          <w:color w:val="auto"/>
        </w:rPr>
        <w:t xml:space="preserve">fonds commun de titrisation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set up in accordance with Articles L.214-24 I), II), XI) and XII), L.214-166-1, L.214-167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 L.214-168 to L.214-175-8, L.214-180 to L.214-186, L.231-4, L.231-7 and R.214-217 to R.214-235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 which shall issue related units. Such units may be subscribed by any Issuer (as defined in SCHEDULE 1 (</w:t>
      </w:r>
      <w:r>
        <w:rPr>
          <w:rFonts w:ascii="Times New Roman" w:cs="Times New Roman" w:eastAsia="Times New Roman" w:hAnsi="Times New Roman"/>
          <w:sz w:val="20"/>
          <w:szCs w:val="20"/>
          <w:i w:val="1"/>
          <w:iCs w:val="1"/>
          <w:color w:val="auto"/>
        </w:rPr>
        <w:t>Master Definition Schedule</w:t>
      </w:r>
      <w:r>
        <w:rPr>
          <w:rFonts w:ascii="Times New Roman" w:cs="Times New Roman" w:eastAsia="Times New Roman" w:hAnsi="Times New Roman"/>
          <w:sz w:val="20"/>
          <w:szCs w:val="20"/>
          <w:color w:val="auto"/>
        </w:rPr>
        <w:t>)) or any Fund Subscriber (as defined in SCHEDULE 1 (</w:t>
      </w:r>
      <w:r>
        <w:rPr>
          <w:rFonts w:ascii="Times New Roman" w:cs="Times New Roman" w:eastAsia="Times New Roman" w:hAnsi="Times New Roman"/>
          <w:sz w:val="20"/>
          <w:szCs w:val="20"/>
          <w:i w:val="1"/>
          <w:iCs w:val="1"/>
          <w:color w:val="auto"/>
        </w:rPr>
        <w:t>Master Definition Schedule</w:t>
      </w:r>
      <w:r>
        <w:rPr>
          <w:rFonts w:ascii="Times New Roman" w:cs="Times New Roman" w:eastAsia="Times New Roman" w:hAnsi="Times New Roman"/>
          <w:sz w:val="20"/>
          <w:szCs w:val="20"/>
          <w:color w:val="auto"/>
        </w:rPr>
        <w:t>)), pursuant to the terms and conditions of subscription agreements to be entered into between the Fund and each Issuer and Fund Subscriber (the "</w:t>
      </w:r>
      <w:r>
        <w:rPr>
          <w:rFonts w:ascii="Times New Roman" w:cs="Times New Roman" w:eastAsia="Times New Roman" w:hAnsi="Times New Roman"/>
          <w:sz w:val="20"/>
          <w:szCs w:val="20"/>
          <w:b w:val="1"/>
          <w:bCs w:val="1"/>
          <w:color w:val="auto"/>
        </w:rPr>
        <w:t>Subscription Agreements</w:t>
      </w:r>
      <w:r>
        <w:rPr>
          <w:rFonts w:ascii="Times New Roman" w:cs="Times New Roman" w:eastAsia="Times New Roman" w:hAnsi="Times New Roman"/>
          <w:sz w:val="20"/>
          <w:szCs w:val="20"/>
          <w:color w:val="auto"/>
        </w:rPr>
        <w:t>"), in the following conditions:</w:t>
      </w:r>
    </w:p>
    <w:p>
      <w:pPr>
        <w:spacing w:after="0" w:line="21" w:lineRule="exact"/>
        <w:rPr>
          <w:sz w:val="20"/>
          <w:szCs w:val="20"/>
          <w:color w:val="auto"/>
        </w:rPr>
      </w:pPr>
    </w:p>
    <w:p>
      <w:pPr>
        <w:jc w:val="both"/>
        <w:ind w:left="1300" w:hanging="656"/>
        <w:spacing w:after="0" w:line="215" w:lineRule="auto"/>
        <w:tabs>
          <w:tab w:leader="none" w:pos="129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corresponding Fund Subscriber has exercised its Fund Subscriber Option (as defined below) and until rescission thereof by such Fund Subscriber, each Issuer shall fund the subscription of units, by either (x) issuing commercial paper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or (y) in the event that the Issuer is not capable to issue Notes in the commercial paper market, exercising its rights under a liquidity agreement (a "</w:t>
      </w:r>
      <w:r>
        <w:rPr>
          <w:rFonts w:ascii="Times New Roman" w:cs="Times New Roman" w:eastAsia="Times New Roman" w:hAnsi="Times New Roman"/>
          <w:sz w:val="20"/>
          <w:szCs w:val="20"/>
          <w:b w:val="1"/>
          <w:bCs w:val="1"/>
          <w:color w:val="auto"/>
        </w:rPr>
        <w:t>Liquidity Agreement</w:t>
      </w:r>
      <w:r>
        <w:rPr>
          <w:rFonts w:ascii="Times New Roman" w:cs="Times New Roman" w:eastAsia="Times New Roman" w:hAnsi="Times New Roman"/>
          <w:sz w:val="20"/>
          <w:szCs w:val="20"/>
          <w:color w:val="auto"/>
        </w:rPr>
        <w:t>") entered into with credit institutions (the "</w:t>
      </w:r>
      <w:r>
        <w:rPr>
          <w:rFonts w:ascii="Times New Roman" w:cs="Times New Roman" w:eastAsia="Times New Roman" w:hAnsi="Times New Roman"/>
          <w:sz w:val="20"/>
          <w:szCs w:val="20"/>
          <w:b w:val="1"/>
          <w:bCs w:val="1"/>
          <w:color w:val="auto"/>
        </w:rPr>
        <w:t>Liquidity Banks</w:t>
      </w:r>
      <w:r>
        <w:rPr>
          <w:rFonts w:ascii="Times New Roman" w:cs="Times New Roman" w:eastAsia="Times New Roman" w:hAnsi="Times New Roman"/>
          <w:sz w:val="20"/>
          <w:szCs w:val="20"/>
          <w:color w:val="auto"/>
        </w:rPr>
        <w:t>"), pursuant to which the Liquidity Banks have undertaken to either acquire from such Issuer all or part of the units which cannot be funded through the issuance of Notes or grant a facility to finance or refinance the subscription of such units;</w:t>
      </w:r>
    </w:p>
    <w:p>
      <w:pPr>
        <w:spacing w:after="0" w:line="110" w:lineRule="exact"/>
        <w:rPr>
          <w:rFonts w:ascii="Times New Roman" w:cs="Times New Roman" w:eastAsia="Times New Roman" w:hAnsi="Times New Roman"/>
          <w:sz w:val="20"/>
          <w:szCs w:val="20"/>
          <w:color w:val="auto"/>
        </w:rPr>
      </w:pPr>
    </w:p>
    <w:p>
      <w:pPr>
        <w:jc w:val="both"/>
        <w:ind w:left="1500" w:hanging="366"/>
        <w:spacing w:after="0" w:line="338" w:lineRule="auto"/>
        <w:tabs>
          <w:tab w:leader="none" w:pos="149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notice given by any Fund Subscriber to, among others, the Centralising Unit, the Calculation Agent and the Fund, of its intention to exercise such option, such Fund Subscriber shall directly subscribe to units issued by the Funds (the "</w:t>
      </w:r>
      <w:r>
        <w:rPr>
          <w:rFonts w:ascii="Times New Roman" w:cs="Times New Roman" w:eastAsia="Times New Roman" w:hAnsi="Times New Roman"/>
          <w:sz w:val="20"/>
          <w:szCs w:val="20"/>
          <w:b w:val="1"/>
          <w:bCs w:val="1"/>
          <w:color w:val="auto"/>
        </w:rPr>
        <w:t>Fund Subscriber Option</w:t>
      </w:r>
      <w:r>
        <w:rPr>
          <w:rFonts w:ascii="Times New Roman" w:cs="Times New Roman" w:eastAsia="Times New Roman" w:hAnsi="Times New Roman"/>
          <w:sz w:val="20"/>
          <w:szCs w:val="20"/>
          <w:color w:val="auto"/>
        </w:rPr>
        <w:t>"). Upon the exercise of</w:t>
      </w:r>
    </w:p>
    <w:p>
      <w:pPr>
        <w:sectPr>
          <w:pgSz w:w="11900" w:h="16838" w:orient="portrait"/>
          <w:cols w:equalWidth="0" w:num="1">
            <w:col w:w="10580"/>
          </w:cols>
          <w:pgMar w:left="980" w:top="1440" w:right="339" w:bottom="1440" w:gutter="0" w:footer="0" w:header="0"/>
        </w:sectPr>
      </w:pPr>
    </w:p>
    <w:bookmarkStart w:id="153" w:name="page154"/>
    <w:bookmarkEnd w:id="153"/>
    <w:p>
      <w:pPr>
        <w:spacing w:after="0" w:line="95" w:lineRule="exact"/>
        <w:rPr>
          <w:sz w:val="20"/>
          <w:szCs w:val="20"/>
          <w:color w:val="auto"/>
        </w:rPr>
      </w:pPr>
    </w:p>
    <w:p>
      <w:pPr>
        <w:jc w:val="both"/>
        <w:ind w:left="1500"/>
        <w:spacing w:after="0" w:line="338" w:lineRule="auto"/>
        <w:rPr>
          <w:sz w:val="20"/>
          <w:szCs w:val="20"/>
          <w:color w:val="auto"/>
        </w:rPr>
      </w:pPr>
      <w:r>
        <w:rPr>
          <w:rFonts w:ascii="Times New Roman" w:cs="Times New Roman" w:eastAsia="Times New Roman" w:hAnsi="Times New Roman"/>
          <w:sz w:val="20"/>
          <w:szCs w:val="20"/>
          <w:color w:val="auto"/>
        </w:rPr>
        <w:t>such Fund Subscriber Option and until rescission thereof by such Fund Subscriber, the obligation of the corresponding Issuer to subscribe to units issued by the Fund under the Subscription Agreement to which such Issuer is a party shall be suspended.</w:t>
      </w:r>
    </w:p>
    <w:p>
      <w:pPr>
        <w:spacing w:after="0" w:line="50" w:lineRule="exact"/>
        <w:rPr>
          <w:sz w:val="20"/>
          <w:szCs w:val="20"/>
          <w:color w:val="auto"/>
        </w:rPr>
      </w:pPr>
    </w:p>
    <w:p>
      <w:pPr>
        <w:jc w:val="both"/>
        <w:ind w:hanging="647"/>
        <w:spacing w:after="0" w:line="291" w:lineRule="auto"/>
        <w:rPr>
          <w:sz w:val="20"/>
          <w:szCs w:val="20"/>
          <w:color w:val="auto"/>
        </w:rPr>
      </w:pPr>
      <w:r>
        <w:rPr>
          <w:rFonts w:ascii="Times New Roman" w:cs="Times New Roman" w:eastAsia="Times New Roman" w:hAnsi="Times New Roman"/>
          <w:sz w:val="20"/>
          <w:szCs w:val="20"/>
          <w:color w:val="auto"/>
        </w:rPr>
        <w:t>The Centralising Unit shall be appointed by the Sellers to act as their agent (</w:t>
      </w:r>
      <w:r>
        <w:rPr>
          <w:rFonts w:ascii="Times New Roman" w:cs="Times New Roman" w:eastAsia="Times New Roman" w:hAnsi="Times New Roman"/>
          <w:sz w:val="20"/>
          <w:szCs w:val="20"/>
          <w:i w:val="1"/>
          <w:iCs w:val="1"/>
          <w:color w:val="auto"/>
        </w:rPr>
        <w:t>mandataire</w:t>
      </w:r>
      <w:r>
        <w:rPr>
          <w:rFonts w:ascii="Times New Roman" w:cs="Times New Roman" w:eastAsia="Times New Roman" w:hAnsi="Times New Roman"/>
          <w:sz w:val="20"/>
          <w:szCs w:val="20"/>
          <w:color w:val="auto"/>
        </w:rPr>
        <w:t>) for the purposes of carrying out certain activities, in accordance with the provisions of this general master purchase agreement, including the execution of certain amendments hereto (the "</w:t>
      </w:r>
      <w:r>
        <w:rPr>
          <w:rFonts w:ascii="Times New Roman" w:cs="Times New Roman" w:eastAsia="Times New Roman" w:hAnsi="Times New Roman"/>
          <w:sz w:val="20"/>
          <w:szCs w:val="20"/>
          <w:b w:val="1"/>
          <w:bCs w:val="1"/>
          <w:color w:val="auto"/>
        </w:rPr>
        <w:t>General Master Purchase Agreement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58" w:lineRule="exact"/>
        <w:rPr>
          <w:sz w:val="20"/>
          <w:szCs w:val="20"/>
          <w:color w:val="auto"/>
        </w:rPr>
      </w:pPr>
    </w:p>
    <w:p>
      <w:pPr>
        <w:jc w:val="both"/>
        <w:ind w:hanging="647"/>
        <w:spacing w:after="0" w:line="311" w:lineRule="auto"/>
        <w:rPr>
          <w:sz w:val="20"/>
          <w:szCs w:val="20"/>
          <w:color w:val="auto"/>
        </w:rPr>
      </w:pPr>
      <w:r>
        <w:rPr>
          <w:rFonts w:ascii="Times New Roman" w:cs="Times New Roman" w:eastAsia="Times New Roman" w:hAnsi="Times New Roman"/>
          <w:sz w:val="20"/>
          <w:szCs w:val="20"/>
          <w:color w:val="auto"/>
        </w:rPr>
        <w:t>For the purposes of the General Master Purchase Agreement and the relevant Receivables Purchase Agreement, the Purchaser shall appoint the Sellers for the recovery of collections in accordance with a Collection Mandate (the "</w:t>
      </w:r>
      <w:r>
        <w:rPr>
          <w:rFonts w:ascii="Times New Roman" w:cs="Times New Roman" w:eastAsia="Times New Roman" w:hAnsi="Times New Roman"/>
          <w:sz w:val="20"/>
          <w:szCs w:val="20"/>
          <w:b w:val="1"/>
          <w:bCs w:val="1"/>
          <w:color w:val="auto"/>
        </w:rPr>
        <w:t>Collection Mandate</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jc w:val="both"/>
        <w:ind w:hanging="647"/>
        <w:spacing w:after="0" w:line="282" w:lineRule="auto"/>
        <w:rPr>
          <w:sz w:val="20"/>
          <w:szCs w:val="20"/>
          <w:color w:val="auto"/>
        </w:rPr>
      </w:pPr>
      <w:r>
        <w:rPr>
          <w:rFonts w:ascii="Times New Roman" w:cs="Times New Roman" w:eastAsia="Times New Roman" w:hAnsi="Times New Roman"/>
          <w:sz w:val="20"/>
          <w:szCs w:val="20"/>
          <w:color w:val="auto"/>
        </w:rPr>
        <w:t>Due to the number of Sellers and the different Receivables Purchase Agreements under which Ongoing Purchasable Receivables and Remaining Purchasable Receivables will be purchased by the Purchaser, the Parties have agreed to enter into this General Master Purchase Agreement in order to set out a Master Definitions Schedule, common terms, representations and warranties, general covenants and all other provisions provided for by this General Master Purchase Agreement that will apply in respect of the Receivables Purchase Agreements.</w:t>
      </w:r>
    </w:p>
    <w:p>
      <w:pPr>
        <w:sectPr>
          <w:pgSz w:w="11900" w:h="16838" w:orient="portrait"/>
          <w:cols w:equalWidth="0" w:num="1">
            <w:col w:w="10580"/>
          </w:cols>
          <w:pgMar w:left="980" w:top="1440" w:right="339" w:bottom="1440" w:gutter="0" w:footer="0" w:header="0"/>
        </w:sectPr>
      </w:pPr>
    </w:p>
    <w:bookmarkStart w:id="154" w:name="page155"/>
    <w:bookmarkEnd w:id="154"/>
    <w:p>
      <w:pPr>
        <w:spacing w:after="0" w:line="37"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NOW IT IS HEREBY AGREED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CHAPTER I</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351"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38" w:lineRule="exact"/>
        <w:rPr>
          <w:rFonts w:ascii="Times New Roman" w:cs="Times New Roman" w:eastAsia="Times New Roman" w:hAnsi="Times New Roman"/>
          <w:sz w:val="20"/>
          <w:szCs w:val="20"/>
          <w:b w:val="1"/>
          <w:bCs w:val="1"/>
          <w:color w:val="auto"/>
        </w:rPr>
      </w:pPr>
    </w:p>
    <w:p>
      <w:pPr>
        <w:ind w:left="660"/>
        <w:spacing w:after="0" w:line="38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Capitalised terms and expressions used in this Agreement shall have the same meaning as ascribed to such terms and expressions in the Master Definitions Schedule set out in SCHEDULE 1 hereto. The schedules hereto shall form an integral part of this Agreement.</w:t>
      </w:r>
    </w:p>
    <w:p>
      <w:pPr>
        <w:spacing w:after="0" w:line="188" w:lineRule="exact"/>
        <w:rPr>
          <w:sz w:val="20"/>
          <w:szCs w:val="20"/>
          <w:color w:val="auto"/>
        </w:rPr>
      </w:pPr>
    </w:p>
    <w:p>
      <w:pPr>
        <w:ind w:left="1020" w:hanging="502"/>
        <w:spacing w:after="0"/>
        <w:tabs>
          <w:tab w:leader="none" w:pos="102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139" w:lineRule="exact"/>
        <w:rPr>
          <w:sz w:val="20"/>
          <w:szCs w:val="20"/>
          <w:color w:val="auto"/>
        </w:rPr>
      </w:pPr>
    </w:p>
    <w:p>
      <w:pPr>
        <w:ind w:left="660" w:right="20"/>
        <w:spacing w:after="0" w:line="353" w:lineRule="auto"/>
        <w:rPr>
          <w:sz w:val="20"/>
          <w:szCs w:val="20"/>
          <w:color w:val="auto"/>
        </w:rPr>
      </w:pPr>
      <w:r>
        <w:rPr>
          <w:rFonts w:ascii="Times New Roman" w:cs="Times New Roman" w:eastAsia="Times New Roman" w:hAnsi="Times New Roman"/>
          <w:sz w:val="20"/>
          <w:szCs w:val="20"/>
          <w:color w:val="auto"/>
        </w:rPr>
        <w:t>The titles of the Chapters, the Schedules and the Articles (including their paragraphs) used herein and the table of contents are for convenience of reference only, and shall not affect the interpretation of this Agreement.</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Agreement, except if the context calls for another interpretation:</w:t>
      </w:r>
    </w:p>
    <w:p>
      <w:pPr>
        <w:spacing w:after="0" w:line="185" w:lineRule="exact"/>
        <w:rPr>
          <w:sz w:val="20"/>
          <w:szCs w:val="20"/>
          <w:color w:val="auto"/>
        </w:rPr>
      </w:pPr>
    </w:p>
    <w:p>
      <w:pPr>
        <w:ind w:left="2160" w:hanging="366"/>
        <w:spacing w:after="0" w:line="357" w:lineRule="auto"/>
        <w:tabs>
          <w:tab w:leader="none" w:pos="215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Chapters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Schedules</w:t>
      </w:r>
      <w:r>
        <w:rPr>
          <w:rFonts w:ascii="Times New Roman" w:cs="Times New Roman" w:eastAsia="Times New Roman" w:hAnsi="Times New Roman"/>
          <w:sz w:val="20"/>
          <w:szCs w:val="20"/>
          <w:color w:val="auto"/>
        </w:rPr>
        <w:t>" shall be construed as references to the chapters, articles and schedules of this Agreement and references to this Agreement include its recitals and schedules;</w:t>
      </w:r>
    </w:p>
    <w:p>
      <w:pPr>
        <w:spacing w:after="0" w:line="58" w:lineRule="exact"/>
        <w:rPr>
          <w:rFonts w:ascii="Times New Roman" w:cs="Times New Roman" w:eastAsia="Times New Roman" w:hAnsi="Times New Roman"/>
          <w:sz w:val="20"/>
          <w:szCs w:val="20"/>
          <w:color w:val="auto"/>
        </w:rPr>
      </w:pPr>
    </w:p>
    <w:p>
      <w:pPr>
        <w:ind w:left="2140" w:hanging="346"/>
        <w:spacing w:after="0"/>
        <w:tabs>
          <w:tab w:leader="none" w:pos="21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words in the plural shall cover the singular and </w:t>
      </w:r>
      <w:r>
        <w:rPr>
          <w:rFonts w:ascii="Times New Roman" w:cs="Times New Roman" w:eastAsia="Times New Roman" w:hAnsi="Times New Roman"/>
          <w:sz w:val="20"/>
          <w:szCs w:val="20"/>
          <w:i w:val="1"/>
          <w:iCs w:val="1"/>
          <w:color w:val="auto"/>
        </w:rPr>
        <w:t>vice versa</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2140" w:hanging="346"/>
        <w:spacing w:after="0"/>
        <w:tabs>
          <w:tab w:leader="none" w:pos="21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time of the day shall refer to Paris time, unless otherwise stipulated;</w:t>
      </w:r>
    </w:p>
    <w:p>
      <w:pPr>
        <w:spacing w:after="0" w:line="188" w:lineRule="exact"/>
        <w:rPr>
          <w:rFonts w:ascii="Times New Roman" w:cs="Times New Roman" w:eastAsia="Times New Roman" w:hAnsi="Times New Roman"/>
          <w:sz w:val="20"/>
          <w:szCs w:val="20"/>
          <w:color w:val="auto"/>
        </w:rPr>
      </w:pPr>
    </w:p>
    <w:p>
      <w:pPr>
        <w:jc w:val="both"/>
        <w:ind w:left="2160" w:hanging="366"/>
        <w:spacing w:after="0" w:line="338" w:lineRule="auto"/>
        <w:tabs>
          <w:tab w:leader="none" w:pos="215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appearing in this Agreement in a language other than English shall have the meaning ascribed to them under the law of the corresponding jurisdiction and such meaning shall prevail over their translation into English, if any;</w:t>
      </w:r>
    </w:p>
    <w:p>
      <w:pPr>
        <w:spacing w:after="0" w:line="67" w:lineRule="exact"/>
        <w:rPr>
          <w:rFonts w:ascii="Times New Roman" w:cs="Times New Roman" w:eastAsia="Times New Roman" w:hAnsi="Times New Roman"/>
          <w:sz w:val="20"/>
          <w:szCs w:val="20"/>
          <w:color w:val="auto"/>
        </w:rPr>
      </w:pPr>
    </w:p>
    <w:p>
      <w:pPr>
        <w:jc w:val="both"/>
        <w:ind w:left="2160" w:hanging="366"/>
        <w:spacing w:after="0" w:line="334" w:lineRule="auto"/>
        <w:tabs>
          <w:tab w:leader="none" w:pos="215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"person" shall include (i) any natural person, corporation, limited liability company, trust, joint venture, association, company, partnership, governmental authority or other entity and (ii) its permitted assignees, transferees and successors or any person deriving title under or through it; in particular, any reference to GOODYEAR EUROPE BV shall include any successor thereof as a result of any internal corporate reorganisation (without prejudice to Articles 11.3(iii) and 19.3.1(v) hereof);</w:t>
      </w:r>
    </w:p>
    <w:p>
      <w:pPr>
        <w:spacing w:after="0" w:line="73" w:lineRule="exact"/>
        <w:rPr>
          <w:rFonts w:ascii="Times New Roman" w:cs="Times New Roman" w:eastAsia="Times New Roman" w:hAnsi="Times New Roman"/>
          <w:sz w:val="20"/>
          <w:szCs w:val="20"/>
          <w:color w:val="auto"/>
        </w:rPr>
      </w:pPr>
    </w:p>
    <w:p>
      <w:pPr>
        <w:ind w:left="2160" w:hanging="366"/>
        <w:spacing w:after="0" w:line="353" w:lineRule="auto"/>
        <w:tabs>
          <w:tab w:leader="none" w:pos="215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document shall mean such document, as amended, replaced by novation or varied from time to time;</w:t>
      </w:r>
    </w:p>
    <w:p>
      <w:pPr>
        <w:spacing w:after="0" w:line="65" w:lineRule="exact"/>
        <w:rPr>
          <w:rFonts w:ascii="Times New Roman" w:cs="Times New Roman" w:eastAsia="Times New Roman" w:hAnsi="Times New Roman"/>
          <w:sz w:val="20"/>
          <w:szCs w:val="20"/>
          <w:color w:val="auto"/>
        </w:rPr>
      </w:pPr>
    </w:p>
    <w:p>
      <w:pPr>
        <w:ind w:left="2160" w:right="20" w:hanging="366"/>
        <w:spacing w:after="0" w:line="353" w:lineRule="auto"/>
        <w:tabs>
          <w:tab w:leader="none" w:pos="215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Securitisation Document shall be construed to mean such securitisation document, as amended and restated until the date hereof and as may be amended and supplemented from time to time thereafter; and</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91" w:lineRule="exact"/>
        <w:rPr>
          <w:sz w:val="20"/>
          <w:szCs w:val="20"/>
          <w:color w:val="auto"/>
        </w:rPr>
      </w:pPr>
    </w:p>
    <w:p>
      <w:pPr>
        <w:ind w:left="1642" w:hanging="366"/>
        <w:spacing w:after="0" w:line="357" w:lineRule="auto"/>
        <w:tabs>
          <w:tab w:leader="none" w:pos="163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shall be construed as references to the parties to this Agreement, and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shall mean any of the Parties.</w:t>
      </w:r>
    </w:p>
    <w:p>
      <w:pPr>
        <w:spacing w:after="0" w:line="369"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II</w:t>
      </w:r>
    </w:p>
    <w:p>
      <w:pPr>
        <w:spacing w:after="0" w:line="94"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PURPOSE - TERM - CONDITIONS PRECEDENT</w:t>
      </w:r>
    </w:p>
    <w:p>
      <w:pPr>
        <w:spacing w:after="0" w:line="351" w:lineRule="exact"/>
        <w:rPr>
          <w:sz w:val="20"/>
          <w:szCs w:val="20"/>
          <w:color w:val="auto"/>
        </w:rPr>
      </w:pPr>
    </w:p>
    <w:p>
      <w:pPr>
        <w:ind w:left="502" w:hanging="502"/>
        <w:spacing w:after="0"/>
        <w:tabs>
          <w:tab w:leader="none" w:pos="502"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OF THIS AGREEMENT</w:t>
      </w:r>
    </w:p>
    <w:p>
      <w:pPr>
        <w:spacing w:after="0" w:line="125" w:lineRule="exact"/>
        <w:rPr>
          <w:sz w:val="20"/>
          <w:szCs w:val="20"/>
          <w:color w:val="auto"/>
        </w:rPr>
      </w:pPr>
    </w:p>
    <w:p>
      <w:pPr>
        <w:jc w:val="both"/>
        <w:ind w:left="502" w:hanging="502"/>
        <w:spacing w:after="0" w:line="338" w:lineRule="auto"/>
        <w:tabs>
          <w:tab w:leader="none" w:pos="4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terms and conditions of this Agreement, the relevant Receivables Purchase Agreements and, where applicable, the relevant Transfer Deeds, the Sellers shall sell Ongoing Purchasable Receivables and Remaining Purchasable Receivables to the Purchaser and the Purchaser shall purchase Ongoing Purchasable Receivables and Remaining Purchasable Receivables from the Sellers on each Funded Settlement Date during the Replenishment Period.</w:t>
      </w:r>
    </w:p>
    <w:p>
      <w:pPr>
        <w:spacing w:after="0" w:line="175" w:lineRule="exact"/>
        <w:rPr>
          <w:rFonts w:ascii="Times New Roman" w:cs="Times New Roman" w:eastAsia="Times New Roman" w:hAnsi="Times New Roman"/>
          <w:sz w:val="20"/>
          <w:szCs w:val="20"/>
          <w:color w:val="auto"/>
        </w:rPr>
      </w:pPr>
    </w:p>
    <w:p>
      <w:pPr>
        <w:ind w:left="502" w:hanging="502"/>
        <w:spacing w:after="0" w:line="353" w:lineRule="auto"/>
        <w:tabs>
          <w:tab w:leader="none" w:pos="4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Purchaser shall fund the acquisition of Ongoing Purchasable Receivables, Remaining Purchasable Receivables and Italian Notes as follows:</w:t>
      </w:r>
    </w:p>
    <w:p>
      <w:pPr>
        <w:spacing w:after="0" w:line="52" w:lineRule="exact"/>
        <w:rPr>
          <w:rFonts w:ascii="Times New Roman" w:cs="Times New Roman" w:eastAsia="Times New Roman" w:hAnsi="Times New Roman"/>
          <w:sz w:val="20"/>
          <w:szCs w:val="20"/>
          <w:color w:val="auto"/>
        </w:rPr>
      </w:pPr>
    </w:p>
    <w:p>
      <w:pPr>
        <w:jc w:val="both"/>
        <w:ind w:left="1642" w:hanging="366"/>
        <w:spacing w:after="0" w:line="345" w:lineRule="auto"/>
        <w:tabs>
          <w:tab w:leader="none" w:pos="1636"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partly out of a Senior Deposit effected by the Depositor with the Purchaser in accordance with the Master Senior Deposit Agreement, for an amount which shall not exceed the Maximum Amount of the Program, as determined in accordance with Article 6 (</w:t>
      </w:r>
      <w:r>
        <w:rPr>
          <w:rFonts w:ascii="Times New Roman" w:cs="Times New Roman" w:eastAsia="Times New Roman" w:hAnsi="Times New Roman"/>
          <w:sz w:val="20"/>
          <w:szCs w:val="20"/>
          <w:i w:val="1"/>
          <w:iCs w:val="1"/>
          <w:color w:val="auto"/>
        </w:rPr>
        <w:t>Amount of the Purchaser's Funding</w:t>
      </w:r>
      <w:r>
        <w:rPr>
          <w:rFonts w:ascii="Times New Roman" w:cs="Times New Roman" w:eastAsia="Times New Roman" w:hAnsi="Times New Roman"/>
          <w:sz w:val="20"/>
          <w:szCs w:val="20"/>
          <w:color w:val="auto"/>
        </w:rPr>
        <w:t>);</w:t>
      </w:r>
    </w:p>
    <w:p>
      <w:pPr>
        <w:spacing w:after="0" w:line="61"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partly by way of set-off against any amount due and payable by the Centralising Unit to the Purchaser in connection with a Subordinated Deposit to be effected by the Centralising Unit with the Purchaser in accordance with the provisions of the Master Subordinated Deposit Agreement.</w:t>
      </w:r>
    </w:p>
    <w:p>
      <w:pPr>
        <w:spacing w:after="0" w:line="175" w:lineRule="exact"/>
        <w:rPr>
          <w:rFonts w:ascii="Times New Roman" w:cs="Times New Roman" w:eastAsia="Times New Roman" w:hAnsi="Times New Roman"/>
          <w:sz w:val="20"/>
          <w:szCs w:val="20"/>
          <w:color w:val="auto"/>
        </w:rPr>
      </w:pPr>
    </w:p>
    <w:p>
      <w:pPr>
        <w:jc w:val="both"/>
        <w:ind w:left="502" w:hanging="502"/>
        <w:spacing w:after="0" w:line="330" w:lineRule="auto"/>
        <w:tabs>
          <w:tab w:leader="none" w:pos="4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acknowledge that the Centralising Unit is acting for the purposes of this Agreement, in its own name and behalf, but also in the name and on behalf of the Sellers, pursuant to the terms of a mandate (</w:t>
      </w:r>
      <w:r>
        <w:rPr>
          <w:rFonts w:ascii="Times New Roman" w:cs="Times New Roman" w:eastAsia="Times New Roman" w:hAnsi="Times New Roman"/>
          <w:sz w:val="20"/>
          <w:szCs w:val="20"/>
          <w:i w:val="1"/>
          <w:iCs w:val="1"/>
          <w:color w:val="auto"/>
        </w:rPr>
        <w:t>mandat</w:t>
      </w:r>
      <w:r>
        <w:rPr>
          <w:rFonts w:ascii="Times New Roman" w:cs="Times New Roman" w:eastAsia="Times New Roman" w:hAnsi="Times New Roman"/>
          <w:sz w:val="20"/>
          <w:szCs w:val="20"/>
          <w:color w:val="auto"/>
        </w:rPr>
        <w:t xml:space="preserve">) expressly granted by each of the Sellers to the Centralising Unit and which the Centralising Unit hereby accepts. By virtue of this mandate, the Sellers appoint the Centralising Unit to act in their name and on their behalf and to perform the following obligations in accordance with the provisions of the Transaction Documents: (i) receive all Payments due by the Purchaser to the Sellers in respect of the Sold Receivables, (ii) make any payment due by the Sellers to the Purchaser and the Agent pursuant to the Transaction Documents, such payments covering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amount due in respect of Actual Collections or Adjusted Collections, (iii) enter into the Current Account relationship set forth in Article 5, (iv) negotiate with the Purchaser, in particular upon the occurrence of any of the events set out in Articles 11, 12 and 13, such negotiation to be conducted outside the UK, (v) deliver to the Purchaser on each</w:t>
      </w:r>
    </w:p>
    <w:p>
      <w:pPr>
        <w:sectPr>
          <w:pgSz w:w="11900" w:h="16838" w:orient="portrait"/>
          <w:cols w:equalWidth="0" w:num="1">
            <w:col w:w="10722"/>
          </w:cols>
          <w:pgMar w:left="838" w:top="1440" w:right="339" w:bottom="1440" w:gutter="0" w:footer="0" w:header="0"/>
        </w:sectPr>
      </w:pPr>
    </w:p>
    <w:bookmarkStart w:id="156" w:name="page157"/>
    <w:bookmarkEnd w:id="156"/>
    <w:p>
      <w:pPr>
        <w:spacing w:after="0" w:line="203" w:lineRule="exact"/>
        <w:rPr>
          <w:sz w:val="20"/>
          <w:szCs w:val="20"/>
          <w:color w:val="auto"/>
        </w:rPr>
      </w:pPr>
    </w:p>
    <w:p>
      <w:pPr>
        <w:jc w:val="both"/>
        <w:ind w:left="502"/>
        <w:spacing w:after="0" w:line="329" w:lineRule="auto"/>
        <w:rPr>
          <w:sz w:val="20"/>
          <w:szCs w:val="20"/>
          <w:color w:val="auto"/>
        </w:rPr>
      </w:pPr>
      <w:r>
        <w:rPr>
          <w:rFonts w:ascii="Times New Roman" w:cs="Times New Roman" w:eastAsia="Times New Roman" w:hAnsi="Times New Roman"/>
          <w:sz w:val="20"/>
          <w:szCs w:val="20"/>
          <w:color w:val="auto"/>
        </w:rPr>
        <w:t xml:space="preserve">Funded Settlement Date during the Replenishment Period, the Transfer Deeds received from the Sellers or executed by the Centralising Unit and, on each Information Date, the List of Purchasable Receivables, (vi) receive or give any notices, mails, or documents provided pursuant to the Transaction Documents, (vii) exercise any rights arising in respect of the Transaction Documents (with the exception of the Master Subordinated Deposit Agreement, in respect of which the Centralising Unit acts in its own name and on its own behalf), (viii) deliver to the Purchaser the Assessment Reports substantially in the form set out in SCHEDULE 3 and (ix) carry out any powers it has as agent of the Seller as set out in Articles 33 and 38, including the negotiation and execution of any amendments provided for under Articles 33 and 38,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nothing in this Agreement shall give the Centralising Unit authority to act on behalf of the Purchaser and in particular it will not perform the obligations of the Sellers under Articles 22 and 23.</w:t>
      </w:r>
    </w:p>
    <w:p>
      <w:pPr>
        <w:spacing w:after="0" w:line="200" w:lineRule="exact"/>
        <w:rPr>
          <w:sz w:val="20"/>
          <w:szCs w:val="20"/>
          <w:color w:val="auto"/>
        </w:rPr>
      </w:pPr>
    </w:p>
    <w:p>
      <w:pPr>
        <w:jc w:val="both"/>
        <w:ind w:left="122"/>
        <w:spacing w:after="0" w:line="330" w:lineRule="auto"/>
        <w:rPr>
          <w:sz w:val="20"/>
          <w:szCs w:val="20"/>
          <w:color w:val="auto"/>
        </w:rPr>
      </w:pPr>
      <w:r>
        <w:rPr>
          <w:rFonts w:ascii="Times New Roman" w:cs="Times New Roman" w:eastAsia="Times New Roman" w:hAnsi="Times New Roman"/>
          <w:sz w:val="20"/>
          <w:szCs w:val="20"/>
          <w:color w:val="auto"/>
        </w:rPr>
        <w:t xml:space="preserve">The Sellers (save the Luxembourg Seller) and the Centralising Unit have entered into the Intercompany Arrangements, which provide, among other things, for the allocation of all sums due and/or received in connection with the Transaction Documents to which each Seller and the Centralising Unit is a party. Such Intercompany Arrangements shall provide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that each Seller has an effective recourse against the defaulting Seller and GOODYEAR EUROPE BV for any payment that any Seller or the Centralising Unit may be required to make under the joint and several liability provisions provided for under Article 3.6. The Sellers and the Centralising Unit hereby irrevocably and unconditionally undertake to refrain from exercising any rights of recourse against the Purchaser, the Agent and/or CREDIT AGRICOLE CORPORATE AND INVESTMENT BANK in connection with such allocation.</w:t>
      </w:r>
    </w:p>
    <w:p>
      <w:pPr>
        <w:spacing w:after="0" w:line="184" w:lineRule="exact"/>
        <w:rPr>
          <w:sz w:val="20"/>
          <w:szCs w:val="20"/>
          <w:color w:val="auto"/>
        </w:rPr>
      </w:pPr>
    </w:p>
    <w:p>
      <w:pPr>
        <w:ind w:left="502" w:hanging="502"/>
        <w:spacing w:after="0" w:line="353" w:lineRule="auto"/>
        <w:tabs>
          <w:tab w:leader="none" w:pos="4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Purchaser shall appoint the Sellers to act as collection agents for the servicing of the Sold Receivables, in accordance with the provisions of Article 19.</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45" w:lineRule="auto"/>
        <w:tabs>
          <w:tab w:leader="none" w:pos="4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apply automatically to any Transfer Deed delivered by the Centralising Unit, acting in the name and on behalf of a Seller to the Purchaser or any other similar document agreed between a Seller and the Purchaser, pursuant to the relevant Receivables Purchase Agreement.</w:t>
      </w:r>
    </w:p>
    <w:p>
      <w:pPr>
        <w:spacing w:after="0" w:line="165"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Joint and several liability</w:t>
      </w:r>
    </w:p>
    <w:p>
      <w:pPr>
        <w:spacing w:after="0" w:line="192" w:lineRule="exact"/>
        <w:rPr>
          <w:rFonts w:ascii="Times New Roman" w:cs="Times New Roman" w:eastAsia="Times New Roman" w:hAnsi="Times New Roman"/>
          <w:sz w:val="20"/>
          <w:szCs w:val="20"/>
          <w:b w:val="1"/>
          <w:bCs w:val="1"/>
          <w:color w:val="auto"/>
        </w:rPr>
      </w:pPr>
    </w:p>
    <w:p>
      <w:pPr>
        <w:ind w:left="1022" w:right="20" w:hanging="511"/>
        <w:spacing w:after="0" w:line="353" w:lineRule="auto"/>
        <w:tabs>
          <w:tab w:leader="none" w:pos="1011"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obligations of each Seller under this Agreement shall be several but not joint and shall be construed as if each Seller had entered into a separate agreement with the Purchaser.</w:t>
      </w:r>
    </w:p>
    <w:p>
      <w:pPr>
        <w:spacing w:after="0" w:line="52" w:lineRule="exact"/>
        <w:rPr>
          <w:rFonts w:ascii="Times New Roman" w:cs="Times New Roman" w:eastAsia="Times New Roman" w:hAnsi="Times New Roman"/>
          <w:sz w:val="20"/>
          <w:szCs w:val="20"/>
          <w:color w:val="auto"/>
        </w:rPr>
      </w:pPr>
    </w:p>
    <w:p>
      <w:pPr>
        <w:jc w:val="both"/>
        <w:ind w:left="1022" w:hanging="511"/>
        <w:spacing w:after="0" w:line="338" w:lineRule="auto"/>
        <w:tabs>
          <w:tab w:leader="none" w:pos="1011"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exception to the foregoing, each Seller and the Centralising Unit shall be jointly and severally liable to the Purchaser for the payment by another Seller, GOODYEAR EUROPE BV and/or the Centralising Unit of (i) any sums due under the Transaction Documents and notably (without limitation) for the transfer of Adjusted Collections on the due date to the Purchaser, in accordance with the</w:t>
      </w:r>
    </w:p>
    <w:p>
      <w:pPr>
        <w:sectPr>
          <w:pgSz w:w="11900" w:h="16838" w:orient="portrait"/>
          <w:cols w:equalWidth="0" w:num="1">
            <w:col w:w="10722"/>
          </w:cols>
          <w:pgMar w:left="838" w:top="1440" w:right="339" w:bottom="1440" w:gutter="0" w:footer="0" w:header="0"/>
        </w:sectPr>
      </w:pPr>
    </w:p>
    <w:bookmarkStart w:id="157" w:name="page158"/>
    <w:bookmarkEnd w:id="157"/>
    <w:p>
      <w:pPr>
        <w:spacing w:after="0" w:line="95" w:lineRule="exact"/>
        <w:rPr>
          <w:sz w:val="20"/>
          <w:szCs w:val="20"/>
          <w:color w:val="auto"/>
        </w:rPr>
      </w:pPr>
    </w:p>
    <w:p>
      <w:pPr>
        <w:ind w:left="884"/>
        <w:spacing w:after="0" w:line="353" w:lineRule="auto"/>
        <w:rPr>
          <w:sz w:val="20"/>
          <w:szCs w:val="20"/>
          <w:color w:val="auto"/>
        </w:rPr>
      </w:pPr>
      <w:r>
        <w:rPr>
          <w:rFonts w:ascii="Times New Roman" w:cs="Times New Roman" w:eastAsia="Times New Roman" w:hAnsi="Times New Roman"/>
          <w:sz w:val="20"/>
          <w:szCs w:val="20"/>
          <w:color w:val="auto"/>
        </w:rPr>
        <w:t>provisions of Article 21, and (ii) any claim for damages against a Seller for breach of its representations and warranties or for failure to perform its obligations under this Agreement and the other Transaction Documents to which it is a party.</w:t>
      </w:r>
    </w:p>
    <w:p>
      <w:pPr>
        <w:spacing w:after="0" w:line="52" w:lineRule="exact"/>
        <w:rPr>
          <w:sz w:val="20"/>
          <w:szCs w:val="20"/>
          <w:color w:val="auto"/>
        </w:rPr>
      </w:pPr>
    </w:p>
    <w:p>
      <w:pPr>
        <w:jc w:val="both"/>
        <w:ind w:left="4"/>
        <w:spacing w:after="0" w:line="345" w:lineRule="auto"/>
        <w:rPr>
          <w:sz w:val="20"/>
          <w:szCs w:val="20"/>
          <w:color w:val="auto"/>
        </w:rPr>
      </w:pPr>
      <w:r>
        <w:rPr>
          <w:rFonts w:ascii="Times New Roman" w:cs="Times New Roman" w:eastAsia="Times New Roman" w:hAnsi="Times New Roman"/>
          <w:sz w:val="20"/>
          <w:szCs w:val="20"/>
          <w:color w:val="auto"/>
        </w:rPr>
        <w:t>Each Seller hereby acknowledges and accepts that the benefit of any joint and several liability between Sellers party to the Transaction Documents shall be extended to any New Seller, without any need for additional written consent under this Agreement (other than by the Centralising Unit as contemplated by Articles 33 and 38).</w:t>
      </w:r>
    </w:p>
    <w:p>
      <w:pPr>
        <w:spacing w:after="0" w:line="169" w:lineRule="exact"/>
        <w:rPr>
          <w:sz w:val="20"/>
          <w:szCs w:val="20"/>
          <w:color w:val="auto"/>
        </w:rPr>
      </w:pPr>
    </w:p>
    <w:p>
      <w:pPr>
        <w:jc w:val="both"/>
        <w:ind w:left="884" w:hanging="511"/>
        <w:spacing w:after="0" w:line="338" w:lineRule="auto"/>
        <w:tabs>
          <w:tab w:leader="none" w:pos="87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Parties agree that any claim enforceable under Article 3.6.2 above against the German Seller shall on any date on which payment is requested pursuant to Article 3.6.2 be limited to the amount of its Net Assets less its Registered Share Capital as of such date (the "</w:t>
      </w:r>
      <w:r>
        <w:rPr>
          <w:rFonts w:ascii="Times New Roman" w:cs="Times New Roman" w:eastAsia="Times New Roman" w:hAnsi="Times New Roman"/>
          <w:sz w:val="20"/>
          <w:szCs w:val="20"/>
          <w:b w:val="1"/>
          <w:bCs w:val="1"/>
          <w:color w:val="auto"/>
        </w:rPr>
        <w:t>Free Equity Amount</w:t>
      </w: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both"/>
        <w:ind w:left="4"/>
        <w:spacing w:after="0" w:line="327" w:lineRule="auto"/>
        <w:rPr>
          <w:sz w:val="20"/>
          <w:szCs w:val="20"/>
          <w:color w:val="auto"/>
        </w:rPr>
      </w:pPr>
      <w:r>
        <w:rPr>
          <w:rFonts w:ascii="Times New Roman" w:cs="Times New Roman" w:eastAsia="Times New Roman" w:hAnsi="Times New Roman"/>
          <w:sz w:val="20"/>
          <w:szCs w:val="20"/>
          <w:color w:val="auto"/>
        </w:rPr>
        <w:t>For the purpose of this Article 3.6, "</w:t>
      </w:r>
      <w:r>
        <w:rPr>
          <w:rFonts w:ascii="Times New Roman" w:cs="Times New Roman" w:eastAsia="Times New Roman" w:hAnsi="Times New Roman"/>
          <w:sz w:val="20"/>
          <w:szCs w:val="20"/>
          <w:b w:val="1"/>
          <w:bCs w:val="1"/>
          <w:color w:val="auto"/>
        </w:rPr>
        <w:t>Net Assets</w:t>
      </w:r>
      <w:r>
        <w:rPr>
          <w:rFonts w:ascii="Times New Roman" w:cs="Times New Roman" w:eastAsia="Times New Roman" w:hAnsi="Times New Roman"/>
          <w:sz w:val="20"/>
          <w:szCs w:val="20"/>
          <w:color w:val="auto"/>
        </w:rPr>
        <w:t>" means, in respect of any entity as of any date, the result of (a) the sum of the amounts shown under the balance sheet positions pursuant to § 266 (2) (A), (B), (C), (D) and (E) of the German Commercial Code (</w:t>
      </w:r>
      <w:r>
        <w:rPr>
          <w:rFonts w:ascii="Times New Roman" w:cs="Times New Roman" w:eastAsia="Times New Roman" w:hAnsi="Times New Roman"/>
          <w:sz w:val="20"/>
          <w:szCs w:val="20"/>
          <w:i w:val="1"/>
          <w:iCs w:val="1"/>
          <w:color w:val="auto"/>
        </w:rPr>
        <w:t>Handelsgesetzbuch</w:t>
      </w:r>
      <w:r>
        <w:rPr>
          <w:rFonts w:ascii="Times New Roman" w:cs="Times New Roman" w:eastAsia="Times New Roman" w:hAnsi="Times New Roman"/>
          <w:sz w:val="20"/>
          <w:szCs w:val="20"/>
          <w:color w:val="auto"/>
        </w:rPr>
        <w:t>), with the exception of (i) any loan repayment claims against any of such entity's Affiliates (other than such entity's subsidiaries) (or other, economically equivalent claims, including recourse claims against a defaulting Seller under the Intercompany Arrangements) and (ii) the value of any assets which is not available for distribution to shareholders pursuant to §268</w:t>
      </w:r>
    </w:p>
    <w:p>
      <w:pPr>
        <w:spacing w:after="0" w:line="3" w:lineRule="exact"/>
        <w:rPr>
          <w:sz w:val="20"/>
          <w:szCs w:val="20"/>
          <w:color w:val="auto"/>
        </w:rPr>
      </w:pPr>
    </w:p>
    <w:p>
      <w:pPr>
        <w:jc w:val="both"/>
        <w:ind w:left="4" w:hanging="4"/>
        <w:spacing w:after="0" w:line="328" w:lineRule="auto"/>
        <w:tabs>
          <w:tab w:leader="none" w:pos="29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German Commercial Code, less (b) the sum of the amounts of liabilities shown under the balance sheet positions pursuant to § 266 (3) (B), (C), (D) and (E) of the German Commercial Code, in each case as determined as of such date; and "</w:t>
      </w:r>
      <w:r>
        <w:rPr>
          <w:rFonts w:ascii="Times New Roman" w:cs="Times New Roman" w:eastAsia="Times New Roman" w:hAnsi="Times New Roman"/>
          <w:sz w:val="20"/>
          <w:szCs w:val="20"/>
          <w:b w:val="1"/>
          <w:bCs w:val="1"/>
          <w:color w:val="auto"/>
        </w:rPr>
        <w:t>Registered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 Capital</w:t>
      </w:r>
      <w:r>
        <w:rPr>
          <w:rFonts w:ascii="Times New Roman" w:cs="Times New Roman" w:eastAsia="Times New Roman" w:hAnsi="Times New Roman"/>
          <w:sz w:val="20"/>
          <w:szCs w:val="20"/>
          <w:color w:val="auto"/>
        </w:rPr>
        <w:t>" means, in respect of any entity as of any date, the amount shown under the balance sheet position pursuant to § 266</w:t>
      </w:r>
    </w:p>
    <w:p>
      <w:pPr>
        <w:spacing w:after="0" w:line="2"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 of the German Commercial Code as determined as of such date.</w:t>
      </w:r>
    </w:p>
    <w:p>
      <w:pPr>
        <w:spacing w:after="0" w:line="188" w:lineRule="exact"/>
        <w:rPr>
          <w:rFonts w:ascii="Times New Roman" w:cs="Times New Roman" w:eastAsia="Times New Roman" w:hAnsi="Times New Roman"/>
          <w:sz w:val="20"/>
          <w:szCs w:val="20"/>
          <w:color w:val="auto"/>
        </w:rPr>
      </w:pPr>
    </w:p>
    <w:p>
      <w:pPr>
        <w:jc w:val="both"/>
        <w:ind w:left="884" w:hanging="511"/>
        <w:spacing w:after="0" w:line="330" w:lineRule="auto"/>
        <w:tabs>
          <w:tab w:leader="none" w:pos="873"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upon a payment request to the German Seller under Article 3.6.2 above, the German Seller is of the reasonable opinion that the amount requested exceeds the Free Equity Amount at the time of such request, the German Seller shall provide evidence to the Purchaser that the payment in full of the amount requested would result: in the case of a GmbH Party, in the amount of its Net Assets falling below the amount of its Registered Share Capital, including, without limitation, plausible calculations made by the German Seller and all supporting documents reasonably requested by the Purchaser, and a written statement from the statutory auditors of the German Seller (in case of Article 3.6.3) to the Purchaser to the effect that the amount of the payment requested exceeds the Free Equity Amount of the German Seller (in case of Article 3.6.3).</w:t>
      </w:r>
    </w:p>
    <w:p>
      <w:pPr>
        <w:sectPr>
          <w:pgSz w:w="11900" w:h="16838" w:orient="portrait"/>
          <w:cols w:equalWidth="0" w:num="1">
            <w:col w:w="10584"/>
          </w:cols>
          <w:pgMar w:left="976" w:top="1440" w:right="339" w:bottom="1440" w:gutter="0" w:footer="0" w:header="0"/>
        </w:sectPr>
      </w:pPr>
    </w:p>
    <w:bookmarkStart w:id="158" w:name="page159"/>
    <w:bookmarkEnd w:id="158"/>
    <w:p>
      <w:pPr>
        <w:spacing w:after="0" w:line="95" w:lineRule="exact"/>
        <w:rPr>
          <w:sz w:val="20"/>
          <w:szCs w:val="20"/>
          <w:color w:val="auto"/>
        </w:rPr>
      </w:pPr>
    </w:p>
    <w:p>
      <w:pPr>
        <w:ind w:left="884" w:hanging="511"/>
        <w:spacing w:after="0" w:line="353" w:lineRule="auto"/>
        <w:tabs>
          <w:tab w:leader="none" w:pos="873"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calculating the Free Equity Amount, loans and other contractual liabilities incurred in negligent or wilful violation of the provisions of this Agreement shall be disregarded.</w:t>
      </w:r>
    </w:p>
    <w:p>
      <w:pPr>
        <w:spacing w:after="0" w:line="52" w:lineRule="exact"/>
        <w:rPr>
          <w:sz w:val="20"/>
          <w:szCs w:val="20"/>
          <w:color w:val="auto"/>
        </w:rPr>
      </w:pPr>
    </w:p>
    <w:p>
      <w:pPr>
        <w:jc w:val="both"/>
        <w:ind w:left="4"/>
        <w:spacing w:after="0" w:line="334" w:lineRule="auto"/>
        <w:rPr>
          <w:sz w:val="20"/>
          <w:szCs w:val="20"/>
          <w:color w:val="auto"/>
        </w:rPr>
      </w:pPr>
      <w:r>
        <w:rPr>
          <w:rFonts w:ascii="Times New Roman" w:cs="Times New Roman" w:eastAsia="Times New Roman" w:hAnsi="Times New Roman"/>
          <w:sz w:val="20"/>
          <w:szCs w:val="20"/>
          <w:color w:val="auto"/>
        </w:rPr>
        <w:t>In the event that a payment is requested under Article 3.6.2 above, the German Seller shall realise, to the extent (i) the Free Equity Amount falls short of the amount so requested, (ii) required to enable the German Seller to make the requested payment, and (iii) legally permitted, assets that are shown in the balance sheet with a book value (</w:t>
      </w:r>
      <w:r>
        <w:rPr>
          <w:rFonts w:ascii="Times New Roman" w:cs="Times New Roman" w:eastAsia="Times New Roman" w:hAnsi="Times New Roman"/>
          <w:sz w:val="20"/>
          <w:szCs w:val="20"/>
          <w:i w:val="1"/>
          <w:iCs w:val="1"/>
          <w:color w:val="auto"/>
        </w:rPr>
        <w:t>Buchwert</w:t>
      </w:r>
      <w:r>
        <w:rPr>
          <w:rFonts w:ascii="Times New Roman" w:cs="Times New Roman" w:eastAsia="Times New Roman" w:hAnsi="Times New Roman"/>
          <w:sz w:val="20"/>
          <w:szCs w:val="20"/>
          <w:color w:val="auto"/>
        </w:rPr>
        <w:t>) that is significantly lower than the market value of the assets at the time of such request if such assets are not necessary for the business of the German Seller (</w:t>
      </w:r>
      <w:r>
        <w:rPr>
          <w:rFonts w:ascii="Times New Roman" w:cs="Times New Roman" w:eastAsia="Times New Roman" w:hAnsi="Times New Roman"/>
          <w:sz w:val="20"/>
          <w:szCs w:val="20"/>
          <w:i w:val="1"/>
          <w:iCs w:val="1"/>
          <w:color w:val="auto"/>
        </w:rPr>
        <w:t>betriebsnotwendig</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ind w:left="884" w:hanging="511"/>
        <w:spacing w:after="0" w:line="353" w:lineRule="auto"/>
        <w:tabs>
          <w:tab w:leader="none" w:pos="873"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above restrictions on enforcement shall apply if and to the extent such enforcement relates to any obligations of the German Seller other than under Article 3.6.2.</w:t>
      </w:r>
    </w:p>
    <w:p>
      <w:pPr>
        <w:spacing w:after="0" w:line="173" w:lineRule="exact"/>
        <w:rPr>
          <w:rFonts w:ascii="Times New Roman" w:cs="Times New Roman" w:eastAsia="Times New Roman" w:hAnsi="Times New Roman"/>
          <w:sz w:val="20"/>
          <w:szCs w:val="20"/>
          <w:color w:val="auto"/>
        </w:rPr>
      </w:pPr>
    </w:p>
    <w:p>
      <w:pPr>
        <w:jc w:val="both"/>
        <w:ind w:left="884" w:hanging="511"/>
        <w:spacing w:after="0" w:line="331" w:lineRule="auto"/>
        <w:tabs>
          <w:tab w:leader="none" w:pos="873"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and any other provision of any Transaction Document to the contrary, any joint and several liability, guarantee, indemnity and similar (in nature or in effect) obligations and liabilities of the Luxembourg Seller under the Transaction Documents (including, without limitation, the joint and several liability under the Article 3.6.2) for the obligations of another Seller, GOODYEAR EUROPE BV and/or the Centralising Unit shall be limited at any time to the aggregate amount not exceeding 95% of the greater of:</w:t>
      </w:r>
    </w:p>
    <w:p>
      <w:pPr>
        <w:spacing w:after="0" w:line="178" w:lineRule="exact"/>
        <w:rPr>
          <w:rFonts w:ascii="Times New Roman" w:cs="Times New Roman" w:eastAsia="Times New Roman" w:hAnsi="Times New Roman"/>
          <w:sz w:val="20"/>
          <w:szCs w:val="20"/>
          <w:color w:val="auto"/>
        </w:rPr>
      </w:pPr>
    </w:p>
    <w:p>
      <w:pPr>
        <w:jc w:val="both"/>
        <w:ind w:left="324" w:hanging="324"/>
        <w:spacing w:after="0" w:line="332" w:lineRule="auto"/>
        <w:tabs>
          <w:tab w:leader="none" w:pos="32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Luxembourg Seller's own funds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(as referred to in Annex I to the Grand Ducal Regulation dated 18 December 2015 setting out the form and content of the presentation of the balance sheet and profit and loss account, enforcing the Luxembourg law of 19 December 2002 on the commercial companies' register and the accounting and annual accounts of undertakings, as amended (the "</w:t>
      </w:r>
      <w:r>
        <w:rPr>
          <w:rFonts w:ascii="Times New Roman" w:cs="Times New Roman" w:eastAsia="Times New Roman" w:hAnsi="Times New Roman"/>
          <w:sz w:val="20"/>
          <w:szCs w:val="20"/>
          <w:b w:val="1"/>
          <w:bCs w:val="1"/>
          <w:color w:val="auto"/>
        </w:rPr>
        <w:t>Grand Ducal Regulation</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Own Funds</w:t>
      </w:r>
      <w:r>
        <w:rPr>
          <w:rFonts w:ascii="Times New Roman" w:cs="Times New Roman" w:eastAsia="Times New Roman" w:hAnsi="Times New Roman"/>
          <w:sz w:val="20"/>
          <w:szCs w:val="20"/>
          <w:color w:val="auto"/>
        </w:rPr>
        <w:t>") and of (ii) all subordinated debt owed by the Luxembourg Seller to any of its direct or indirect shareholders (recorded in any of the categories of the debt section (</w:t>
      </w:r>
      <w:r>
        <w:rPr>
          <w:rFonts w:ascii="Times New Roman" w:cs="Times New Roman" w:eastAsia="Times New Roman" w:hAnsi="Times New Roman"/>
          <w:sz w:val="20"/>
          <w:szCs w:val="20"/>
          <w:i w:val="1"/>
          <w:iCs w:val="1"/>
          <w:color w:val="auto"/>
        </w:rPr>
        <w:t>dettes</w:t>
      </w:r>
      <w:r>
        <w:rPr>
          <w:rFonts w:ascii="Times New Roman" w:cs="Times New Roman" w:eastAsia="Times New Roman" w:hAnsi="Times New Roman"/>
          <w:sz w:val="20"/>
          <w:szCs w:val="20"/>
          <w:color w:val="auto"/>
        </w:rPr>
        <w:t>) of Annex I to the Grand Ducal Regulation) and which is not financed directly or indirectly by any amounts raised under the Transaction Documents (the "</w:t>
      </w:r>
      <w:r>
        <w:rPr>
          <w:rFonts w:ascii="Times New Roman" w:cs="Times New Roman" w:eastAsia="Times New Roman" w:hAnsi="Times New Roman"/>
          <w:sz w:val="20"/>
          <w:szCs w:val="20"/>
          <w:b w:val="1"/>
          <w:bCs w:val="1"/>
          <w:color w:val="auto"/>
        </w:rPr>
        <w:t>Intra-Group Debt</w:t>
      </w:r>
      <w:r>
        <w:rPr>
          <w:rFonts w:ascii="Times New Roman" w:cs="Times New Roman" w:eastAsia="Times New Roman" w:hAnsi="Times New Roman"/>
          <w:sz w:val="20"/>
          <w:szCs w:val="20"/>
          <w:color w:val="auto"/>
        </w:rPr>
        <w:t>"), both as determined as at the Luxembourg Seller Accession Effective Date; or</w:t>
      </w:r>
    </w:p>
    <w:p>
      <w:pPr>
        <w:spacing w:after="0" w:line="185" w:lineRule="exact"/>
        <w:rPr>
          <w:rFonts w:ascii="Times New Roman" w:cs="Times New Roman" w:eastAsia="Times New Roman" w:hAnsi="Times New Roman"/>
          <w:sz w:val="20"/>
          <w:szCs w:val="20"/>
          <w:color w:val="auto"/>
        </w:rPr>
      </w:pPr>
    </w:p>
    <w:p>
      <w:pPr>
        <w:ind w:left="324" w:hanging="324"/>
        <w:spacing w:after="0" w:line="353" w:lineRule="auto"/>
        <w:tabs>
          <w:tab w:leader="none" w:pos="32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Own Funds and of (ii) the Intra-Group Debt, both as determined as at the relevant date on which the joint and several liability under the Article 3.6.2 is used,</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it being specified that for the purpose of the present Article 3.6.7:</w:t>
      </w:r>
    </w:p>
    <w:p>
      <w:pPr>
        <w:spacing w:after="0" w:line="293" w:lineRule="exact"/>
        <w:rPr>
          <w:sz w:val="20"/>
          <w:szCs w:val="20"/>
          <w:color w:val="auto"/>
        </w:rPr>
      </w:pPr>
    </w:p>
    <w:p>
      <w:pPr>
        <w:jc w:val="both"/>
        <w:ind w:left="324" w:hanging="324"/>
        <w:spacing w:after="0" w:line="347" w:lineRule="auto"/>
        <w:tabs>
          <w:tab w:leader="none" w:pos="32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 Funds and the Intra-Group Debt shall be valued at their fair value, as determined by an external auditor (</w:t>
      </w:r>
      <w:r>
        <w:rPr>
          <w:rFonts w:ascii="Times New Roman" w:cs="Times New Roman" w:eastAsia="Times New Roman" w:hAnsi="Times New Roman"/>
          <w:sz w:val="20"/>
          <w:szCs w:val="20"/>
          <w:i w:val="1"/>
          <w:iCs w:val="1"/>
          <w:color w:val="auto"/>
        </w:rPr>
        <w:t>réviseur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d'entreprises agréé</w:t>
      </w:r>
      <w:r>
        <w:rPr>
          <w:rFonts w:ascii="Times New Roman" w:cs="Times New Roman" w:eastAsia="Times New Roman" w:hAnsi="Times New Roman"/>
          <w:sz w:val="20"/>
          <w:szCs w:val="20"/>
          <w:color w:val="auto"/>
        </w:rPr>
        <w:t>) designated by the Purchaser in its sole discretion and acting reasonably on the relevant determination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p>
    <w:p>
      <w:pPr>
        <w:sectPr>
          <w:pgSz w:w="11900" w:h="16838" w:orient="portrait"/>
          <w:cols w:equalWidth="0" w:num="1">
            <w:col w:w="10584"/>
          </w:cols>
          <w:pgMar w:left="976" w:top="1440" w:right="339" w:bottom="1440" w:gutter="0" w:footer="0" w:header="0"/>
        </w:sectPr>
      </w:pPr>
    </w:p>
    <w:bookmarkStart w:id="159" w:name="page160"/>
    <w:bookmarkEnd w:id="159"/>
    <w:p>
      <w:pPr>
        <w:spacing w:after="0" w:line="203" w:lineRule="exact"/>
        <w:rPr>
          <w:sz w:val="20"/>
          <w:szCs w:val="20"/>
          <w:color w:val="auto"/>
        </w:rPr>
      </w:pPr>
    </w:p>
    <w:p>
      <w:pPr>
        <w:ind w:left="462" w:hanging="324"/>
        <w:spacing w:after="0" w:line="353" w:lineRule="auto"/>
        <w:tabs>
          <w:tab w:leader="none" w:pos="46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limitations shall not apply to any amounts received under the Transaction Documents directly or indirectly, in any form whatsoever, by the Luxembourg Seller or any of its direct or indirect subsidiaries.</w:t>
      </w:r>
    </w:p>
    <w:p>
      <w:pPr>
        <w:spacing w:after="0" w:line="52" w:lineRule="exact"/>
        <w:rPr>
          <w:rFonts w:ascii="Times New Roman" w:cs="Times New Roman" w:eastAsia="Times New Roman" w:hAnsi="Times New Roman"/>
          <w:sz w:val="20"/>
          <w:szCs w:val="20"/>
          <w:color w:val="auto"/>
        </w:rPr>
      </w:pPr>
    </w:p>
    <w:p>
      <w:pPr>
        <w:jc w:val="both"/>
        <w:ind w:left="1022" w:hanging="511"/>
        <w:spacing w:after="0" w:line="338" w:lineRule="auto"/>
        <w:tabs>
          <w:tab w:leader="none" w:pos="1011"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expressly agree that the Sellers and the Centralising Unit shall not have any responsibility for any non-payment by any Debtor of any sums due in respect of the Sold Receivables, except to the extent that the Purchaser may exercise recourse for such non-payment against the Subordinated Deposit as provided herein and, for the avoidance of any doubt, to the extent of any Deemed Collections in accordance with the provisions of Article 26.</w:t>
      </w:r>
    </w:p>
    <w:p>
      <w:pPr>
        <w:spacing w:after="0" w:line="63"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Appointment of the Agent</w:t>
      </w:r>
    </w:p>
    <w:p>
      <w:pPr>
        <w:spacing w:after="0" w:line="192" w:lineRule="exact"/>
        <w:rPr>
          <w:rFonts w:ascii="Times New Roman" w:cs="Times New Roman" w:eastAsia="Times New Roman" w:hAnsi="Times New Roman"/>
          <w:sz w:val="20"/>
          <w:szCs w:val="20"/>
          <w:color w:val="auto"/>
        </w:rPr>
      </w:pPr>
    </w:p>
    <w:p>
      <w:pPr>
        <w:ind w:left="1022" w:hanging="511"/>
        <w:spacing w:after="0" w:line="353" w:lineRule="auto"/>
        <w:tabs>
          <w:tab w:leader="none" w:pos="1011"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CREDIT AGRICOLE CORPORATE AND INVESTMENT BANK has been appointed as Agent as from 17 October 2024.</w:t>
      </w:r>
    </w:p>
    <w:p>
      <w:pPr>
        <w:spacing w:after="0" w:line="65" w:lineRule="exact"/>
        <w:rPr>
          <w:rFonts w:ascii="Times New Roman" w:cs="Times New Roman" w:eastAsia="Times New Roman" w:hAnsi="Times New Roman"/>
          <w:sz w:val="20"/>
          <w:szCs w:val="20"/>
          <w:color w:val="auto"/>
        </w:rPr>
      </w:pPr>
    </w:p>
    <w:p>
      <w:pPr>
        <w:ind w:left="1002" w:hanging="491"/>
        <w:spacing w:after="0"/>
        <w:tabs>
          <w:tab w:leader="none" w:pos="1002"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and authority of the Agent shall remain in full force and effect until the Commitment Expiry Date.</w:t>
      </w:r>
    </w:p>
    <w:p>
      <w:pPr>
        <w:spacing w:after="0" w:line="188" w:lineRule="exact"/>
        <w:rPr>
          <w:rFonts w:ascii="Times New Roman" w:cs="Times New Roman" w:eastAsia="Times New Roman" w:hAnsi="Times New Roman"/>
          <w:sz w:val="20"/>
          <w:szCs w:val="20"/>
          <w:color w:val="auto"/>
        </w:rPr>
      </w:pPr>
    </w:p>
    <w:p>
      <w:pPr>
        <w:jc w:val="both"/>
        <w:ind w:left="1022" w:hanging="511"/>
        <w:spacing w:after="0" w:line="332" w:lineRule="auto"/>
        <w:tabs>
          <w:tab w:leader="none" w:pos="1011"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each Party hereby agrees that CREDIT AGRICOLE CORPORATE AND INVESTMENT BANK as Agent shall be entitled to sub-delegate all or part of its duties to any service provider designated by it. In relation to any such sub-delegation, (i) CREDIT AGRICOLE CORPORATE AND INVESTMENT BANK as Agent shall remain fully liable for the performance of its duties so delegated under this Agreement and (ii) any service provider shall undertake to comply with all obligations binding CREDIT AGRICOLE CORPORATE AND INVESTMENT BANK as Agent under the relevant Transaction Documents.</w:t>
      </w:r>
    </w:p>
    <w:p>
      <w:pPr>
        <w:spacing w:after="0" w:line="234" w:lineRule="exact"/>
        <w:rPr>
          <w:sz w:val="20"/>
          <w:szCs w:val="20"/>
          <w:color w:val="auto"/>
        </w:rPr>
      </w:pPr>
    </w:p>
    <w:p>
      <w:pPr>
        <w:ind w:left="502" w:hanging="502"/>
        <w:spacing w:after="0"/>
        <w:tabs>
          <w:tab w:leader="none" w:pos="502"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THIS AGREEMENT</w:t>
      </w:r>
    </w:p>
    <w:p>
      <w:pPr>
        <w:spacing w:after="0" w:line="125" w:lineRule="exact"/>
        <w:rPr>
          <w:sz w:val="20"/>
          <w:szCs w:val="20"/>
          <w:color w:val="auto"/>
        </w:rPr>
      </w:pPr>
    </w:p>
    <w:p>
      <w:pPr>
        <w:ind w:left="502" w:hanging="502"/>
        <w:spacing w:after="0" w:line="367" w:lineRule="auto"/>
        <w:tabs>
          <w:tab w:leader="none" w:pos="49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commence on the Closing Date and end on the Program Expiry Date. For the purposes of this Agreement and the Receivables Purchase Agreements, the Parties agree that there shall be two (2) periods:</w:t>
      </w:r>
    </w:p>
    <w:p>
      <w:pPr>
        <w:spacing w:after="0" w:line="39"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Replenishment Period, which commences on the Closing Date and ends on the Commitment Expiry Date (excluded); and</w:t>
      </w:r>
    </w:p>
    <w:p>
      <w:pPr>
        <w:spacing w:after="0" w:line="52"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Amortisation Period, which commences on the Commitment Expiry Date and ends on the Program Expiry Date.</w:t>
      </w:r>
    </w:p>
    <w:p>
      <w:pPr>
        <w:spacing w:after="0" w:line="173"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expressly agree that, in the event that there are any Sold Receivables outstanding on the Program Expiry Date:</w:t>
      </w:r>
    </w:p>
    <w:p>
      <w:pPr>
        <w:spacing w:after="0" w:line="296" w:lineRule="exact"/>
        <w:rPr>
          <w:rFonts w:ascii="Times New Roman" w:cs="Times New Roman" w:eastAsia="Times New Roman" w:hAnsi="Times New Roman"/>
          <w:sz w:val="20"/>
          <w:szCs w:val="20"/>
          <w:color w:val="auto"/>
        </w:rPr>
      </w:pPr>
    </w:p>
    <w:p>
      <w:pPr>
        <w:ind w:left="1522" w:hanging="501"/>
        <w:spacing w:after="0" w:line="353" w:lineRule="auto"/>
        <w:tabs>
          <w:tab w:leader="none" w:pos="1511"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such time as (i) any sums due under the Master Senior Deposit Agreement have been paid, or (ii) the Centralising Unit, acting in the name</w:t>
      </w:r>
    </w:p>
    <w:p>
      <w:pPr>
        <w:sectPr>
          <w:pgSz w:w="11900" w:h="16838" w:orient="portrait"/>
          <w:cols w:equalWidth="0" w:num="1">
            <w:col w:w="10722"/>
          </w:cols>
          <w:pgMar w:left="838" w:top="1440" w:right="339" w:bottom="1440" w:gutter="0" w:footer="0" w:header="0"/>
        </w:sectPr>
      </w:pPr>
    </w:p>
    <w:bookmarkStart w:id="160" w:name="page161"/>
    <w:bookmarkEnd w:id="160"/>
    <w:p>
      <w:pPr>
        <w:spacing w:after="0" w:line="203"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0"/>
          <w:szCs w:val="20"/>
          <w:color w:val="auto"/>
        </w:rPr>
        <w:t>and on behalf of the Sellers, has repurchased all such Sold Receivables from the Purchaser:</w:t>
      </w:r>
    </w:p>
    <w:p>
      <w:pPr>
        <w:spacing w:after="0" w:line="189" w:lineRule="exact"/>
        <w:rPr>
          <w:sz w:val="20"/>
          <w:szCs w:val="20"/>
          <w:color w:val="auto"/>
        </w:rPr>
      </w:pPr>
    </w:p>
    <w:p>
      <w:pPr>
        <w:ind w:left="1642" w:hanging="366"/>
        <w:spacing w:after="0" w:line="353" w:lineRule="auto"/>
        <w:tabs>
          <w:tab w:leader="none" w:pos="163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shall make a payment to the Purchaser for an amount equal to any collections actually received by the Sellers arising in relation to those Sold Receivables which are outstanding; and</w:t>
      </w:r>
    </w:p>
    <w:p>
      <w:pPr>
        <w:spacing w:after="0" w:line="61" w:lineRule="exact"/>
        <w:rPr>
          <w:rFonts w:ascii="Times New Roman" w:cs="Times New Roman" w:eastAsia="Times New Roman" w:hAnsi="Times New Roman"/>
          <w:sz w:val="20"/>
          <w:szCs w:val="20"/>
          <w:color w:val="auto"/>
        </w:rPr>
      </w:pPr>
    </w:p>
    <w:p>
      <w:pPr>
        <w:jc w:val="both"/>
        <w:ind w:left="1642" w:hanging="366"/>
        <w:spacing w:after="0" w:line="332" w:lineRule="auto"/>
        <w:tabs>
          <w:tab w:leader="none" w:pos="163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Conformity Warranties set out in Article 17 (</w:t>
      </w:r>
      <w:r>
        <w:rPr>
          <w:rFonts w:ascii="Times New Roman" w:cs="Times New Roman" w:eastAsia="Times New Roman" w:hAnsi="Times New Roman"/>
          <w:sz w:val="20"/>
          <w:szCs w:val="20"/>
          <w:i w:val="1"/>
          <w:iCs w:val="1"/>
          <w:color w:val="auto"/>
        </w:rPr>
        <w:t>Conformity Warranties for Ongoing Purchasable Receivable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Remaining Purchasable Receivables</w:t>
      </w:r>
      <w:r>
        <w:rPr>
          <w:rFonts w:ascii="Times New Roman" w:cs="Times New Roman" w:eastAsia="Times New Roman" w:hAnsi="Times New Roman"/>
          <w:sz w:val="20"/>
          <w:szCs w:val="20"/>
          <w:color w:val="auto"/>
        </w:rPr>
        <w:t>) and the relevant Seller's covenants in relation to the Sold Receivables as 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 in Articles 10 (</w:t>
      </w:r>
      <w:r>
        <w:rPr>
          <w:rFonts w:ascii="Times New Roman" w:cs="Times New Roman" w:eastAsia="Times New Roman" w:hAnsi="Times New Roman"/>
          <w:sz w:val="20"/>
          <w:szCs w:val="20"/>
          <w:i w:val="1"/>
          <w:iCs w:val="1"/>
          <w:color w:val="auto"/>
        </w:rPr>
        <w:t>General Covenants</w:t>
      </w:r>
      <w:r>
        <w:rPr>
          <w:rFonts w:ascii="Times New Roman" w:cs="Times New Roman" w:eastAsia="Times New Roman" w:hAnsi="Times New Roman"/>
          <w:sz w:val="20"/>
          <w:szCs w:val="20"/>
          <w:color w:val="auto"/>
        </w:rPr>
        <w:t>), 14 (</w:t>
      </w:r>
      <w:r>
        <w:rPr>
          <w:rFonts w:ascii="Times New Roman" w:cs="Times New Roman" w:eastAsia="Times New Roman" w:hAnsi="Times New Roman"/>
          <w:sz w:val="20"/>
          <w:szCs w:val="20"/>
          <w:i w:val="1"/>
          <w:iCs w:val="1"/>
          <w:color w:val="auto"/>
        </w:rPr>
        <w:t>Order of Priority during the Amortisation Period</w:t>
      </w:r>
      <w:r>
        <w:rPr>
          <w:rFonts w:ascii="Times New Roman" w:cs="Times New Roman" w:eastAsia="Times New Roman" w:hAnsi="Times New Roman"/>
          <w:sz w:val="20"/>
          <w:szCs w:val="20"/>
          <w:color w:val="auto"/>
        </w:rPr>
        <w:t>), 19 (</w:t>
      </w:r>
      <w:r>
        <w:rPr>
          <w:rFonts w:ascii="Times New Roman" w:cs="Times New Roman" w:eastAsia="Times New Roman" w:hAnsi="Times New Roman"/>
          <w:sz w:val="20"/>
          <w:szCs w:val="20"/>
          <w:i w:val="1"/>
          <w:iCs w:val="1"/>
          <w:color w:val="auto"/>
        </w:rPr>
        <w:t>Collection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Sold Receivables</w:t>
      </w:r>
      <w:r>
        <w:rPr>
          <w:rFonts w:ascii="Times New Roman" w:cs="Times New Roman" w:eastAsia="Times New Roman" w:hAnsi="Times New Roman"/>
          <w:sz w:val="20"/>
          <w:szCs w:val="20"/>
          <w:color w:val="auto"/>
        </w:rPr>
        <w:t>), 21 (</w:t>
      </w:r>
      <w:r>
        <w:rPr>
          <w:rFonts w:ascii="Times New Roman" w:cs="Times New Roman" w:eastAsia="Times New Roman" w:hAnsi="Times New Roman"/>
          <w:sz w:val="20"/>
          <w:szCs w:val="20"/>
          <w:i w:val="1"/>
          <w:iCs w:val="1"/>
          <w:color w:val="auto"/>
        </w:rPr>
        <w:t>Application of Payments and Payments of collections</w:t>
      </w:r>
      <w:r>
        <w:rPr>
          <w:rFonts w:ascii="Times New Roman" w:cs="Times New Roman" w:eastAsia="Times New Roman" w:hAnsi="Times New Roman"/>
          <w:sz w:val="20"/>
          <w:szCs w:val="20"/>
          <w:color w:val="auto"/>
        </w:rPr>
        <w:t>), 22 (</w:t>
      </w:r>
      <w:r>
        <w:rPr>
          <w:rFonts w:ascii="Times New Roman" w:cs="Times New Roman" w:eastAsia="Times New Roman" w:hAnsi="Times New Roman"/>
          <w:sz w:val="20"/>
          <w:szCs w:val="20"/>
          <w:i w:val="1"/>
          <w:iCs w:val="1"/>
          <w:color w:val="auto"/>
        </w:rPr>
        <w:t>Renegotiation</w:t>
      </w:r>
      <w:r>
        <w:rPr>
          <w:rFonts w:ascii="Times New Roman" w:cs="Times New Roman" w:eastAsia="Times New Roman" w:hAnsi="Times New Roman"/>
          <w:sz w:val="20"/>
          <w:szCs w:val="20"/>
          <w:color w:val="auto"/>
        </w:rPr>
        <w:t>), and 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Representation Mandate</w:t>
      </w:r>
      <w:r>
        <w:rPr>
          <w:rFonts w:ascii="Times New Roman" w:cs="Times New Roman" w:eastAsia="Times New Roman" w:hAnsi="Times New Roman"/>
          <w:sz w:val="20"/>
          <w:szCs w:val="20"/>
          <w:color w:val="auto"/>
        </w:rPr>
        <w:t>) shall remain in force;</w:t>
      </w:r>
    </w:p>
    <w:p>
      <w:pPr>
        <w:spacing w:after="0" w:line="181" w:lineRule="exact"/>
        <w:rPr>
          <w:rFonts w:ascii="Times New Roman" w:cs="Times New Roman" w:eastAsia="Times New Roman" w:hAnsi="Times New Roman"/>
          <w:sz w:val="20"/>
          <w:szCs w:val="20"/>
          <w:color w:val="auto"/>
        </w:rPr>
      </w:pPr>
    </w:p>
    <w:p>
      <w:pPr>
        <w:jc w:val="both"/>
        <w:ind w:left="1522" w:hanging="501"/>
        <w:spacing w:after="0" w:line="345" w:lineRule="auto"/>
        <w:tabs>
          <w:tab w:leader="none" w:pos="151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up to an amount equal to any portion of the Subordinated Deposit that was not reimbursed on the Program Expiry Date plus any Deferred Purchase Price that remained outstanding on such date, any Adjusted Collections shall be refunded to the Centralising Unit.</w:t>
      </w:r>
    </w:p>
    <w:p>
      <w:pPr>
        <w:spacing w:after="0" w:line="57" w:lineRule="exact"/>
        <w:rPr>
          <w:sz w:val="20"/>
          <w:szCs w:val="20"/>
          <w:color w:val="auto"/>
        </w:rPr>
      </w:pPr>
    </w:p>
    <w:p>
      <w:pPr>
        <w:jc w:val="both"/>
        <w:ind w:left="142"/>
        <w:spacing w:after="0" w:line="340" w:lineRule="auto"/>
        <w:rPr>
          <w:sz w:val="20"/>
          <w:szCs w:val="20"/>
          <w:color w:val="auto"/>
        </w:rPr>
      </w:pPr>
      <w:r>
        <w:rPr>
          <w:rFonts w:ascii="Times New Roman" w:cs="Times New Roman" w:eastAsia="Times New Roman" w:hAnsi="Times New Roman"/>
          <w:sz w:val="20"/>
          <w:szCs w:val="20"/>
          <w:color w:val="auto"/>
        </w:rPr>
        <w:t>In any event, the Parties expressly agree that, even after the Program Expiry Date, the provisions set out in Articles 12 (</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13 (</w:t>
      </w:r>
      <w:r>
        <w:rPr>
          <w:rFonts w:ascii="Times New Roman" w:cs="Times New Roman" w:eastAsia="Times New Roman" w:hAnsi="Times New Roman"/>
          <w:sz w:val="20"/>
          <w:szCs w:val="20"/>
          <w:i w:val="1"/>
          <w:iCs w:val="1"/>
          <w:color w:val="auto"/>
        </w:rPr>
        <w:t>Changes in Circumstances</w:t>
      </w:r>
      <w:r>
        <w:rPr>
          <w:rFonts w:ascii="Times New Roman" w:cs="Times New Roman" w:eastAsia="Times New Roman" w:hAnsi="Times New Roman"/>
          <w:sz w:val="20"/>
          <w:szCs w:val="20"/>
          <w:color w:val="auto"/>
        </w:rPr>
        <w:t>), 27 (</w:t>
      </w:r>
      <w:r>
        <w:rPr>
          <w:rFonts w:ascii="Times New Roman" w:cs="Times New Roman" w:eastAsia="Times New Roman" w:hAnsi="Times New Roman"/>
          <w:sz w:val="20"/>
          <w:szCs w:val="20"/>
          <w:i w:val="1"/>
          <w:iCs w:val="1"/>
          <w:color w:val="auto"/>
        </w:rPr>
        <w:t>Fees and expenses</w:t>
      </w:r>
      <w:r>
        <w:rPr>
          <w:rFonts w:ascii="Times New Roman" w:cs="Times New Roman" w:eastAsia="Times New Roman" w:hAnsi="Times New Roman"/>
          <w:sz w:val="20"/>
          <w:szCs w:val="20"/>
          <w:color w:val="auto"/>
        </w:rPr>
        <w:t>), 29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31 (</w:t>
      </w:r>
      <w:r>
        <w:rPr>
          <w:rFonts w:ascii="Times New Roman" w:cs="Times New Roman" w:eastAsia="Times New Roman" w:hAnsi="Times New Roman"/>
          <w:sz w:val="20"/>
          <w:szCs w:val="20"/>
          <w:i w:val="1"/>
          <w:iCs w:val="1"/>
          <w:color w:val="auto"/>
        </w:rPr>
        <w:t>Exercise of Rights – Recourse- Non Petition</w:t>
      </w:r>
      <w:r>
        <w:rPr>
          <w:rFonts w:ascii="Times New Roman" w:cs="Times New Roman" w:eastAsia="Times New Roman" w:hAnsi="Times New Roman"/>
          <w:sz w:val="20"/>
          <w:szCs w:val="20"/>
          <w:color w:val="auto"/>
        </w:rPr>
        <w:t>), 34 (</w:t>
      </w:r>
      <w:r>
        <w:rPr>
          <w:rFonts w:ascii="Times New Roman" w:cs="Times New Roman" w:eastAsia="Times New Roman" w:hAnsi="Times New Roman"/>
          <w:sz w:val="20"/>
          <w:szCs w:val="20"/>
          <w:i w:val="1"/>
          <w:iCs w:val="1"/>
          <w:color w:val="auto"/>
        </w:rPr>
        <w:t>Indemnities</w:t>
      </w:r>
      <w:r>
        <w:rPr>
          <w:rFonts w:ascii="Times New Roman" w:cs="Times New Roman" w:eastAsia="Times New Roman" w:hAnsi="Times New Roman"/>
          <w:sz w:val="20"/>
          <w:szCs w:val="20"/>
          <w:color w:val="auto"/>
        </w:rPr>
        <w:t>), 44 (</w:t>
      </w:r>
      <w:r>
        <w:rPr>
          <w:rFonts w:ascii="Times New Roman" w:cs="Times New Roman" w:eastAsia="Times New Roman" w:hAnsi="Times New Roman"/>
          <w:sz w:val="20"/>
          <w:szCs w:val="20"/>
          <w:i w:val="1"/>
          <w:iCs w:val="1"/>
          <w:color w:val="auto"/>
        </w:rPr>
        <w:t>Governing law – Jurisdiction</w:t>
      </w:r>
      <w:r>
        <w:rPr>
          <w:rFonts w:ascii="Times New Roman" w:cs="Times New Roman" w:eastAsia="Times New Roman" w:hAnsi="Times New Roman"/>
          <w:sz w:val="20"/>
          <w:szCs w:val="20"/>
          <w:color w:val="auto"/>
        </w:rPr>
        <w:t>) shall remain in force.</w:t>
      </w:r>
    </w:p>
    <w:p>
      <w:pPr>
        <w:spacing w:after="0" w:line="174" w:lineRule="exact"/>
        <w:rPr>
          <w:sz w:val="20"/>
          <w:szCs w:val="20"/>
          <w:color w:val="auto"/>
        </w:rPr>
      </w:pPr>
    </w:p>
    <w:p>
      <w:pPr>
        <w:jc w:val="both"/>
        <w:ind w:left="502" w:hanging="502"/>
        <w:spacing w:after="0" w:line="332" w:lineRule="auto"/>
        <w:tabs>
          <w:tab w:leader="none" w:pos="49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acting in the name and on behalf of the Sellers, may, upon written notice given to the Purchaser at least nine (9) Business Days before a Funded Settlement Date during the Amortisation Period or at any time after the Program Expiry Date, offer to repurchase all outstanding Sold Receivables from the Purchaser, at a price equal to the nominal value of such Sold Receivables or such other price as the Parties may agree. Such purchase price shall be applied towards the payments and in the order specified in Article 14 and, to the extent applicable, shall be set off against any amounts due to the Centralising Unit in accordance with said Article 14.</w:t>
      </w:r>
    </w:p>
    <w:p>
      <w:pPr>
        <w:spacing w:after="0" w:line="200" w:lineRule="exact"/>
        <w:rPr>
          <w:sz w:val="20"/>
          <w:szCs w:val="20"/>
          <w:color w:val="auto"/>
        </w:rPr>
      </w:pPr>
    </w:p>
    <w:p>
      <w:pPr>
        <w:spacing w:after="0" w:line="209"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III</w:t>
      </w:r>
    </w:p>
    <w:p>
      <w:pPr>
        <w:spacing w:after="0" w:line="81"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CURRENT ACCOUNT - DEPOSITS</w:t>
      </w:r>
    </w:p>
    <w:p>
      <w:pPr>
        <w:spacing w:after="0" w:line="351" w:lineRule="exact"/>
        <w:rPr>
          <w:sz w:val="20"/>
          <w:szCs w:val="20"/>
          <w:color w:val="auto"/>
        </w:rPr>
      </w:pPr>
    </w:p>
    <w:p>
      <w:pPr>
        <w:ind w:left="502" w:hanging="502"/>
        <w:spacing w:after="0"/>
        <w:tabs>
          <w:tab w:leader="none" w:pos="502"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CURRENT ACCOUNT</w:t>
      </w:r>
    </w:p>
    <w:p>
      <w:pPr>
        <w:spacing w:after="0" w:line="135" w:lineRule="exact"/>
        <w:rPr>
          <w:sz w:val="20"/>
          <w:szCs w:val="20"/>
          <w:color w:val="auto"/>
        </w:rPr>
      </w:pPr>
    </w:p>
    <w:p>
      <w:pPr>
        <w:ind w:left="502" w:hanging="502"/>
        <w:spacing w:after="0"/>
        <w:tabs>
          <w:tab w:leader="none" w:pos="502"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Current Account agreement</w:t>
      </w:r>
    </w:p>
    <w:p>
      <w:pPr>
        <w:spacing w:after="0" w:line="188" w:lineRule="exact"/>
        <w:rPr>
          <w:rFonts w:ascii="Times New Roman" w:cs="Times New Roman" w:eastAsia="Times New Roman" w:hAnsi="Times New Roman"/>
          <w:sz w:val="20"/>
          <w:szCs w:val="20"/>
          <w:b w:val="1"/>
          <w:bCs w:val="1"/>
          <w:color w:val="auto"/>
        </w:rPr>
      </w:pPr>
    </w:p>
    <w:p>
      <w:pPr>
        <w:ind w:left="1022" w:hanging="511"/>
        <w:spacing w:after="0" w:line="357" w:lineRule="auto"/>
        <w:tabs>
          <w:tab w:leader="none" w:pos="1011"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Centralising Unit hereby agree to enter into a current account relationship (</w:t>
      </w:r>
      <w:r>
        <w:rPr>
          <w:rFonts w:ascii="Times New Roman" w:cs="Times New Roman" w:eastAsia="Times New Roman" w:hAnsi="Times New Roman"/>
          <w:sz w:val="20"/>
          <w:szCs w:val="20"/>
          <w:i w:val="1"/>
          <w:iCs w:val="1"/>
          <w:color w:val="auto"/>
        </w:rPr>
        <w:t>relation de compte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courant</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Current Account</w:t>
      </w:r>
      <w:r>
        <w:rPr>
          <w:rFonts w:ascii="Times New Roman" w:cs="Times New Roman" w:eastAsia="Times New Roman" w:hAnsi="Times New Roman"/>
          <w:sz w:val="20"/>
          <w:szCs w:val="20"/>
          <w:color w:val="auto"/>
        </w:rPr>
        <w:t>").</w:t>
      </w:r>
    </w:p>
    <w:p>
      <w:pPr>
        <w:sectPr>
          <w:pgSz w:w="11900" w:h="16838" w:orient="portrait"/>
          <w:cols w:equalWidth="0" w:num="1">
            <w:col w:w="10722"/>
          </w:cols>
          <w:pgMar w:left="838" w:top="1440" w:right="339" w:bottom="1440" w:gutter="0" w:footer="0" w:header="0"/>
        </w:sectPr>
      </w:pPr>
    </w:p>
    <w:bookmarkStart w:id="161" w:name="page162"/>
    <w:bookmarkEnd w:id="161"/>
    <w:p>
      <w:pPr>
        <w:spacing w:after="0" w:line="95" w:lineRule="exact"/>
        <w:rPr>
          <w:sz w:val="20"/>
          <w:szCs w:val="20"/>
          <w:color w:val="auto"/>
        </w:rPr>
      </w:pPr>
    </w:p>
    <w:p>
      <w:pPr>
        <w:jc w:val="both"/>
        <w:ind w:left="1022" w:hanging="511"/>
        <w:spacing w:after="0" w:line="331" w:lineRule="auto"/>
        <w:tabs>
          <w:tab w:leader="none" w:pos="1011"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daily set-off or netting mechanism for the Payment of the Initial Purchase Price of Originated Ongoing Purchasable Receivables provided for under the Receivables Purchase Agreements, any sum due either by (i) the Purchaser to the Centralising Unit, acting in its own name or in the name of the Sellers pursuant to the Transaction Documents and/or by (ii) the Sellers or the Centralising Unit, acting in its own name or in the name of the Sellers, to the Purchaser pursuant to the Transaction Documents shall be recorded respectively as credit or debit on the Current Account. Any mutual debit or credit that does not arise from the Transaction Documents shall be excluded from the Current Account.</w:t>
      </w:r>
    </w:p>
    <w:p>
      <w:pPr>
        <w:spacing w:after="0" w:line="178"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Automatic Set-off</w:t>
      </w:r>
    </w:p>
    <w:p>
      <w:pPr>
        <w:spacing w:after="0" w:line="189"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The Parties hereby agree that any debit and credit recorded on the Current Account shall be automatically set-off (</w:t>
      </w:r>
      <w:r>
        <w:rPr>
          <w:rFonts w:ascii="Times New Roman" w:cs="Times New Roman" w:eastAsia="Times New Roman" w:hAnsi="Times New Roman"/>
          <w:sz w:val="20"/>
          <w:szCs w:val="20"/>
          <w:i w:val="1"/>
          <w:iCs w:val="1"/>
          <w:color w:val="auto"/>
        </w:rPr>
        <w:t>compensés</w:t>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502" w:hanging="502"/>
        <w:spacing w:after="0"/>
        <w:tabs>
          <w:tab w:leader="none" w:pos="502"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Balance</w:t>
      </w:r>
    </w:p>
    <w:p>
      <w:pPr>
        <w:spacing w:after="0" w:line="192" w:lineRule="exact"/>
        <w:rPr>
          <w:rFonts w:ascii="Times New Roman" w:cs="Times New Roman" w:eastAsia="Times New Roman" w:hAnsi="Times New Roman"/>
          <w:sz w:val="20"/>
          <w:szCs w:val="20"/>
          <w:b w:val="1"/>
          <w:bCs w:val="1"/>
          <w:color w:val="auto"/>
        </w:rPr>
      </w:pPr>
    </w:p>
    <w:p>
      <w:pPr>
        <w:jc w:val="both"/>
        <w:ind w:left="1022" w:hanging="511"/>
        <w:spacing w:after="0" w:line="338" w:lineRule="auto"/>
        <w:tabs>
          <w:tab w:leader="none" w:pos="1011"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Calculation Date, the Agent shall calculate the balance of the Current Account, in accordance with the provisions of Article 10.3.1, on the basis of information it has received pursuant to such Article 10.3.1, and shall forthwith provide the Centralising Unit and the Purchaser with such calculation.</w:t>
      </w:r>
    </w:p>
    <w:p>
      <w:pPr>
        <w:spacing w:after="0" w:line="67" w:lineRule="exact"/>
        <w:rPr>
          <w:rFonts w:ascii="Times New Roman" w:cs="Times New Roman" w:eastAsia="Times New Roman" w:hAnsi="Times New Roman"/>
          <w:sz w:val="20"/>
          <w:szCs w:val="20"/>
          <w:color w:val="auto"/>
        </w:rPr>
      </w:pPr>
    </w:p>
    <w:p>
      <w:pPr>
        <w:jc w:val="both"/>
        <w:ind w:left="1022" w:hanging="511"/>
        <w:spacing w:after="0" w:line="334" w:lineRule="auto"/>
        <w:tabs>
          <w:tab w:leader="none" w:pos="1011"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debit balance of the Current Account on a Calculation Date, as stated in the Current Account statement communicated in accordance with the provisions of Article 5.3.1, the Centralising Unit shall pay to the Purchaser's Account in immediately available funds an amount equal to such debit balance, on the Funded Settlement Date or on the Intermediary Settlement Date in relation to which the Current Account statement is drawn up, in accordance with the provisions of Article 15.5.</w:t>
      </w:r>
    </w:p>
    <w:p>
      <w:pPr>
        <w:spacing w:after="0" w:line="73" w:lineRule="exact"/>
        <w:rPr>
          <w:rFonts w:ascii="Times New Roman" w:cs="Times New Roman" w:eastAsia="Times New Roman" w:hAnsi="Times New Roman"/>
          <w:sz w:val="20"/>
          <w:szCs w:val="20"/>
          <w:color w:val="auto"/>
        </w:rPr>
      </w:pPr>
    </w:p>
    <w:p>
      <w:pPr>
        <w:jc w:val="both"/>
        <w:ind w:left="1022" w:hanging="511"/>
        <w:spacing w:after="0" w:line="334" w:lineRule="auto"/>
        <w:tabs>
          <w:tab w:leader="none" w:pos="1011"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balance of the Current Account on a Calculation Date, as stated in the Current Account statement communicated in accordance with the provisions of Article 5.3.1, the Purchaser shall pay to the Centralising Unit's Account in immediately available funds an amount equal to such credit balance on the Funded Settlement Date or on the Intermediary Settlement Date in relation to which the Current Account statement has been drawn up, in accordance with the provisions of Article 15.5.</w:t>
      </w:r>
    </w:p>
    <w:p>
      <w:pPr>
        <w:spacing w:after="0" w:line="73" w:lineRule="exact"/>
        <w:rPr>
          <w:rFonts w:ascii="Times New Roman" w:cs="Times New Roman" w:eastAsia="Times New Roman" w:hAnsi="Times New Roman"/>
          <w:sz w:val="20"/>
          <w:szCs w:val="20"/>
          <w:color w:val="auto"/>
        </w:rPr>
      </w:pPr>
    </w:p>
    <w:p>
      <w:pPr>
        <w:ind w:left="1022" w:hanging="511"/>
        <w:spacing w:after="0" w:line="353" w:lineRule="auto"/>
        <w:tabs>
          <w:tab w:leader="none" w:pos="1011"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the payment referred to in Article 5.3.2 or in Article 5.3.3 has been made, the Current Account shall be balanced at zero (0).</w:t>
      </w:r>
    </w:p>
    <w:p>
      <w:pPr>
        <w:spacing w:after="0" w:line="156"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Entry on Current Account</w:t>
      </w:r>
    </w:p>
    <w:p>
      <w:pPr>
        <w:spacing w:after="0" w:line="206"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Initial Settlement Date, the Purchaser shall record:</w:t>
      </w:r>
    </w:p>
    <w:p>
      <w:pPr>
        <w:sectPr>
          <w:pgSz w:w="11900" w:h="16838" w:orient="portrait"/>
          <w:cols w:equalWidth="0" w:num="1">
            <w:col w:w="10722"/>
          </w:cols>
          <w:pgMar w:left="838" w:top="1440" w:right="339" w:bottom="1440" w:gutter="0" w:footer="0" w:header="0"/>
        </w:sectPr>
      </w:pPr>
    </w:p>
    <w:bookmarkStart w:id="162" w:name="page163"/>
    <w:bookmarkEnd w:id="162"/>
    <w:p>
      <w:pPr>
        <w:spacing w:after="0" w:line="95" w:lineRule="exact"/>
        <w:rPr>
          <w:sz w:val="20"/>
          <w:szCs w:val="20"/>
          <w:color w:val="auto"/>
        </w:rPr>
      </w:pPr>
    </w:p>
    <w:p>
      <w:pPr>
        <w:ind w:left="1520" w:hanging="366"/>
        <w:spacing w:after="0" w:line="353" w:lineRule="auto"/>
        <w:tabs>
          <w:tab w:leader="none" w:pos="151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debit of the Current Account, an amount equal to the Subordinated Deposit calculated as of the Initial Settlement Date in accordance with Article 7 (</w:t>
      </w:r>
      <w:r>
        <w:rPr>
          <w:rFonts w:ascii="Times New Roman" w:cs="Times New Roman" w:eastAsia="Times New Roman" w:hAnsi="Times New Roman"/>
          <w:sz w:val="20"/>
          <w:szCs w:val="20"/>
          <w:i w:val="1"/>
          <w:iCs w:val="1"/>
          <w:color w:val="auto"/>
        </w:rPr>
        <w:t>Subordinated Deposit</w:t>
      </w:r>
      <w:r>
        <w:rPr>
          <w:rFonts w:ascii="Times New Roman" w:cs="Times New Roman" w:eastAsia="Times New Roman" w:hAnsi="Times New Roman"/>
          <w:sz w:val="20"/>
          <w:szCs w:val="20"/>
          <w:color w:val="auto"/>
        </w:rPr>
        <w:t>);</w:t>
      </w:r>
    </w:p>
    <w:p>
      <w:pPr>
        <w:spacing w:after="0" w:line="52" w:lineRule="exact"/>
        <w:rPr>
          <w:rFonts w:ascii="Times New Roman" w:cs="Times New Roman" w:eastAsia="Times New Roman" w:hAnsi="Times New Roman"/>
          <w:sz w:val="20"/>
          <w:szCs w:val="20"/>
          <w:color w:val="auto"/>
        </w:rPr>
      </w:pPr>
    </w:p>
    <w:p>
      <w:pPr>
        <w:ind w:left="1520" w:hanging="366"/>
        <w:spacing w:after="0" w:line="367" w:lineRule="auto"/>
        <w:tabs>
          <w:tab w:leader="none" w:pos="151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debit of the Current Account, the amount of the Adjusted Collections calculated in respect of such Initial Settlement Date; and</w:t>
      </w:r>
    </w:p>
    <w:p>
      <w:pPr>
        <w:spacing w:after="0" w:line="39" w:lineRule="exact"/>
        <w:rPr>
          <w:rFonts w:ascii="Times New Roman" w:cs="Times New Roman" w:eastAsia="Times New Roman" w:hAnsi="Times New Roman"/>
          <w:sz w:val="20"/>
          <w:szCs w:val="20"/>
          <w:color w:val="auto"/>
        </w:rPr>
      </w:pPr>
    </w:p>
    <w:p>
      <w:pPr>
        <w:ind w:left="1520" w:hanging="366"/>
        <w:spacing w:after="0" w:line="353" w:lineRule="auto"/>
        <w:tabs>
          <w:tab w:leader="none" w:pos="151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credit of the Current Account an amount equal to the Initial Purchase Price of the Sold Receivables sold on the Initial Settlement Date within the limits provided for by Article 10.3.1(i).</w:t>
      </w:r>
    </w:p>
    <w:p>
      <w:pPr>
        <w:spacing w:after="0" w:line="160" w:lineRule="exact"/>
        <w:rPr>
          <w:rFonts w:ascii="Times New Roman" w:cs="Times New Roman" w:eastAsia="Times New Roman" w:hAnsi="Times New Roman"/>
          <w:sz w:val="20"/>
          <w:szCs w:val="20"/>
          <w:color w:val="auto"/>
        </w:rPr>
      </w:pPr>
    </w:p>
    <w:p>
      <w:pPr>
        <w:ind w:left="880" w:hanging="491"/>
        <w:spacing w:after="0"/>
        <w:tabs>
          <w:tab w:leader="none" w:pos="8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Intermediary Settlement Date during the Replenishment Period, the Purchaser shall enter:</w:t>
      </w:r>
    </w:p>
    <w:p>
      <w:pPr>
        <w:spacing w:after="0" w:line="188" w:lineRule="exact"/>
        <w:rPr>
          <w:rFonts w:ascii="Times New Roman" w:cs="Times New Roman" w:eastAsia="Times New Roman" w:hAnsi="Times New Roman"/>
          <w:sz w:val="20"/>
          <w:szCs w:val="20"/>
          <w:color w:val="auto"/>
        </w:rPr>
      </w:pPr>
    </w:p>
    <w:p>
      <w:pPr>
        <w:ind w:left="1500" w:hanging="346"/>
        <w:spacing w:after="0"/>
        <w:tabs>
          <w:tab w:leader="none" w:pos="150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debit of the Current Account,</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an amount equal to any Increase in the Subordinated Deposit on such date,</w:t>
      </w:r>
    </w:p>
    <w:p>
      <w:pPr>
        <w:spacing w:after="0" w:line="202" w:lineRule="exact"/>
        <w:rPr>
          <w:sz w:val="20"/>
          <w:szCs w:val="20"/>
          <w:color w:val="auto"/>
        </w:rPr>
      </w:pPr>
    </w:p>
    <w:p>
      <w:pPr>
        <w:jc w:val="both"/>
        <w:ind w:left="1280" w:hanging="509"/>
        <w:spacing w:after="0" w:line="338" w:lineRule="auto"/>
        <w:rPr>
          <w:sz w:val="20"/>
          <w:szCs w:val="20"/>
          <w:color w:val="auto"/>
        </w:rPr>
      </w:pPr>
      <w:r>
        <w:rPr>
          <w:rFonts w:ascii="Times New Roman" w:cs="Times New Roman" w:eastAsia="Times New Roman" w:hAnsi="Times New Roman"/>
          <w:sz w:val="20"/>
          <w:szCs w:val="20"/>
          <w:color w:val="auto"/>
        </w:rPr>
        <w:t>the amount of the Adjusted Collections calculated in respect of such date, less the amount of Collections for Set-off which has been set-off during the last Intermediary Settlement Date Reference Period in accordance with the Receivables Purchase Agreements,</w:t>
      </w:r>
    </w:p>
    <w:p>
      <w:pPr>
        <w:spacing w:after="0" w:line="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amount of any payment due with respect to the repurchase of Doubtful Receivables on such date, and</w:t>
      </w:r>
    </w:p>
    <w:p>
      <w:pPr>
        <w:spacing w:after="0" w:line="189" w:lineRule="exact"/>
        <w:rPr>
          <w:sz w:val="20"/>
          <w:szCs w:val="20"/>
          <w:color w:val="auto"/>
        </w:rPr>
      </w:pPr>
    </w:p>
    <w:p>
      <w:pPr>
        <w:jc w:val="both"/>
        <w:ind w:left="1280" w:hanging="509"/>
        <w:spacing w:after="0" w:line="353" w:lineRule="auto"/>
        <w:rPr>
          <w:sz w:val="20"/>
          <w:szCs w:val="20"/>
          <w:color w:val="auto"/>
        </w:rPr>
      </w:pPr>
      <w:r>
        <w:rPr>
          <w:rFonts w:ascii="Times New Roman" w:cs="Times New Roman" w:eastAsia="Times New Roman" w:hAnsi="Times New Roman"/>
          <w:sz w:val="20"/>
          <w:szCs w:val="20"/>
          <w:color w:val="auto"/>
        </w:rPr>
        <w:t>any other sums due by the Centralising Unit acting on its own behalf or on behalf of the Sellers, to the Purchaser pursuant to the Transaction Documents, and not paid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credit of the Current Account,</w:t>
      </w:r>
    </w:p>
    <w:p>
      <w:pPr>
        <w:spacing w:after="0" w:line="189" w:lineRule="exact"/>
        <w:rPr>
          <w:sz w:val="20"/>
          <w:szCs w:val="20"/>
          <w:color w:val="auto"/>
        </w:rPr>
      </w:pPr>
    </w:p>
    <w:p>
      <w:pPr>
        <w:jc w:val="both"/>
        <w:ind w:left="1280" w:hanging="509"/>
        <w:spacing w:after="0" w:line="353" w:lineRule="auto"/>
        <w:rPr>
          <w:sz w:val="20"/>
          <w:szCs w:val="20"/>
          <w:color w:val="auto"/>
        </w:rPr>
      </w:pPr>
      <w:r>
        <w:rPr>
          <w:rFonts w:ascii="Times New Roman" w:cs="Times New Roman" w:eastAsia="Times New Roman" w:hAnsi="Times New Roman"/>
          <w:sz w:val="20"/>
          <w:szCs w:val="20"/>
          <w:color w:val="auto"/>
        </w:rPr>
        <w:t>an amount equal to the part of the Initial Purchase Price of the Sold Receivables due and payable on such date in accordance with the Receivables Purchase Agreements and within the limits set out in Article 10.3.1(i),</w:t>
      </w:r>
    </w:p>
    <w:p>
      <w:pPr>
        <w:spacing w:after="0" w:line="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an amount equal to any Reduction of the Subordinated Deposit on such date, and</w:t>
      </w:r>
    </w:p>
    <w:p>
      <w:pPr>
        <w:spacing w:after="0" w:line="189" w:lineRule="exact"/>
        <w:rPr>
          <w:sz w:val="20"/>
          <w:szCs w:val="20"/>
          <w:color w:val="auto"/>
        </w:rPr>
      </w:pPr>
    </w:p>
    <w:p>
      <w:pPr>
        <w:jc w:val="both"/>
        <w:ind w:left="1280" w:hanging="509"/>
        <w:spacing w:after="0" w:line="367" w:lineRule="auto"/>
        <w:rPr>
          <w:sz w:val="20"/>
          <w:szCs w:val="20"/>
          <w:color w:val="auto"/>
        </w:rPr>
      </w:pPr>
      <w:r>
        <w:rPr>
          <w:rFonts w:ascii="Times New Roman" w:cs="Times New Roman" w:eastAsia="Times New Roman" w:hAnsi="Times New Roman"/>
          <w:sz w:val="20"/>
          <w:szCs w:val="20"/>
          <w:color w:val="auto"/>
        </w:rPr>
        <w:t>any other sums due by the Purchaser to the Centralising Unit acting on its own behalf or on behalf of the Sellers pursuant to the Transaction Documents, and not paid otherwise.</w:t>
      </w:r>
    </w:p>
    <w:p>
      <w:pPr>
        <w:spacing w:after="0" w:line="147" w:lineRule="exact"/>
        <w:rPr>
          <w:sz w:val="20"/>
          <w:szCs w:val="20"/>
          <w:color w:val="auto"/>
        </w:rPr>
      </w:pPr>
    </w:p>
    <w:p>
      <w:pPr>
        <w:ind w:left="880" w:hanging="491"/>
        <w:spacing w:after="0"/>
        <w:tabs>
          <w:tab w:leader="none" w:pos="8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Funded Settlement Date during the Replenishment Period, the Purchaser shall enter:</w:t>
      </w:r>
    </w:p>
    <w:p>
      <w:pPr>
        <w:spacing w:after="0" w:line="188" w:lineRule="exact"/>
        <w:rPr>
          <w:rFonts w:ascii="Times New Roman" w:cs="Times New Roman" w:eastAsia="Times New Roman" w:hAnsi="Times New Roman"/>
          <w:sz w:val="20"/>
          <w:szCs w:val="20"/>
          <w:color w:val="auto"/>
        </w:rPr>
      </w:pPr>
    </w:p>
    <w:p>
      <w:pPr>
        <w:ind w:left="1500" w:hanging="346"/>
        <w:spacing w:after="0"/>
        <w:tabs>
          <w:tab w:leader="none" w:pos="150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debit of the Current Account,</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an amount equal to any Increase in the Subordinated Deposit on such date,</w:t>
      </w:r>
    </w:p>
    <w:p>
      <w:pPr>
        <w:sectPr>
          <w:pgSz w:w="11900" w:h="16838" w:orient="portrait"/>
          <w:cols w:equalWidth="0" w:num="1">
            <w:col w:w="10600"/>
          </w:cols>
          <w:pgMar w:left="960" w:top="1440" w:right="339" w:bottom="1440" w:gutter="0" w:footer="0" w:header="0"/>
        </w:sectPr>
      </w:pPr>
    </w:p>
    <w:bookmarkStart w:id="163" w:name="page164"/>
    <w:bookmarkEnd w:id="163"/>
    <w:p>
      <w:pPr>
        <w:spacing w:after="0" w:line="95" w:lineRule="exact"/>
        <w:rPr>
          <w:sz w:val="20"/>
          <w:szCs w:val="20"/>
          <w:color w:val="auto"/>
        </w:rPr>
      </w:pPr>
    </w:p>
    <w:p>
      <w:pPr>
        <w:jc w:val="both"/>
        <w:ind w:left="1260" w:hanging="509"/>
        <w:spacing w:after="0" w:line="334" w:lineRule="auto"/>
        <w:rPr>
          <w:sz w:val="20"/>
          <w:szCs w:val="20"/>
          <w:color w:val="auto"/>
        </w:rPr>
      </w:pPr>
      <w:r>
        <w:rPr>
          <w:rFonts w:ascii="Times New Roman" w:cs="Times New Roman" w:eastAsia="Times New Roman" w:hAnsi="Times New Roman"/>
          <w:sz w:val="20"/>
          <w:szCs w:val="20"/>
          <w:color w:val="auto"/>
        </w:rPr>
        <w:t>the amount of the Adjusted Collections calculated in respect of such date, less the amount of Collections for Set-off which has been set-off during the last Monthly Reference Period (or, during the last Funded Settlement Date Reference Period in the event Collections for Set-off have been set-off pursuant to Article 5.4.2(i)(c) on the date identified as "Intermediary Settlement Date" under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that immediately precedes such Funded Settlement Date), in each case in accordance with the Receivables Purchase Agreements,</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amount of any payment due with respect to the repurchase of Doubtful Receivables on such date,</w:t>
      </w:r>
    </w:p>
    <w:p>
      <w:pPr>
        <w:spacing w:after="0" w:line="189" w:lineRule="exact"/>
        <w:rPr>
          <w:sz w:val="20"/>
          <w:szCs w:val="20"/>
          <w:color w:val="auto"/>
        </w:rPr>
      </w:pPr>
    </w:p>
    <w:p>
      <w:pPr>
        <w:jc w:val="both"/>
        <w:ind w:left="1260" w:hanging="509"/>
        <w:spacing w:after="0" w:line="334" w:lineRule="auto"/>
        <w:rPr>
          <w:sz w:val="20"/>
          <w:szCs w:val="20"/>
          <w:color w:val="auto"/>
        </w:rPr>
      </w:pPr>
      <w:r>
        <w:rPr>
          <w:rFonts w:ascii="Times New Roman" w:cs="Times New Roman" w:eastAsia="Times New Roman" w:hAnsi="Times New Roman"/>
          <w:sz w:val="20"/>
          <w:szCs w:val="20"/>
          <w:color w:val="auto"/>
        </w:rPr>
        <w:t>the amount of any payment due with respect to the rescission, on such Funded Settlement Date, of the transfer of Originated Ongoing Purchasable Receivables, pursuant to the relevant provisions of the French Receivables Purchase Agreement, the Spanish Receivables Purchase Agreement and the German Receivables Purchase Agreement (in that latter case only if the transfer of said Originated Ongoing Purchasable Receivables was governed by French law), and</w:t>
      </w:r>
    </w:p>
    <w:p>
      <w:pPr>
        <w:spacing w:after="0" w:line="74" w:lineRule="exact"/>
        <w:rPr>
          <w:sz w:val="20"/>
          <w:szCs w:val="20"/>
          <w:color w:val="auto"/>
        </w:rPr>
      </w:pPr>
    </w:p>
    <w:p>
      <w:pPr>
        <w:jc w:val="both"/>
        <w:ind w:left="1260" w:hanging="509"/>
        <w:spacing w:after="0" w:line="353" w:lineRule="auto"/>
        <w:rPr>
          <w:sz w:val="20"/>
          <w:szCs w:val="20"/>
          <w:color w:val="auto"/>
        </w:rPr>
      </w:pPr>
      <w:r>
        <w:rPr>
          <w:rFonts w:ascii="Times New Roman" w:cs="Times New Roman" w:eastAsia="Times New Roman" w:hAnsi="Times New Roman"/>
          <w:sz w:val="20"/>
          <w:szCs w:val="20"/>
          <w:color w:val="auto"/>
        </w:rPr>
        <w:t>any other sums due by the Centralising Unit acting on its own behalf or on behalf of the Sellers, to the Purchaser pursuant to the Transaction Documents, and not paid otherwise.</w:t>
      </w:r>
    </w:p>
    <w:p>
      <w:pPr>
        <w:spacing w:after="0" w:line="1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on the credit of the Current Account,</w:t>
      </w:r>
    </w:p>
    <w:p>
      <w:pPr>
        <w:spacing w:after="0" w:line="135" w:lineRule="exact"/>
        <w:rPr>
          <w:sz w:val="20"/>
          <w:szCs w:val="20"/>
          <w:color w:val="auto"/>
        </w:rPr>
      </w:pPr>
    </w:p>
    <w:p>
      <w:pPr>
        <w:ind w:left="1260" w:hanging="508"/>
        <w:spacing w:after="0"/>
        <w:tabs>
          <w:tab w:leader="none" w:pos="125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part of the Initial Purchase Price of the Sold Receivables due and payable on such date in accordance with the Receivables Purchase Agreements and within the limits set out in Article 10.3.1(i),</w:t>
      </w:r>
    </w:p>
    <w:p>
      <w:pPr>
        <w:spacing w:after="0" w:line="53" w:lineRule="exact"/>
        <w:rPr>
          <w:rFonts w:ascii="Times New Roman" w:cs="Times New Roman" w:eastAsia="Times New Roman" w:hAnsi="Times New Roman"/>
          <w:sz w:val="20"/>
          <w:szCs w:val="20"/>
          <w:color w:val="auto"/>
        </w:rPr>
      </w:pPr>
    </w:p>
    <w:p>
      <w:pPr>
        <w:ind w:left="1260" w:hanging="508"/>
        <w:spacing w:after="0"/>
        <w:tabs>
          <w:tab w:leader="none" w:pos="1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Deferred Purchase Price payable on such date,</w:t>
      </w:r>
    </w:p>
    <w:p>
      <w:pPr>
        <w:spacing w:after="0" w:line="67" w:lineRule="exact"/>
        <w:rPr>
          <w:rFonts w:ascii="Times New Roman" w:cs="Times New Roman" w:eastAsia="Times New Roman" w:hAnsi="Times New Roman"/>
          <w:sz w:val="20"/>
          <w:szCs w:val="20"/>
          <w:color w:val="auto"/>
        </w:rPr>
      </w:pPr>
    </w:p>
    <w:p>
      <w:pPr>
        <w:ind w:left="1260" w:hanging="508"/>
        <w:spacing w:after="0"/>
        <w:tabs>
          <w:tab w:leader="none" w:pos="1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Reduction of the Subordinated Deposit on such date;</w:t>
      </w:r>
    </w:p>
    <w:p>
      <w:pPr>
        <w:spacing w:after="0" w:line="80" w:lineRule="exact"/>
        <w:rPr>
          <w:rFonts w:ascii="Times New Roman" w:cs="Times New Roman" w:eastAsia="Times New Roman" w:hAnsi="Times New Roman"/>
          <w:sz w:val="20"/>
          <w:szCs w:val="20"/>
          <w:color w:val="auto"/>
        </w:rPr>
      </w:pPr>
    </w:p>
    <w:p>
      <w:pPr>
        <w:ind w:left="1260" w:hanging="508"/>
        <w:spacing w:after="0"/>
        <w:tabs>
          <w:tab w:leader="none" w:pos="1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 due and payable on such date as Subordinated Deposit Fee;</w:t>
      </w:r>
    </w:p>
    <w:p>
      <w:pPr>
        <w:spacing w:after="0" w:line="80" w:lineRule="exact"/>
        <w:rPr>
          <w:rFonts w:ascii="Times New Roman" w:cs="Times New Roman" w:eastAsia="Times New Roman" w:hAnsi="Times New Roman"/>
          <w:sz w:val="20"/>
          <w:szCs w:val="20"/>
          <w:color w:val="auto"/>
        </w:rPr>
      </w:pPr>
    </w:p>
    <w:p>
      <w:pPr>
        <w:jc w:val="both"/>
        <w:ind w:left="1260" w:hanging="508"/>
        <w:spacing w:after="0" w:line="226" w:lineRule="auto"/>
        <w:tabs>
          <w:tab w:leader="none" w:pos="125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Funded Settlement Date of October 2025 only, the outstanding amount of the Complementary Deposit (as such term was defined in the General Master Purchase Agreement in effect immediately prior to the Funded Settlement Date of October 2025) as of such date; and</w:t>
      </w:r>
    </w:p>
    <w:p>
      <w:pPr>
        <w:spacing w:after="0" w:line="52" w:lineRule="exact"/>
        <w:rPr>
          <w:rFonts w:ascii="Times New Roman" w:cs="Times New Roman" w:eastAsia="Times New Roman" w:hAnsi="Times New Roman"/>
          <w:sz w:val="20"/>
          <w:szCs w:val="20"/>
          <w:color w:val="auto"/>
        </w:rPr>
      </w:pPr>
    </w:p>
    <w:p>
      <w:pPr>
        <w:ind w:left="1260" w:right="20" w:hanging="508"/>
        <w:spacing w:after="0" w:line="233" w:lineRule="auto"/>
        <w:tabs>
          <w:tab w:leader="none" w:pos="125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sums due by the Purchaser to the Centralising Unit acting on its own behalf or on behalf of the Sellers pursuant to the Transaction Documents, and not paid otherwise.</w:t>
      </w:r>
    </w:p>
    <w:p>
      <w:pPr>
        <w:spacing w:after="0" w:line="107"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The Parties hereby agree that all entries on the Current Account are calculated, for any Settlement Date during the Replenishment Period, on the Calculation Date preceding such Settlement Date, and that, once entered in the Current Account, such entries shall constitute payments for the purposes of the Transaction Documents.</w:t>
      </w:r>
    </w:p>
    <w:p>
      <w:pPr>
        <w:sectPr>
          <w:pgSz w:w="11900" w:h="16838" w:orient="portrait"/>
          <w:cols w:equalWidth="0" w:num="1">
            <w:col w:w="10580"/>
          </w:cols>
          <w:pgMar w:left="980" w:top="1440" w:right="339" w:bottom="1440" w:gutter="0" w:footer="0" w:header="0"/>
        </w:sectPr>
      </w:pPr>
    </w:p>
    <w:bookmarkStart w:id="164" w:name="page165"/>
    <w:bookmarkEnd w:id="164"/>
    <w:p>
      <w:pPr>
        <w:spacing w:after="0" w:line="199" w:lineRule="exact"/>
        <w:rPr>
          <w:sz w:val="20"/>
          <w:szCs w:val="20"/>
          <w:color w:val="auto"/>
        </w:rPr>
      </w:pPr>
    </w:p>
    <w:p>
      <w:pPr>
        <w:ind w:left="502" w:hanging="502"/>
        <w:spacing w:after="0"/>
        <w:tabs>
          <w:tab w:leader="none" w:pos="502"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the Current Account</w:t>
      </w:r>
    </w:p>
    <w:p>
      <w:pPr>
        <w:spacing w:after="0" w:line="193"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0"/>
          <w:szCs w:val="20"/>
          <w:color w:val="auto"/>
        </w:rPr>
        <w:t>The current account relationship shall terminate, and the Current Account shall be closed, on the Commitment Expiry Date.</w:t>
      </w:r>
    </w:p>
    <w:p>
      <w:pPr>
        <w:spacing w:after="0" w:line="347" w:lineRule="exact"/>
        <w:rPr>
          <w:sz w:val="20"/>
          <w:szCs w:val="20"/>
          <w:color w:val="auto"/>
        </w:rPr>
      </w:pPr>
    </w:p>
    <w:p>
      <w:pPr>
        <w:ind w:left="502" w:hanging="502"/>
        <w:spacing w:after="0"/>
        <w:tabs>
          <w:tab w:leader="none" w:pos="502"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AMOUNT OF THE PURCHASER'S FUNDING</w:t>
      </w:r>
    </w:p>
    <w:p>
      <w:pPr>
        <w:spacing w:after="0" w:line="135" w:lineRule="exact"/>
        <w:rPr>
          <w:sz w:val="20"/>
          <w:szCs w:val="20"/>
          <w:color w:val="auto"/>
        </w:rPr>
      </w:pPr>
    </w:p>
    <w:p>
      <w:pPr>
        <w:ind w:left="502" w:hanging="502"/>
        <w:spacing w:after="0"/>
        <w:tabs>
          <w:tab w:leader="none" w:pos="502"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Maximum Amount of the Purchaser's Funding</w:t>
      </w:r>
    </w:p>
    <w:p>
      <w:pPr>
        <w:spacing w:after="0" w:line="192"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fund Payments:</w:t>
      </w:r>
    </w:p>
    <w:p>
      <w:pPr>
        <w:spacing w:after="0" w:line="188" w:lineRule="exact"/>
        <w:rPr>
          <w:rFonts w:ascii="Times New Roman" w:cs="Times New Roman" w:eastAsia="Times New Roman" w:hAnsi="Times New Roman"/>
          <w:sz w:val="20"/>
          <w:szCs w:val="20"/>
          <w:color w:val="auto"/>
        </w:rPr>
      </w:pPr>
    </w:p>
    <w:p>
      <w:pPr>
        <w:ind w:left="1522" w:hanging="501"/>
        <w:spacing w:after="0"/>
        <w:tabs>
          <w:tab w:leader="none" w:pos="1522"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out of the applicable Refinanced Received Net Amount, if any;</w:t>
      </w:r>
    </w:p>
    <w:p>
      <w:pPr>
        <w:spacing w:after="0" w:line="198" w:lineRule="exact"/>
        <w:rPr>
          <w:rFonts w:ascii="Times New Roman" w:cs="Times New Roman" w:eastAsia="Times New Roman" w:hAnsi="Times New Roman"/>
          <w:sz w:val="20"/>
          <w:szCs w:val="20"/>
          <w:color w:val="auto"/>
        </w:rPr>
      </w:pPr>
    </w:p>
    <w:p>
      <w:pPr>
        <w:ind w:left="1522" w:right="20" w:hanging="501"/>
        <w:spacing w:after="0" w:line="357" w:lineRule="auto"/>
        <w:tabs>
          <w:tab w:leader="none" w:pos="1511"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out of a Senior Deposit (the "</w:t>
      </w:r>
      <w:r>
        <w:rPr>
          <w:rFonts w:ascii="Times New Roman" w:cs="Times New Roman" w:eastAsia="Times New Roman" w:hAnsi="Times New Roman"/>
          <w:sz w:val="20"/>
          <w:szCs w:val="20"/>
          <w:b w:val="1"/>
          <w:bCs w:val="1"/>
          <w:color w:val="auto"/>
        </w:rPr>
        <w:t>Purchaser's Funding</w:t>
      </w:r>
      <w:r>
        <w:rPr>
          <w:rFonts w:ascii="Times New Roman" w:cs="Times New Roman" w:eastAsia="Times New Roman" w:hAnsi="Times New Roman"/>
          <w:sz w:val="20"/>
          <w:szCs w:val="20"/>
          <w:color w:val="auto"/>
        </w:rPr>
        <w:t>"), up to the then applicable Maximum Amount of the Purchaser's Funding.</w:t>
      </w:r>
    </w:p>
    <w:p>
      <w:pPr>
        <w:spacing w:after="0" w:line="49" w:lineRule="exact"/>
        <w:rPr>
          <w:sz w:val="20"/>
          <w:szCs w:val="20"/>
          <w:color w:val="auto"/>
        </w:rPr>
      </w:pPr>
    </w:p>
    <w:p>
      <w:pPr>
        <w:ind w:left="1022"/>
        <w:spacing w:after="0" w:line="353" w:lineRule="auto"/>
        <w:rPr>
          <w:sz w:val="20"/>
          <w:szCs w:val="20"/>
          <w:color w:val="auto"/>
        </w:rPr>
      </w:pPr>
      <w:r>
        <w:rPr>
          <w:rFonts w:ascii="Times New Roman" w:cs="Times New Roman" w:eastAsia="Times New Roman" w:hAnsi="Times New Roman"/>
          <w:sz w:val="20"/>
          <w:szCs w:val="20"/>
          <w:color w:val="auto"/>
        </w:rPr>
        <w:t>The Senior Deposit shall create an indebtedness of the Purchaser to the Depositor in relation to the repayment of such Senior Deposit.</w:t>
      </w:r>
    </w:p>
    <w:p>
      <w:pPr>
        <w:spacing w:after="0" w:line="160" w:lineRule="exact"/>
        <w:rPr>
          <w:sz w:val="20"/>
          <w:szCs w:val="20"/>
          <w:color w:val="auto"/>
        </w:rPr>
      </w:pPr>
    </w:p>
    <w:p>
      <w:pPr>
        <w:jc w:val="both"/>
        <w:ind w:left="1022" w:hanging="511"/>
        <w:spacing w:after="0" w:line="350" w:lineRule="auto"/>
        <w:tabs>
          <w:tab w:leader="none" w:pos="101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Amount of the Purchaser's Funding shall be communicated by the Centralising Unit, acting in the name and on behalf the Sellers, to the Purchaser and to the Agent at the latest sixty (60) calendar days before the expiration date of the Liquidity Agreements and the Fund Subscription Agreements (as amended from time to time). For such purpose, the Centralising Unit, acting in the name and on behalf of the Sellers, shall send to the Purchaser and the Agent a notice (in the form of SCHEDULE 17) indicating the new amount of the Maximum Amount of the Purchaser's Funding (such new amount, for the avoidance of doubt, being not lower than the Minimum Amount of the Program and not greater than the Maximum Amount of the Program) that shall apply from the date of renewal of the Liquidity Agreements and the Fund Subscription Agreements through and including the new expiration date of the Liquidity Agreements and the Fund Subscription Agreements (as renewed) (the "</w:t>
      </w:r>
      <w:r>
        <w:rPr>
          <w:rFonts w:ascii="Times New Roman" w:cs="Times New Roman" w:eastAsia="Times New Roman" w:hAnsi="Times New Roman"/>
          <w:sz w:val="19"/>
          <w:szCs w:val="19"/>
          <w:b w:val="1"/>
          <w:bCs w:val="1"/>
          <w:color w:val="auto"/>
        </w:rPr>
        <w:t>Notice for Maximum Amount of the Purchaser's Funding</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jc w:val="both"/>
        <w:ind w:left="1022" w:hanging="511"/>
        <w:spacing w:after="0" w:line="338" w:lineRule="auto"/>
        <w:tabs>
          <w:tab w:leader="none" w:pos="101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other provisions of the Agreement, the Maximum Amount of the Purchaser's Funding for the period starting on the Funded Settlement Date of October 2025 (included) and ending on the Funded Settlement Date of October 2027 (excluded) shall be equal to EUR 300,000,000.</w:t>
      </w:r>
    </w:p>
    <w:p>
      <w:pPr>
        <w:spacing w:after="0" w:line="175" w:lineRule="exact"/>
        <w:rPr>
          <w:rFonts w:ascii="Times New Roman" w:cs="Times New Roman" w:eastAsia="Times New Roman" w:hAnsi="Times New Roman"/>
          <w:sz w:val="20"/>
          <w:szCs w:val="20"/>
          <w:color w:val="auto"/>
        </w:rPr>
      </w:pPr>
    </w:p>
    <w:p>
      <w:pPr>
        <w:jc w:val="both"/>
        <w:ind w:left="1022" w:hanging="511"/>
        <w:spacing w:after="0" w:line="334" w:lineRule="auto"/>
        <w:tabs>
          <w:tab w:leader="none" w:pos="101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Liquidity Agreement is not renewed as a result of a Liquidity Commitment Non-Renewal, the Maximum Amount of the Program shall be partially and automatically reduced by an amount equal to the commitment of the Liquidity Bank party to such Liquidity Agreement (except in circumstances where such Liquidity Bank would have renewed the Fund Subscription Agreement to which it is a party). Similarly, in the event that any Fund Subscription Agreement is not renewed as a result of a Subscription Commitment Non-Renewal, the</w:t>
      </w:r>
    </w:p>
    <w:p>
      <w:pPr>
        <w:sectPr>
          <w:pgSz w:w="11900" w:h="16838" w:orient="portrait"/>
          <w:cols w:equalWidth="0" w:num="1">
            <w:col w:w="10722"/>
          </w:cols>
          <w:pgMar w:left="838" w:top="1440" w:right="339" w:bottom="1440" w:gutter="0" w:footer="0" w:header="0"/>
        </w:sectPr>
      </w:pPr>
    </w:p>
    <w:bookmarkStart w:id="165" w:name="page166"/>
    <w:bookmarkEnd w:id="165"/>
    <w:p>
      <w:pPr>
        <w:spacing w:after="0" w:line="203" w:lineRule="exact"/>
        <w:rPr>
          <w:sz w:val="20"/>
          <w:szCs w:val="20"/>
          <w:color w:val="auto"/>
        </w:rPr>
      </w:pPr>
    </w:p>
    <w:p>
      <w:pPr>
        <w:jc w:val="both"/>
        <w:ind w:left="1022"/>
        <w:spacing w:after="0" w:line="338" w:lineRule="auto"/>
        <w:rPr>
          <w:sz w:val="20"/>
          <w:szCs w:val="20"/>
          <w:color w:val="auto"/>
        </w:rPr>
      </w:pPr>
      <w:r>
        <w:rPr>
          <w:rFonts w:ascii="Times New Roman" w:cs="Times New Roman" w:eastAsia="Times New Roman" w:hAnsi="Times New Roman"/>
          <w:sz w:val="20"/>
          <w:szCs w:val="20"/>
          <w:color w:val="auto"/>
        </w:rPr>
        <w:t>Maximum Amount of the Program shall be partially and automatically reduced by an amount equal to the commitment of the Fund Subscriber party to such Fund Subscription Agreement (except in circumstances where such Fund Subscriber would have renewed the Liquidity Agreement to which it is a party).</w:t>
      </w:r>
    </w:p>
    <w:p>
      <w:pPr>
        <w:spacing w:after="0" w:line="81" w:lineRule="exact"/>
        <w:rPr>
          <w:sz w:val="20"/>
          <w:szCs w:val="20"/>
          <w:color w:val="auto"/>
        </w:rPr>
      </w:pPr>
    </w:p>
    <w:p>
      <w:pPr>
        <w:jc w:val="both"/>
        <w:ind w:left="1022"/>
        <w:spacing w:after="0" w:line="333" w:lineRule="auto"/>
        <w:rPr>
          <w:sz w:val="20"/>
          <w:szCs w:val="20"/>
          <w:color w:val="auto"/>
        </w:rPr>
      </w:pPr>
      <w:r>
        <w:rPr>
          <w:rFonts w:ascii="Times New Roman" w:cs="Times New Roman" w:eastAsia="Times New Roman" w:hAnsi="Times New Roman"/>
          <w:sz w:val="20"/>
          <w:szCs w:val="20"/>
          <w:color w:val="auto"/>
        </w:rPr>
        <w:t>Such reduction of the Maximum Amount of the Program shall take effect on the later of (i) the Funded Settlement Date following the date upon which an event described above has occurred and (ii) the expiry date of the corresponding Alternative Funding Letter (if any). Such reduction of the Maximum Amount of the Program shall be definitive and irrevocable.</w:t>
      </w:r>
    </w:p>
    <w:p>
      <w:pPr>
        <w:spacing w:after="0" w:line="178" w:lineRule="exact"/>
        <w:rPr>
          <w:sz w:val="20"/>
          <w:szCs w:val="20"/>
          <w:color w:val="auto"/>
        </w:rPr>
      </w:pPr>
    </w:p>
    <w:p>
      <w:pPr>
        <w:ind w:left="502" w:hanging="502"/>
        <w:spacing w:after="0"/>
        <w:tabs>
          <w:tab w:leader="none" w:pos="502"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Amount of the Purchaser's Funding on the Initial Settlement Date</w:t>
      </w:r>
    </w:p>
    <w:p>
      <w:pPr>
        <w:spacing w:after="0" w:line="19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On the Initial Settlement Date, the amount of the Purchaser's Funding shall be equal to the lower of the following amounts:</w:t>
      </w:r>
    </w:p>
    <w:p>
      <w:pPr>
        <w:spacing w:after="0" w:line="202" w:lineRule="exact"/>
        <w:rPr>
          <w:sz w:val="20"/>
          <w:szCs w:val="20"/>
          <w:color w:val="auto"/>
        </w:rPr>
      </w:pPr>
    </w:p>
    <w:p>
      <w:pPr>
        <w:ind w:left="1522" w:right="20" w:hanging="501"/>
        <w:spacing w:after="0" w:line="353" w:lineRule="auto"/>
        <w:tabs>
          <w:tab w:leader="none" w:pos="1511"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Eligible Receivables to be purchased by the Purchaser on such date, multiplied by the excess of:</w:t>
      </w:r>
    </w:p>
    <w:p>
      <w:pPr>
        <w:spacing w:after="0" w:line="52" w:lineRule="exact"/>
        <w:rPr>
          <w:sz w:val="20"/>
          <w:szCs w:val="20"/>
          <w:color w:val="auto"/>
        </w:rPr>
      </w:pPr>
    </w:p>
    <w:p>
      <w:pPr>
        <w:ind w:left="1282" w:hanging="261"/>
        <w:spacing w:after="0"/>
        <w:tabs>
          <w:tab w:leader="none" w:pos="128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(1) less;</w:t>
      </w:r>
    </w:p>
    <w:p>
      <w:pPr>
        <w:spacing w:after="0" w:line="188" w:lineRule="exact"/>
        <w:rPr>
          <w:rFonts w:ascii="Times New Roman" w:cs="Times New Roman" w:eastAsia="Times New Roman" w:hAnsi="Times New Roman"/>
          <w:sz w:val="20"/>
          <w:szCs w:val="20"/>
          <w:color w:val="auto"/>
        </w:rPr>
      </w:pPr>
    </w:p>
    <w:p>
      <w:pPr>
        <w:ind w:left="1282" w:hanging="261"/>
        <w:spacing w:after="0"/>
        <w:tabs>
          <w:tab w:leader="none" w:pos="128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Overcollateralisation Rate and the Discount Reserve Rate; and</w:t>
      </w:r>
    </w:p>
    <w:p>
      <w:pPr>
        <w:spacing w:after="0" w:line="189" w:lineRule="exact"/>
        <w:rPr>
          <w:sz w:val="20"/>
          <w:szCs w:val="20"/>
          <w:color w:val="auto"/>
        </w:rPr>
      </w:pPr>
    </w:p>
    <w:p>
      <w:pPr>
        <w:ind w:left="1522" w:hanging="501"/>
        <w:spacing w:after="0"/>
        <w:tabs>
          <w:tab w:leader="none" w:pos="152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Requested Amount of the Purchaser's Funding.</w:t>
      </w:r>
    </w:p>
    <w:p>
      <w:pPr>
        <w:spacing w:after="0" w:line="184"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the Purchaser's Funding</w:t>
      </w:r>
    </w:p>
    <w:p>
      <w:pPr>
        <w:spacing w:after="0" w:line="206" w:lineRule="exact"/>
        <w:rPr>
          <w:sz w:val="20"/>
          <w:szCs w:val="20"/>
          <w:color w:val="auto"/>
        </w:rPr>
      </w:pPr>
    </w:p>
    <w:p>
      <w:pPr>
        <w:ind w:left="542"/>
        <w:spacing w:after="0" w:line="353" w:lineRule="auto"/>
        <w:rPr>
          <w:sz w:val="20"/>
          <w:szCs w:val="20"/>
          <w:color w:val="auto"/>
        </w:rPr>
      </w:pPr>
      <w:r>
        <w:rPr>
          <w:rFonts w:ascii="Times New Roman" w:cs="Times New Roman" w:eastAsia="Times New Roman" w:hAnsi="Times New Roman"/>
          <w:sz w:val="20"/>
          <w:szCs w:val="20"/>
          <w:color w:val="auto"/>
        </w:rPr>
        <w:t>On each Funded Settlement Date during the Replenishment Period other than the Initial Settlement Date, the Purchaser's Funding shall be adjusted as follows:</w:t>
      </w:r>
    </w:p>
    <w:p>
      <w:pPr>
        <w:spacing w:after="0" w:line="52" w:lineRule="exact"/>
        <w:rPr>
          <w:sz w:val="20"/>
          <w:szCs w:val="20"/>
          <w:color w:val="auto"/>
        </w:rPr>
      </w:pPr>
    </w:p>
    <w:p>
      <w:pPr>
        <w:ind w:left="1522" w:hanging="501"/>
        <w:spacing w:after="0"/>
        <w:tabs>
          <w:tab w:leader="none" w:pos="152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lower of the following amounts:</w:t>
      </w:r>
    </w:p>
    <w:p>
      <w:pPr>
        <w:spacing w:after="0" w:line="188" w:lineRule="exact"/>
        <w:rPr>
          <w:rFonts w:ascii="Times New Roman" w:cs="Times New Roman" w:eastAsia="Times New Roman" w:hAnsi="Times New Roman"/>
          <w:sz w:val="20"/>
          <w:szCs w:val="20"/>
          <w:color w:val="auto"/>
        </w:rPr>
      </w:pPr>
    </w:p>
    <w:p>
      <w:pPr>
        <w:ind w:left="1842" w:hanging="438"/>
        <w:spacing w:after="0"/>
        <w:tabs>
          <w:tab w:leader="none" w:pos="1842"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57" w:lineRule="exact"/>
        <w:rPr>
          <w:rFonts w:ascii="Times New Roman" w:cs="Times New Roman" w:eastAsia="Times New Roman" w:hAnsi="Times New Roman"/>
          <w:sz w:val="20"/>
          <w:szCs w:val="20"/>
          <w:color w:val="auto"/>
        </w:rPr>
      </w:pPr>
    </w:p>
    <w:p>
      <w:pPr>
        <w:ind w:left="2362" w:hanging="321"/>
        <w:spacing w:after="0" w:line="315" w:lineRule="auto"/>
        <w:tabs>
          <w:tab w:leader="none" w:pos="2360"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Fundable Receivables Pool Balance multiplied by the positive difference between (</w:t>
      </w: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20"/>
          <w:szCs w:val="20"/>
          <w:color w:val="auto"/>
        </w:rPr>
        <w:t>) one (1) and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the sum of the Overcollateralisation Rate and the Discount Reserve Rate; and</w:t>
      </w:r>
    </w:p>
    <w:p>
      <w:pPr>
        <w:spacing w:after="0" w:line="169" w:lineRule="exact"/>
        <w:rPr>
          <w:rFonts w:ascii="Times New Roman" w:cs="Times New Roman" w:eastAsia="Times New Roman" w:hAnsi="Times New Roman"/>
          <w:sz w:val="20"/>
          <w:szCs w:val="20"/>
          <w:color w:val="auto"/>
        </w:rPr>
      </w:pPr>
    </w:p>
    <w:p>
      <w:pPr>
        <w:ind w:left="2362" w:hanging="321"/>
        <w:spacing w:after="0"/>
        <w:tabs>
          <w:tab w:leader="none" w:pos="2362"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 Rebates Enhanced Financing Amount; and</w:t>
      </w:r>
    </w:p>
    <w:p>
      <w:pPr>
        <w:spacing w:after="0" w:line="175" w:lineRule="exact"/>
        <w:rPr>
          <w:rFonts w:ascii="Times New Roman" w:cs="Times New Roman" w:eastAsia="Times New Roman" w:hAnsi="Times New Roman"/>
          <w:sz w:val="20"/>
          <w:szCs w:val="20"/>
          <w:color w:val="auto"/>
        </w:rPr>
      </w:pPr>
    </w:p>
    <w:p>
      <w:pPr>
        <w:ind w:left="1842" w:hanging="438"/>
        <w:spacing w:after="0"/>
        <w:tabs>
          <w:tab w:leader="none" w:pos="1842"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Requested Amount of the Purchaser's Funding,</w:t>
      </w:r>
    </w:p>
    <w:p>
      <w:pPr>
        <w:spacing w:after="0" w:line="29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20"/>
          <w:szCs w:val="20"/>
          <w:color w:val="auto"/>
        </w:rPr>
        <w:t>rounded down to the nearest whole multiple of EUR1,000 (one thousand Euro),</w:t>
      </w:r>
    </w:p>
    <w:p>
      <w:pPr>
        <w:spacing w:after="0" w:line="189" w:lineRule="exact"/>
        <w:rPr>
          <w:sz w:val="20"/>
          <w:szCs w:val="20"/>
          <w:color w:val="auto"/>
        </w:rPr>
      </w:pPr>
    </w:p>
    <w:p>
      <w:pPr>
        <w:ind w:left="902"/>
        <w:spacing w:after="0"/>
        <w:rPr>
          <w:sz w:val="20"/>
          <w:szCs w:val="20"/>
          <w:color w:val="auto"/>
        </w:rPr>
      </w:pPr>
      <w:r>
        <w:rPr>
          <w:rFonts w:ascii="Times New Roman" w:cs="Times New Roman" w:eastAsia="Times New Roman" w:hAnsi="Times New Roman"/>
          <w:sz w:val="20"/>
          <w:szCs w:val="20"/>
          <w:color w:val="auto"/>
        </w:rPr>
        <w:t>exceeds the amount of the Purchaser's Funding outstanding on the preceding Funded Settlement Date,</w:t>
      </w:r>
    </w:p>
    <w:p>
      <w:pPr>
        <w:spacing w:after="0" w:line="185" w:lineRule="exact"/>
        <w:rPr>
          <w:sz w:val="20"/>
          <w:szCs w:val="20"/>
          <w:color w:val="auto"/>
        </w:rPr>
      </w:pPr>
    </w:p>
    <w:p>
      <w:pPr>
        <w:ind w:left="902" w:right="20"/>
        <w:spacing w:after="0" w:line="371" w:lineRule="auto"/>
        <w:rPr>
          <w:sz w:val="20"/>
          <w:szCs w:val="20"/>
          <w:color w:val="auto"/>
        </w:rPr>
      </w:pPr>
      <w:r>
        <w:rPr>
          <w:rFonts w:ascii="Times New Roman" w:cs="Times New Roman" w:eastAsia="Times New Roman" w:hAnsi="Times New Roman"/>
          <w:sz w:val="20"/>
          <w:szCs w:val="20"/>
          <w:color w:val="auto"/>
        </w:rPr>
        <w:t>then the Purchaser's Funding shall be increased by the amount of such excess (the "</w:t>
      </w:r>
      <w:r>
        <w:rPr>
          <w:rFonts w:ascii="Times New Roman" w:cs="Times New Roman" w:eastAsia="Times New Roman" w:hAnsi="Times New Roman"/>
          <w:sz w:val="20"/>
          <w:szCs w:val="20"/>
          <w:b w:val="1"/>
          <w:bCs w:val="1"/>
          <w:color w:val="auto"/>
        </w:rPr>
        <w:t>Increase in the Purchaser's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Funding</w:t>
      </w:r>
      <w:r>
        <w:rPr>
          <w:rFonts w:ascii="Times New Roman" w:cs="Times New Roman" w:eastAsia="Times New Roman" w:hAnsi="Times New Roman"/>
          <w:sz w:val="20"/>
          <w:szCs w:val="20"/>
          <w:color w:val="auto"/>
        </w:rPr>
        <w:t>"); and</w:t>
      </w:r>
    </w:p>
    <w:p>
      <w:pPr>
        <w:sectPr>
          <w:pgSz w:w="11900" w:h="16838" w:orient="portrait"/>
          <w:cols w:equalWidth="0" w:num="1">
            <w:col w:w="10722"/>
          </w:cols>
          <w:pgMar w:left="838" w:top="1440" w:right="339" w:bottom="1440" w:gutter="0" w:footer="0" w:header="0"/>
        </w:sectPr>
      </w:pPr>
    </w:p>
    <w:bookmarkStart w:id="166" w:name="page167"/>
    <w:bookmarkEnd w:id="166"/>
    <w:p>
      <w:pPr>
        <w:spacing w:after="0" w:line="95" w:lineRule="exact"/>
        <w:rPr>
          <w:sz w:val="20"/>
          <w:szCs w:val="20"/>
          <w:color w:val="auto"/>
        </w:rPr>
      </w:pPr>
    </w:p>
    <w:p>
      <w:pPr>
        <w:ind w:left="1522" w:hanging="501"/>
        <w:spacing w:after="0"/>
        <w:tabs>
          <w:tab w:leader="none" w:pos="152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lower of the following amounts:</w:t>
      </w:r>
    </w:p>
    <w:p>
      <w:pPr>
        <w:spacing w:after="0" w:line="188" w:lineRule="exact"/>
        <w:rPr>
          <w:rFonts w:ascii="Times New Roman" w:cs="Times New Roman" w:eastAsia="Times New Roman" w:hAnsi="Times New Roman"/>
          <w:sz w:val="20"/>
          <w:szCs w:val="20"/>
          <w:color w:val="auto"/>
        </w:rPr>
      </w:pPr>
    </w:p>
    <w:p>
      <w:pPr>
        <w:ind w:left="2222" w:hanging="437"/>
        <w:spacing w:after="0"/>
        <w:tabs>
          <w:tab w:leader="none" w:pos="222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57" w:lineRule="exact"/>
        <w:rPr>
          <w:rFonts w:ascii="Times New Roman" w:cs="Times New Roman" w:eastAsia="Times New Roman" w:hAnsi="Times New Roman"/>
          <w:sz w:val="20"/>
          <w:szCs w:val="20"/>
          <w:color w:val="auto"/>
        </w:rPr>
      </w:pPr>
    </w:p>
    <w:p>
      <w:pPr>
        <w:ind w:left="2362" w:hanging="321"/>
        <w:spacing w:after="0" w:line="315" w:lineRule="auto"/>
        <w:tabs>
          <w:tab w:leader="none" w:pos="236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Fundable Receivables Pool multiplied by the positive difference between (</w:t>
      </w: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20"/>
          <w:szCs w:val="20"/>
          <w:color w:val="auto"/>
        </w:rPr>
        <w:t>) one (1) and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the sum of the Overcollateralisation Rate and the Discount Reserve Rate; and</w:t>
      </w:r>
    </w:p>
    <w:p>
      <w:pPr>
        <w:spacing w:after="0" w:line="169" w:lineRule="exact"/>
        <w:rPr>
          <w:rFonts w:ascii="Times New Roman" w:cs="Times New Roman" w:eastAsia="Times New Roman" w:hAnsi="Times New Roman"/>
          <w:sz w:val="20"/>
          <w:szCs w:val="20"/>
          <w:color w:val="auto"/>
        </w:rPr>
      </w:pPr>
    </w:p>
    <w:p>
      <w:pPr>
        <w:ind w:left="2362" w:hanging="321"/>
        <w:spacing w:after="0"/>
        <w:tabs>
          <w:tab w:leader="none" w:pos="2362"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Year End Rebates Enhanced Financing Amount; and</w:t>
      </w:r>
    </w:p>
    <w:p>
      <w:pPr>
        <w:spacing w:after="0" w:line="175" w:lineRule="exact"/>
        <w:rPr>
          <w:rFonts w:ascii="Times New Roman" w:cs="Times New Roman" w:eastAsia="Times New Roman" w:hAnsi="Times New Roman"/>
          <w:sz w:val="20"/>
          <w:szCs w:val="20"/>
          <w:color w:val="auto"/>
        </w:rPr>
      </w:pPr>
    </w:p>
    <w:p>
      <w:pPr>
        <w:ind w:left="2222" w:hanging="437"/>
        <w:spacing w:after="0"/>
        <w:tabs>
          <w:tab w:leader="none" w:pos="222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Requested Amount of the Purchaser's Funding,</w:t>
      </w:r>
    </w:p>
    <w:p>
      <w:pPr>
        <w:spacing w:after="0" w:line="29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20"/>
          <w:szCs w:val="20"/>
          <w:color w:val="auto"/>
        </w:rPr>
        <w:t>rounded down to the nearest whole multiple of EUR1,000 (one thousand Euro),</w:t>
      </w:r>
    </w:p>
    <w:p>
      <w:pPr>
        <w:spacing w:after="0" w:line="189" w:lineRule="exact"/>
        <w:rPr>
          <w:sz w:val="20"/>
          <w:szCs w:val="20"/>
          <w:color w:val="auto"/>
        </w:rPr>
      </w:pPr>
    </w:p>
    <w:p>
      <w:pPr>
        <w:ind w:left="902"/>
        <w:spacing w:after="0"/>
        <w:rPr>
          <w:sz w:val="20"/>
          <w:szCs w:val="20"/>
          <w:color w:val="auto"/>
        </w:rPr>
      </w:pPr>
      <w:r>
        <w:rPr>
          <w:rFonts w:ascii="Times New Roman" w:cs="Times New Roman" w:eastAsia="Times New Roman" w:hAnsi="Times New Roman"/>
          <w:sz w:val="20"/>
          <w:szCs w:val="20"/>
          <w:color w:val="auto"/>
        </w:rPr>
        <w:t>is lower than the amount of the Purchaser's Funding outstanding on the preceding Funded Settlement Date,</w:t>
      </w:r>
    </w:p>
    <w:p>
      <w:pPr>
        <w:spacing w:after="0" w:line="185" w:lineRule="exact"/>
        <w:rPr>
          <w:sz w:val="20"/>
          <w:szCs w:val="20"/>
          <w:color w:val="auto"/>
        </w:rPr>
      </w:pPr>
    </w:p>
    <w:p>
      <w:pPr>
        <w:ind w:left="902"/>
        <w:spacing w:after="0" w:line="371" w:lineRule="auto"/>
        <w:rPr>
          <w:sz w:val="20"/>
          <w:szCs w:val="20"/>
          <w:color w:val="auto"/>
        </w:rPr>
      </w:pPr>
      <w:r>
        <w:rPr>
          <w:rFonts w:ascii="Times New Roman" w:cs="Times New Roman" w:eastAsia="Times New Roman" w:hAnsi="Times New Roman"/>
          <w:sz w:val="20"/>
          <w:szCs w:val="20"/>
          <w:color w:val="auto"/>
        </w:rPr>
        <w:t>then the Purchaser's Funding shall be reduced by the amount of such difference (the "</w:t>
      </w:r>
      <w:r>
        <w:rPr>
          <w:rFonts w:ascii="Times New Roman" w:cs="Times New Roman" w:eastAsia="Times New Roman" w:hAnsi="Times New Roman"/>
          <w:sz w:val="20"/>
          <w:szCs w:val="20"/>
          <w:b w:val="1"/>
          <w:bCs w:val="1"/>
          <w:color w:val="auto"/>
        </w:rPr>
        <w:t>Reduction in the Purchaser's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Funding</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ind w:left="502" w:hanging="502"/>
        <w:spacing w:after="0"/>
        <w:tabs>
          <w:tab w:leader="none" w:pos="502"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Amount of the Purchaser's Funding in the event of a Potential Early Amortisation Event</w:t>
      </w:r>
    </w:p>
    <w:p>
      <w:pPr>
        <w:spacing w:after="0" w:line="193" w:lineRule="exact"/>
        <w:rPr>
          <w:sz w:val="20"/>
          <w:szCs w:val="20"/>
          <w:color w:val="auto"/>
        </w:rPr>
      </w:pPr>
    </w:p>
    <w:p>
      <w:pPr>
        <w:jc w:val="both"/>
        <w:ind w:left="142"/>
        <w:spacing w:after="0" w:line="338" w:lineRule="auto"/>
        <w:rPr>
          <w:sz w:val="20"/>
          <w:szCs w:val="20"/>
          <w:color w:val="auto"/>
        </w:rPr>
      </w:pPr>
      <w:r>
        <w:rPr>
          <w:rFonts w:ascii="Times New Roman" w:cs="Times New Roman" w:eastAsia="Times New Roman" w:hAnsi="Times New Roman"/>
          <w:sz w:val="20"/>
          <w:szCs w:val="20"/>
          <w:color w:val="auto"/>
        </w:rPr>
        <w:t>In the event that a Potential Early Amortisation Event occurs, and as long as such Potential Early Amortisation Event is continuing, the amount of the Purchaser's Funding shall be limited to the amount of the Purchaser's Funding on the Funded Settlement Date before such Potential Early Amortisation Event has occurred.</w:t>
      </w:r>
    </w:p>
    <w:p>
      <w:pPr>
        <w:spacing w:after="0" w:line="226" w:lineRule="exact"/>
        <w:rPr>
          <w:sz w:val="20"/>
          <w:szCs w:val="20"/>
          <w:color w:val="auto"/>
        </w:rPr>
      </w:pPr>
    </w:p>
    <w:p>
      <w:pPr>
        <w:ind w:left="502" w:hanging="502"/>
        <w:spacing w:after="0"/>
        <w:tabs>
          <w:tab w:leader="none" w:pos="502"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SUBORDINATED DEPOSIT</w:t>
      </w:r>
    </w:p>
    <w:p>
      <w:pPr>
        <w:spacing w:after="0" w:line="135" w:lineRule="exact"/>
        <w:rPr>
          <w:sz w:val="20"/>
          <w:szCs w:val="20"/>
          <w:color w:val="auto"/>
        </w:rPr>
      </w:pPr>
    </w:p>
    <w:p>
      <w:pPr>
        <w:ind w:left="502" w:hanging="502"/>
        <w:spacing w:after="0"/>
        <w:tabs>
          <w:tab w:leader="none" w:pos="502"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Subordinated Deposit</w:t>
      </w:r>
    </w:p>
    <w:p>
      <w:pPr>
        <w:spacing w:after="0" w:line="193" w:lineRule="exact"/>
        <w:rPr>
          <w:sz w:val="20"/>
          <w:szCs w:val="20"/>
          <w:color w:val="auto"/>
        </w:rPr>
      </w:pPr>
    </w:p>
    <w:p>
      <w:pPr>
        <w:jc w:val="both"/>
        <w:ind w:left="142"/>
        <w:spacing w:after="0" w:line="338" w:lineRule="auto"/>
        <w:rPr>
          <w:sz w:val="20"/>
          <w:szCs w:val="20"/>
          <w:color w:val="auto"/>
        </w:rPr>
      </w:pPr>
      <w:r>
        <w:rPr>
          <w:rFonts w:ascii="Times New Roman" w:cs="Times New Roman" w:eastAsia="Times New Roman" w:hAnsi="Times New Roman"/>
          <w:sz w:val="20"/>
          <w:szCs w:val="20"/>
          <w:color w:val="auto"/>
        </w:rPr>
        <w:t>On the first Settlement Date following the 2008 Amendment Date, the Subordinated Depositor shall make a Subordinated Deposit in Euro with the Purchaser and on each following Settlement Date during the Replenishment Period, the amount of the Subordinated Deposit shall be increased or decreased in accordance with the calculations made by the Agent on each Calculation Date in accordance with the provisions of schedules 1 and 2 of the Master Subordinated Deposit Agreement.</w:t>
      </w:r>
    </w:p>
    <w:p>
      <w:pPr>
        <w:spacing w:after="0" w:line="68" w:lineRule="exact"/>
        <w:rPr>
          <w:sz w:val="20"/>
          <w:szCs w:val="20"/>
          <w:color w:val="auto"/>
        </w:rPr>
      </w:pPr>
    </w:p>
    <w:p>
      <w:pPr>
        <w:jc w:val="both"/>
        <w:ind w:left="142"/>
        <w:spacing w:after="0" w:line="338" w:lineRule="auto"/>
        <w:rPr>
          <w:sz w:val="20"/>
          <w:szCs w:val="20"/>
          <w:color w:val="auto"/>
        </w:rPr>
      </w:pPr>
      <w:r>
        <w:rPr>
          <w:rFonts w:ascii="Times New Roman" w:cs="Times New Roman" w:eastAsia="Times New Roman" w:hAnsi="Times New Roman"/>
          <w:sz w:val="20"/>
          <w:szCs w:val="20"/>
          <w:color w:val="auto"/>
        </w:rPr>
        <w:t>On each Calculation Date during the Replenishment Period, the Agent shall calculate the difference between (i) the amount of the Subordinated Deposit to be made on the following Settlement Date and (ii) the amount of the Subordinated Deposit made on the preceding Settlement Date.</w:t>
      </w:r>
    </w:p>
    <w:p>
      <w:pPr>
        <w:spacing w:after="0" w:line="185" w:lineRule="exact"/>
        <w:rPr>
          <w:sz w:val="20"/>
          <w:szCs w:val="20"/>
          <w:color w:val="auto"/>
        </w:rPr>
      </w:pPr>
    </w:p>
    <w:p>
      <w:pPr>
        <w:ind w:left="502" w:hanging="502"/>
        <w:spacing w:after="0"/>
        <w:tabs>
          <w:tab w:leader="none" w:pos="502"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Pledge of the Subordinated Deposit</w:t>
      </w:r>
    </w:p>
    <w:p>
      <w:pPr>
        <w:sectPr>
          <w:pgSz w:w="11900" w:h="16838" w:orient="portrait"/>
          <w:cols w:equalWidth="0" w:num="1">
            <w:col w:w="10722"/>
          </w:cols>
          <w:pgMar w:left="838" w:top="1440" w:right="339" w:bottom="1440" w:gutter="0" w:footer="0" w:header="0"/>
        </w:sectPr>
      </w:pPr>
    </w:p>
    <w:bookmarkStart w:id="167" w:name="page168"/>
    <w:bookmarkEnd w:id="167"/>
    <w:p>
      <w:pPr>
        <w:spacing w:after="0" w:line="91" w:lineRule="exact"/>
        <w:rPr>
          <w:sz w:val="20"/>
          <w:szCs w:val="20"/>
          <w:color w:val="auto"/>
        </w:rPr>
      </w:pPr>
    </w:p>
    <w:p>
      <w:pPr>
        <w:jc w:val="both"/>
        <w:ind w:left="142"/>
        <w:spacing w:after="0" w:line="330" w:lineRule="auto"/>
        <w:rPr>
          <w:sz w:val="20"/>
          <w:szCs w:val="20"/>
          <w:color w:val="auto"/>
        </w:rPr>
      </w:pPr>
      <w:r>
        <w:rPr>
          <w:rFonts w:ascii="Times New Roman" w:cs="Times New Roman" w:eastAsia="Times New Roman" w:hAnsi="Times New Roman"/>
          <w:sz w:val="20"/>
          <w:szCs w:val="20"/>
          <w:color w:val="auto"/>
        </w:rPr>
        <w:t>The Subordinated Deposit shall be pledged as cash collateral (</w:t>
      </w:r>
      <w:r>
        <w:rPr>
          <w:rFonts w:ascii="Times New Roman" w:cs="Times New Roman" w:eastAsia="Times New Roman" w:hAnsi="Times New Roman"/>
          <w:sz w:val="20"/>
          <w:szCs w:val="20"/>
          <w:i w:val="1"/>
          <w:iCs w:val="1"/>
          <w:color w:val="auto"/>
        </w:rPr>
        <w:t>affecté à titre de gage-espèces</w:t>
      </w:r>
      <w:r>
        <w:rPr>
          <w:rFonts w:ascii="Times New Roman" w:cs="Times New Roman" w:eastAsia="Times New Roman" w:hAnsi="Times New Roman"/>
          <w:sz w:val="20"/>
          <w:szCs w:val="20"/>
          <w:color w:val="auto"/>
        </w:rPr>
        <w:t>) by the Centralising Unit, in favour of the Purchaser, to secure the payment of (i) any sum due by the Debtors to the Purchaser in respect of the Sold Receivables and (ii) any sum due to the Purchaser by any Seller, the Centralising Unit or the Italian Issuer pursuant to the Transaction Documents; provided that, in respect of sums due by the Italian Issuer, such sums shall be limited to those remaining due under the Italian Notes (notwithstanding any limited recourse provision applicable thereto) as a result of any payment default from a Debtor under a Refinanced Sold Receivable or from the Italian Seller under the Italian Receivables Purchase Agreement and provided, further, that no party shall be entitled to receive, as a result of such pledge, any amounts in addition to those that it is entitled to receive pursuant to Article 14.</w:t>
      </w:r>
    </w:p>
    <w:p>
      <w:pPr>
        <w:spacing w:after="0" w:line="184" w:lineRule="exact"/>
        <w:rPr>
          <w:sz w:val="20"/>
          <w:szCs w:val="20"/>
          <w:color w:val="auto"/>
        </w:rPr>
      </w:pPr>
    </w:p>
    <w:p>
      <w:pPr>
        <w:ind w:left="502" w:hanging="502"/>
        <w:spacing w:after="0"/>
        <w:tabs>
          <w:tab w:leader="none" w:pos="502"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Repayment of the Subordinated Deposit</w:t>
      </w:r>
    </w:p>
    <w:p>
      <w:pPr>
        <w:spacing w:after="0" w:line="206" w:lineRule="exact"/>
        <w:rPr>
          <w:sz w:val="20"/>
          <w:szCs w:val="20"/>
          <w:color w:val="auto"/>
        </w:rPr>
      </w:pPr>
    </w:p>
    <w:p>
      <w:pPr>
        <w:ind w:left="142" w:right="20"/>
        <w:spacing w:after="0" w:line="353" w:lineRule="auto"/>
        <w:rPr>
          <w:sz w:val="20"/>
          <w:szCs w:val="20"/>
          <w:color w:val="auto"/>
        </w:rPr>
      </w:pPr>
      <w:r>
        <w:rPr>
          <w:rFonts w:ascii="Times New Roman" w:cs="Times New Roman" w:eastAsia="Times New Roman" w:hAnsi="Times New Roman"/>
          <w:sz w:val="20"/>
          <w:szCs w:val="20"/>
          <w:color w:val="auto"/>
        </w:rPr>
        <w:t>The repayment of the Subordinated Deposit shall be carried out in accordance with the terms and conditions set forth in the Master Subordinated Deposit Agreement and Article 16 (</w:t>
      </w:r>
      <w:r>
        <w:rPr>
          <w:rFonts w:ascii="Times New Roman" w:cs="Times New Roman" w:eastAsia="Times New Roman" w:hAnsi="Times New Roman"/>
          <w:sz w:val="20"/>
          <w:szCs w:val="20"/>
          <w:i w:val="1"/>
          <w:iCs w:val="1"/>
          <w:color w:val="auto"/>
        </w:rPr>
        <w:t>Order of Priority during the Amortisation Period</w:t>
      </w:r>
      <w:r>
        <w:rPr>
          <w:rFonts w:ascii="Times New Roman" w:cs="Times New Roman" w:eastAsia="Times New Roman" w:hAnsi="Times New Roman"/>
          <w:sz w:val="20"/>
          <w:szCs w:val="20"/>
          <w:color w:val="auto"/>
        </w:rPr>
        <w:t>).</w:t>
      </w:r>
    </w:p>
    <w:p>
      <w:pPr>
        <w:spacing w:after="0" w:line="372"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CHAPTER IV</w:t>
      </w:r>
    </w:p>
    <w:p>
      <w:pPr>
        <w:spacing w:after="0" w:line="81"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FEES</w:t>
      </w:r>
    </w:p>
    <w:p>
      <w:pPr>
        <w:spacing w:after="0" w:line="351" w:lineRule="exact"/>
        <w:rPr>
          <w:sz w:val="20"/>
          <w:szCs w:val="20"/>
          <w:color w:val="auto"/>
        </w:rPr>
      </w:pPr>
    </w:p>
    <w:p>
      <w:pPr>
        <w:ind w:left="502" w:hanging="502"/>
        <w:spacing w:after="0"/>
        <w:tabs>
          <w:tab w:leader="none" w:pos="502"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FEES</w:t>
      </w:r>
    </w:p>
    <w:p>
      <w:pPr>
        <w:spacing w:after="0" w:line="139" w:lineRule="exact"/>
        <w:rPr>
          <w:sz w:val="20"/>
          <w:szCs w:val="20"/>
          <w:color w:val="auto"/>
        </w:rPr>
      </w:pPr>
    </w:p>
    <w:p>
      <w:pPr>
        <w:ind w:left="502" w:hanging="502"/>
        <w:spacing w:after="0" w:line="353" w:lineRule="auto"/>
        <w:tabs>
          <w:tab w:leader="none" w:pos="49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Funded Settlement Date (except the Initial Settlement Date), the Centralising Unit shall pay to the Agent, the Management Fee which is due to compensate the Agent for its services under this Agreement.</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30" w:lineRule="auto"/>
        <w:tabs>
          <w:tab w:leader="none" w:pos="49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Management Fee shall be equal to €10,041.66 per month to be increased to €12,791.66 per month during any Bi-monthly Management Period (VAT excluded), increased by the applicable VAT. In the event that the Centralising Unit decides to terminate the Securitisation Transaction and repurchases the Sold Receivables upon such termination (other than a termination after (i) the occurrence of an Early Amortisation Event, (ii) a drawing under a Liquidity Agreement or (iii) the exercise of the rights stated in a Bank Commitment Letter) and does not inform the Agent at the latest three (3) months beforehand, the Centralising Unit undertakes to pay an amount upon such termination equal to the lesser of (i) the Management Fee for three (3) months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€30,124.98) (VAT excluded), increased by the applicable VAT, from the date on which the notice of termination is delivered minus any Management Fee otherwise paid after notice of termination is delivered and (ii) the Management Fee that would otherwise have been payable from such termination until the expiration date of the Liquidity Agreements and the Fund Subscription Agreements.</w:t>
      </w:r>
    </w:p>
    <w:p>
      <w:pPr>
        <w:sectPr>
          <w:pgSz w:w="11900" w:h="16838" w:orient="portrait"/>
          <w:cols w:equalWidth="0" w:num="1">
            <w:col w:w="10722"/>
          </w:cols>
          <w:pgMar w:left="838" w:top="1440" w:right="339" w:bottom="1440" w:gutter="0" w:footer="0" w:header="0"/>
        </w:sectPr>
      </w:pPr>
    </w:p>
    <w:bookmarkStart w:id="168" w:name="page169"/>
    <w:bookmarkEnd w:id="168"/>
    <w:p>
      <w:pPr>
        <w:spacing w:after="0" w:line="203" w:lineRule="exact"/>
        <w:rPr>
          <w:sz w:val="20"/>
          <w:szCs w:val="20"/>
          <w:color w:val="auto"/>
        </w:rPr>
      </w:pPr>
    </w:p>
    <w:p>
      <w:pPr>
        <w:ind w:left="502" w:hanging="502"/>
        <w:spacing w:after="0" w:line="353" w:lineRule="auto"/>
        <w:tabs>
          <w:tab w:leader="none" w:pos="4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notify the amount of the Management Fee to the Centralising Unit, at the latest before 5:00 p.m. on the Calculation Date immediately preceding any Funded Settlement Date.</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Funded Settlement Date, the Centralising Unit shall pay the Management Fee by crediting the Agent's Account before 12:00 (noon), for an amount equal to the Management Fee, as determined in accordance with Article 8.2. The Parties acknowledge that the payment of such Management Fee by the Centralising Unit to the Agent shall be expressly excluded from the Current Account mechanism.</w:t>
      </w:r>
    </w:p>
    <w:p>
      <w:pPr>
        <w:spacing w:after="0" w:line="175"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Centralising Unit fails to pay such Management Fee on a Funded Settlement Date, the Purchaser shall proceed forthwith with the payment of such Management Fee, on the Centralising Unit's behalf to the extent of the Adjusted Collections received. As such, the Purchaser shall be, upon delivery of a subrogation notice by the Agent, subrogated in the rights of the Agent against the Centralising Unit to the extent of the sums paid to the Agent in respect of the Management Fee.</w:t>
      </w:r>
    </w:p>
    <w:p>
      <w:pPr>
        <w:spacing w:after="0" w:line="175" w:lineRule="exact"/>
        <w:rPr>
          <w:rFonts w:ascii="Times New Roman" w:cs="Times New Roman" w:eastAsia="Times New Roman" w:hAnsi="Times New Roman"/>
          <w:sz w:val="20"/>
          <w:szCs w:val="20"/>
          <w:color w:val="auto"/>
        </w:rPr>
      </w:pPr>
    </w:p>
    <w:p>
      <w:pPr>
        <w:jc w:val="both"/>
        <w:ind w:left="502" w:hanging="502"/>
        <w:spacing w:after="0" w:line="333" w:lineRule="auto"/>
        <w:tabs>
          <w:tab w:leader="none" w:pos="4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carrying out any of the audits referred to in Article 12.1.1(vi), the Agent shall be entitled to receive a fee equal to €12,500 (VAT excluded) per audit and per Seller, plus the amount of any reasonable and duly documented costs relating to the audits. Such fee and expenses shall be paid by the Centralising Unit acting in the name and on behalf of the Sellers on the Funded Settlement Date immediately following the relevant annual audit(s).</w:t>
      </w:r>
    </w:p>
    <w:p>
      <w:pPr>
        <w:spacing w:after="0" w:line="394"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V</w:t>
      </w:r>
    </w:p>
    <w:p>
      <w:pPr>
        <w:spacing w:after="0" w:line="94"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REPRESENTATIONS AND WARRANTIES - GENERAL COVENANTS</w:t>
      </w:r>
    </w:p>
    <w:p>
      <w:pPr>
        <w:spacing w:after="0" w:line="351" w:lineRule="exact"/>
        <w:rPr>
          <w:sz w:val="20"/>
          <w:szCs w:val="20"/>
          <w:color w:val="auto"/>
        </w:rPr>
      </w:pPr>
    </w:p>
    <w:p>
      <w:pPr>
        <w:ind w:left="502" w:hanging="502"/>
        <w:spacing w:after="0"/>
        <w:tabs>
          <w:tab w:leader="none" w:pos="502"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125" w:lineRule="exact"/>
        <w:rPr>
          <w:sz w:val="20"/>
          <w:szCs w:val="20"/>
          <w:color w:val="auto"/>
        </w:rPr>
      </w:pPr>
    </w:p>
    <w:p>
      <w:pPr>
        <w:ind w:left="502" w:hanging="502"/>
        <w:spacing w:after="0"/>
        <w:tabs>
          <w:tab w:leader="none" w:pos="50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and the Centralising Unit represents and warrants to the Purchaser that, as at the 2025 Amendment Date:</w:t>
      </w:r>
    </w:p>
    <w:p>
      <w:pPr>
        <w:spacing w:after="0" w:line="175" w:lineRule="exact"/>
        <w:rPr>
          <w:sz w:val="20"/>
          <w:szCs w:val="20"/>
          <w:color w:val="auto"/>
        </w:rPr>
      </w:pPr>
    </w:p>
    <w:p>
      <w:pPr>
        <w:ind w:left="1282"/>
        <w:spacing w:after="0"/>
        <w:rPr>
          <w:sz w:val="20"/>
          <w:szCs w:val="20"/>
          <w:color w:val="auto"/>
        </w:rPr>
      </w:pPr>
      <w:r>
        <w:rPr>
          <w:rFonts w:ascii="Times New Roman" w:cs="Times New Roman" w:eastAsia="Times New Roman" w:hAnsi="Times New Roman"/>
          <w:sz w:val="20"/>
          <w:szCs w:val="20"/>
          <w:color w:val="auto"/>
        </w:rPr>
        <w:t>1.</w:t>
      </w:r>
    </w:p>
    <w:p>
      <w:pPr>
        <w:spacing w:after="0" w:line="117" w:lineRule="exact"/>
        <w:rPr>
          <w:sz w:val="20"/>
          <w:szCs w:val="20"/>
          <w:color w:val="auto"/>
        </w:rPr>
      </w:pPr>
    </w:p>
    <w:p>
      <w:pPr>
        <w:ind w:left="1422" w:hanging="647"/>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French Seller, it is a joint stock company (</w:t>
      </w:r>
      <w:r>
        <w:rPr>
          <w:rFonts w:ascii="Times New Roman" w:cs="Times New Roman" w:eastAsia="Times New Roman" w:hAnsi="Times New Roman"/>
          <w:sz w:val="20"/>
          <w:szCs w:val="20"/>
          <w:i w:val="1"/>
          <w:iCs w:val="1"/>
          <w:color w:val="auto"/>
        </w:rPr>
        <w:t>société par actions simplifiée</w:t>
      </w:r>
      <w:r>
        <w:rPr>
          <w:rFonts w:ascii="Times New Roman" w:cs="Times New Roman" w:eastAsia="Times New Roman" w:hAnsi="Times New Roman"/>
          <w:sz w:val="20"/>
          <w:szCs w:val="20"/>
          <w:color w:val="auto"/>
        </w:rPr>
        <w:t>) duly incorporated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validly existing under French law; or</w:t>
      </w:r>
    </w:p>
    <w:p>
      <w:pPr>
        <w:spacing w:after="0" w:line="49" w:lineRule="exact"/>
        <w:rPr>
          <w:sz w:val="20"/>
          <w:szCs w:val="20"/>
          <w:color w:val="auto"/>
        </w:rPr>
      </w:pPr>
    </w:p>
    <w:p>
      <w:pPr>
        <w:ind w:left="1422" w:hanging="64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German Seller, it is a limited liability company (</w:t>
      </w:r>
      <w:r>
        <w:rPr>
          <w:rFonts w:ascii="Times New Roman" w:cs="Times New Roman" w:eastAsia="Times New Roman" w:hAnsi="Times New Roman"/>
          <w:sz w:val="20"/>
          <w:szCs w:val="20"/>
          <w:i w:val="1"/>
          <w:iCs w:val="1"/>
          <w:color w:val="auto"/>
        </w:rPr>
        <w:t>Gesellschaft mit beschränkter Haftung</w:t>
      </w:r>
      <w:r>
        <w:rPr>
          <w:rFonts w:ascii="Times New Roman" w:cs="Times New Roman" w:eastAsia="Times New Roman" w:hAnsi="Times New Roman"/>
          <w:sz w:val="20"/>
          <w:szCs w:val="20"/>
          <w:color w:val="auto"/>
        </w:rPr>
        <w:t>)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and validly existing under German law, or</w:t>
      </w:r>
    </w:p>
    <w:p>
      <w:pPr>
        <w:spacing w:after="0" w:line="30" w:lineRule="exact"/>
        <w:rPr>
          <w:sz w:val="20"/>
          <w:szCs w:val="20"/>
          <w:color w:val="auto"/>
        </w:rPr>
      </w:pPr>
    </w:p>
    <w:p>
      <w:pPr>
        <w:ind w:left="1422" w:hanging="64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Spanish Seller, it is a public limited liability company (</w:t>
      </w:r>
      <w:r>
        <w:rPr>
          <w:rFonts w:ascii="Times New Roman" w:cs="Times New Roman" w:eastAsia="Times New Roman" w:hAnsi="Times New Roman"/>
          <w:sz w:val="20"/>
          <w:szCs w:val="20"/>
          <w:i w:val="1"/>
          <w:iCs w:val="1"/>
          <w:color w:val="auto"/>
        </w:rPr>
        <w:t>sociedad anónima</w:t>
      </w:r>
      <w:r>
        <w:rPr>
          <w:rFonts w:ascii="Times New Roman" w:cs="Times New Roman" w:eastAsia="Times New Roman" w:hAnsi="Times New Roman"/>
          <w:sz w:val="20"/>
          <w:szCs w:val="20"/>
          <w:color w:val="auto"/>
        </w:rPr>
        <w:t>) duly incorporated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validly existing under Spanish law; or</w:t>
      </w:r>
    </w:p>
    <w:p>
      <w:pPr>
        <w:spacing w:after="0" w:line="43" w:lineRule="exact"/>
        <w:rPr>
          <w:sz w:val="20"/>
          <w:szCs w:val="20"/>
          <w:color w:val="auto"/>
        </w:rPr>
      </w:pPr>
    </w:p>
    <w:p>
      <w:pPr>
        <w:ind w:left="1422" w:hanging="647"/>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UK Seller, it is a limited liability company duly incorporated and validly existing under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England and Wales; or</w:t>
      </w:r>
    </w:p>
    <w:p>
      <w:pPr>
        <w:sectPr>
          <w:pgSz w:w="11900" w:h="16838" w:orient="portrait"/>
          <w:cols w:equalWidth="0" w:num="1">
            <w:col w:w="10722"/>
          </w:cols>
          <w:pgMar w:left="838" w:top="1440" w:right="339" w:bottom="1440" w:gutter="0" w:footer="0" w:header="0"/>
        </w:sectPr>
      </w:pPr>
    </w:p>
    <w:bookmarkStart w:id="169" w:name="page170"/>
    <w:bookmarkEnd w:id="169"/>
    <w:p>
      <w:pPr>
        <w:spacing w:after="0" w:line="37" w:lineRule="exact"/>
        <w:rPr>
          <w:sz w:val="20"/>
          <w:szCs w:val="20"/>
          <w:color w:val="auto"/>
        </w:rPr>
      </w:pPr>
    </w:p>
    <w:p>
      <w:pPr>
        <w:ind w:left="820" w:hanging="64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Luxembourg Seller, it is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duly incorporated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validly existing under the laws of Luxembourg; or</w:t>
      </w:r>
    </w:p>
    <w:p>
      <w:pPr>
        <w:spacing w:after="0" w:line="30" w:lineRule="exact"/>
        <w:rPr>
          <w:sz w:val="20"/>
          <w:szCs w:val="20"/>
          <w:color w:val="auto"/>
        </w:rPr>
      </w:pPr>
    </w:p>
    <w:p>
      <w:pPr>
        <w:ind w:left="820" w:hanging="64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in the case of the Centralising Unit, it is a limited liability company duly incorporated and validly existing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England and Wales;</w:t>
      </w:r>
    </w:p>
    <w:p>
      <w:pPr>
        <w:spacing w:after="0" w:line="101" w:lineRule="exact"/>
        <w:rPr>
          <w:sz w:val="20"/>
          <w:szCs w:val="20"/>
          <w:color w:val="auto"/>
        </w:rPr>
      </w:pPr>
    </w:p>
    <w:p>
      <w:pPr>
        <w:jc w:val="both"/>
        <w:ind w:left="1040" w:hanging="366"/>
        <w:spacing w:after="0" w:line="362" w:lineRule="auto"/>
        <w:tabs>
          <w:tab w:leader="none" w:pos="1034"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the capacity (a) to carry on its business, as currently conducted, and to own all of the assets appearing on its balance sheet, except where failure of such capacity would not be reasonably likely to result in a Material Adverse Effect, and (b) to enter into and perform its obligations under the Transaction Documents to which it is a party;</w:t>
      </w:r>
    </w:p>
    <w:p>
      <w:pPr>
        <w:spacing w:after="0" w:line="50" w:lineRule="exact"/>
        <w:rPr>
          <w:rFonts w:ascii="Times New Roman" w:cs="Times New Roman" w:eastAsia="Times New Roman" w:hAnsi="Times New Roman"/>
          <w:sz w:val="19"/>
          <w:szCs w:val="19"/>
          <w:color w:val="auto"/>
        </w:rPr>
      </w:pPr>
    </w:p>
    <w:p>
      <w:pPr>
        <w:jc w:val="both"/>
        <w:ind w:left="1040" w:hanging="366"/>
        <w:spacing w:after="0" w:line="345" w:lineRule="auto"/>
        <w:tabs>
          <w:tab w:leader="none" w:pos="103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each Seller (save the Luxembourg Seller) and (ii) as from the Luxembourg Seller Accession Effective Date, the Luxembourg Seller, it concluded the original agreements from which the Sold Receivables arise;</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does not require any power or authorisation to execute the Transaction Documents to which it is a party or to perform its obligations under the Transaction Documents, that it has not already obtained, unless, in the case of any Governmental Authorisation, the failure to obtain such authorisation would not be reasonably likely to result in a Material Adverse Effect;</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5.</w:t>
      </w:r>
    </w:p>
    <w:p>
      <w:pPr>
        <w:spacing w:after="0" w:line="117" w:lineRule="exact"/>
        <w:rPr>
          <w:sz w:val="20"/>
          <w:szCs w:val="20"/>
          <w:color w:val="auto"/>
        </w:rPr>
      </w:pPr>
    </w:p>
    <w:p>
      <w:pPr>
        <w:jc w:val="right"/>
        <w:ind w:left="16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except to the extent that no Material Adverse Effect would be reasonably likely to result, the execution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Documents to which it is a party and the performance of its obligations under the Transaction</w:t>
      </w:r>
    </w:p>
    <w:p>
      <w:pPr>
        <w:spacing w:after="0" w:line="2" w:lineRule="exact"/>
        <w:rPr>
          <w:sz w:val="20"/>
          <w:szCs w:val="20"/>
          <w:color w:val="auto"/>
        </w:rPr>
      </w:pPr>
    </w:p>
    <w:p>
      <w:pPr>
        <w:ind w:left="820"/>
        <w:spacing w:after="0" w:line="204" w:lineRule="auto"/>
        <w:rPr>
          <w:sz w:val="20"/>
          <w:szCs w:val="20"/>
          <w:color w:val="auto"/>
        </w:rPr>
      </w:pPr>
      <w:r>
        <w:rPr>
          <w:rFonts w:ascii="Times New Roman" w:cs="Times New Roman" w:eastAsia="Times New Roman" w:hAnsi="Times New Roman"/>
          <w:sz w:val="20"/>
          <w:szCs w:val="20"/>
          <w:color w:val="auto"/>
        </w:rPr>
        <w:t>Documents will not contravene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any of the provisions of its articles of association or of any other of its constitutional or organisational documents,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any laws or regulations applicable to it, or (</w:t>
      </w:r>
      <w:r>
        <w:rPr>
          <w:rFonts w:ascii="Times New Roman" w:cs="Times New Roman" w:eastAsia="Times New Roman" w:hAnsi="Times New Roman"/>
          <w:sz w:val="20"/>
          <w:szCs w:val="20"/>
          <w:i w:val="1"/>
          <w:iCs w:val="1"/>
          <w:color w:val="auto"/>
        </w:rPr>
        <w:t>z</w:t>
      </w:r>
      <w:r>
        <w:rPr>
          <w:rFonts w:ascii="Times New Roman" w:cs="Times New Roman" w:eastAsia="Times New Roman" w:hAnsi="Times New Roman"/>
          <w:sz w:val="20"/>
          <w:szCs w:val="20"/>
          <w:color w:val="auto"/>
        </w:rPr>
        <w:t>) any contractual</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obligations, negative pledges, agreements or undertakings to which it is a party or by which it is bound;</w:t>
      </w:r>
    </w:p>
    <w:p>
      <w:pPr>
        <w:spacing w:after="0" w:line="55" w:lineRule="exact"/>
        <w:rPr>
          <w:sz w:val="20"/>
          <w:szCs w:val="20"/>
          <w:color w:val="auto"/>
        </w:rPr>
      </w:pPr>
    </w:p>
    <w:p>
      <w:pPr>
        <w:jc w:val="right"/>
        <w:ind w:left="1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Schedule </w:t>
      </w:r>
      <w:r>
        <w:rPr>
          <w:rFonts w:ascii="Times New Roman" w:cs="Times New Roman" w:eastAsia="Times New Roman" w:hAnsi="Times New Roman"/>
          <w:sz w:val="20"/>
          <w:szCs w:val="20"/>
          <w:color w:val="auto"/>
        </w:rPr>
        <w:t>the execution of the Transaction Documents to which it is a party and the performance of its obligations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Documents will not contravene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if such concept is applicable in the Relevant Jurisdiction, the</w:t>
      </w:r>
    </w:p>
    <w:p>
      <w:pPr>
        <w:ind w:left="820"/>
        <w:spacing w:after="0" w:line="213" w:lineRule="auto"/>
        <w:rPr>
          <w:sz w:val="20"/>
          <w:szCs w:val="20"/>
          <w:color w:val="auto"/>
        </w:rPr>
      </w:pPr>
      <w:r>
        <w:rPr>
          <w:rFonts w:ascii="Times New Roman" w:cs="Times New Roman" w:eastAsia="Times New Roman" w:hAnsi="Times New Roman"/>
          <w:sz w:val="20"/>
          <w:szCs w:val="20"/>
          <w:color w:val="auto"/>
        </w:rPr>
        <w:t>corporate interest (</w:t>
      </w:r>
      <w:r>
        <w:rPr>
          <w:rFonts w:ascii="Times New Roman" w:cs="Times New Roman" w:eastAsia="Times New Roman" w:hAnsi="Times New Roman"/>
          <w:sz w:val="20"/>
          <w:szCs w:val="20"/>
          <w:i w:val="1"/>
          <w:iCs w:val="1"/>
          <w:color w:val="auto"/>
        </w:rPr>
        <w:t>intérêt social</w:t>
      </w:r>
      <w:r>
        <w:rPr>
          <w:rFonts w:ascii="Times New Roman" w:cs="Times New Roman" w:eastAsia="Times New Roman" w:hAnsi="Times New Roman"/>
          <w:sz w:val="20"/>
          <w:szCs w:val="20"/>
          <w:color w:val="auto"/>
        </w:rPr>
        <w:t>) of the Centralising Unit or the relevant Seller and (</w:t>
      </w:r>
      <w:r>
        <w:rPr>
          <w:rFonts w:ascii="Times New Roman" w:cs="Times New Roman" w:eastAsia="Times New Roman" w:hAnsi="Times New Roman"/>
          <w:sz w:val="20"/>
          <w:szCs w:val="20"/>
          <w:i w:val="1"/>
          <w:iCs w:val="1"/>
          <w:color w:val="auto"/>
        </w:rPr>
        <w:t>z</w:t>
      </w:r>
      <w:r>
        <w:rPr>
          <w:rFonts w:ascii="Times New Roman" w:cs="Times New Roman" w:eastAsia="Times New Roman" w:hAnsi="Times New Roman"/>
          <w:sz w:val="20"/>
          <w:szCs w:val="20"/>
          <w:color w:val="auto"/>
        </w:rPr>
        <w:t>) in the case of the German</w:t>
      </w:r>
    </w:p>
    <w:p>
      <w:pPr>
        <w:ind w:left="820"/>
        <w:spacing w:after="0" w:line="221" w:lineRule="auto"/>
        <w:rPr>
          <w:sz w:val="20"/>
          <w:szCs w:val="20"/>
          <w:color w:val="auto"/>
        </w:rPr>
      </w:pPr>
      <w:r>
        <w:rPr>
          <w:rFonts w:ascii="Times New Roman" w:cs="Times New Roman" w:eastAsia="Times New Roman" w:hAnsi="Times New Roman"/>
          <w:sz w:val="20"/>
          <w:szCs w:val="20"/>
          <w:color w:val="auto"/>
        </w:rPr>
        <w:t xml:space="preserve">Seller, § 30 and </w:t>
      </w:r>
      <w:r>
        <w:rPr>
          <w:rFonts w:ascii="Times New Roman" w:cs="Times New Roman" w:eastAsia="Times New Roman" w:hAnsi="Times New Roman"/>
          <w:sz w:val="20"/>
          <w:szCs w:val="20"/>
          <w:i w:val="1"/>
          <w:iCs w:val="1"/>
          <w:color w:val="auto"/>
        </w:rPr>
        <w:t>seq</w:t>
      </w:r>
      <w:r>
        <w:rPr>
          <w:rFonts w:ascii="Times New Roman" w:cs="Times New Roman" w:eastAsia="Times New Roman" w:hAnsi="Times New Roman"/>
          <w:sz w:val="20"/>
          <w:szCs w:val="20"/>
          <w:color w:val="auto"/>
        </w:rPr>
        <w:t>. of the German Limited Liability Companies Act (</w:t>
      </w:r>
      <w:r>
        <w:rPr>
          <w:rFonts w:ascii="Times New Roman" w:cs="Times New Roman" w:eastAsia="Times New Roman" w:hAnsi="Times New Roman"/>
          <w:sz w:val="20"/>
          <w:szCs w:val="20"/>
          <w:i w:val="1"/>
          <w:iCs w:val="1"/>
          <w:color w:val="auto"/>
        </w:rPr>
        <w:t>Gesetz betreffend die Gesellschaften mit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beschränkter Haftung</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left="1040" w:hanging="366"/>
        <w:spacing w:after="0" w:line="338" w:lineRule="auto"/>
        <w:tabs>
          <w:tab w:leader="none" w:pos="103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Documents to which it is a party constitute its legal, valid and binding obligations and are enforceable against it in accordance with their terms, subject to applicable bankruptcy, insolvency, moratorium and other laws affecting creditors' right generally;</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34" w:lineRule="auto"/>
        <w:tabs>
          <w:tab w:leader="none" w:pos="103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documents that it has provided to the Purchaser pursuant to the Transaction Documents are accurate and correct in all material respects as of their respective dates and as of the date of their delivery, and the audited, certified annual accounts were prepared in accordance with the relevant Accounting Principles and give, in all material respects, a true, accurate and fair view (</w:t>
      </w:r>
      <w:r>
        <w:rPr>
          <w:rFonts w:ascii="Times New Roman" w:cs="Times New Roman" w:eastAsia="Times New Roman" w:hAnsi="Times New Roman"/>
          <w:sz w:val="20"/>
          <w:szCs w:val="20"/>
          <w:i w:val="1"/>
          <w:iCs w:val="1"/>
          <w:color w:val="auto"/>
        </w:rPr>
        <w:t>comptes réguliers, sincères et qui donnent une image fidèle</w:t>
      </w:r>
      <w:r>
        <w:rPr>
          <w:rFonts w:ascii="Times New Roman" w:cs="Times New Roman" w:eastAsia="Times New Roman" w:hAnsi="Times New Roman"/>
          <w:sz w:val="20"/>
          <w:szCs w:val="20"/>
          <w:color w:val="auto"/>
        </w:rPr>
        <w:t>) of its results for the relevant fiscal year;</w:t>
      </w:r>
    </w:p>
    <w:p>
      <w:pPr>
        <w:sectPr>
          <w:pgSz w:w="11900" w:h="16838" w:orient="portrait"/>
          <w:cols w:equalWidth="0" w:num="1">
            <w:col w:w="10120"/>
          </w:cols>
          <w:pgMar w:left="1440" w:top="1440" w:right="339" w:bottom="1440" w:gutter="0" w:footer="0" w:header="0"/>
        </w:sectPr>
      </w:pPr>
    </w:p>
    <w:bookmarkStart w:id="170" w:name="page171"/>
    <w:bookmarkEnd w:id="170"/>
    <w:p>
      <w:pPr>
        <w:spacing w:after="0" w:line="95" w:lineRule="exact"/>
        <w:rPr>
          <w:sz w:val="20"/>
          <w:szCs w:val="20"/>
          <w:color w:val="auto"/>
        </w:rPr>
      </w:pPr>
    </w:p>
    <w:p>
      <w:pPr>
        <w:ind w:left="1040" w:hanging="366"/>
        <w:spacing w:after="0" w:line="353" w:lineRule="auto"/>
        <w:tabs>
          <w:tab w:leader="none" w:pos="103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carries on its business in compliance with all of the relevant laws and regulations applicable to it, except where failure to do so would not be reasonably likely to have a Material Adverse Effect;</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pending or, to its knowledge, threatened to be raised or brought against it, which are reasonably likely to result in a Material Adverse Effect, or any material litigation that challenges or seeks to prevent the Securitisation Transaction;</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disclosed in writing to the Purchaser before the 2025 Amendment Date, no event has occurred since the closing date of its last fiscal year that is reasonably likely to adversely and materially affect, impede or prohibit the execution or the performance of its obligations under the Transaction Documents to which it is a party or that is otherwise reasonably likely to have a Material Adverse Effect;</w:t>
      </w:r>
    </w:p>
    <w:p>
      <w:pPr>
        <w:spacing w:after="0" w:line="87"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Early Amortisation Event of the type described in Article 11.3 has occurred and is continuing;</w:t>
      </w:r>
    </w:p>
    <w:p>
      <w:pPr>
        <w:spacing w:after="0" w:line="188"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GOODYEAR EUROPE BV holds directly or indirectly 100% in the Centralising Unit's share capital and voting rights and more than 50% in each Seller's share capital and voting rights and as such exercises effective control over the Centralising Unit and the Sellers within the meaning of article L.511-7.3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w:t>
      </w:r>
    </w:p>
    <w:p>
      <w:pPr>
        <w:spacing w:after="0" w:line="73"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received a certified true copy of the Transaction Documents and has full knowledge of the same;</w:t>
      </w:r>
    </w:p>
    <w:p>
      <w:pPr>
        <w:spacing w:after="0" w:line="202"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carried out its own legal, tax and accounting analysis as to the consequences of the execution and performance of its obligations under the Transaction Documents, and agrees that the Purchaser, the Lead Arranger, the Issuers, the Liquidity Banks and the Fund Subscribers shall have no liability to any of the Sellers or the Centralising Unit in that respect;</w:t>
      </w:r>
    </w:p>
    <w:p>
      <w:pPr>
        <w:spacing w:after="0" w:line="73" w:lineRule="exact"/>
        <w:rPr>
          <w:rFonts w:ascii="Times New Roman" w:cs="Times New Roman" w:eastAsia="Times New Roman" w:hAnsi="Times New Roman"/>
          <w:sz w:val="20"/>
          <w:szCs w:val="20"/>
          <w:color w:val="auto"/>
        </w:rPr>
      </w:pPr>
    </w:p>
    <w:p>
      <w:pPr>
        <w:jc w:val="both"/>
        <w:ind w:left="1040" w:hanging="366"/>
        <w:spacing w:after="0" w:line="331" w:lineRule="auto"/>
        <w:tabs>
          <w:tab w:leader="none" w:pos="103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each Seller (save the Luxembourg Seller) and (ii) as from the Luxembourg Seller Accession Effective Date, the Luxembourg Seller, it has entered into intercompany arrangements with the Centralising Unit and the other Sellers, pursuant to which it has undertaken (a) to reimburse the Centralising Unit for certain fees, including any amount paid on its behalf and any losses arising under the Transaction Documents, (b) to pay the Centralising Unit a direct and sufficient consideration for the making of the Subordinated Deposit and compensate the Centralising Unit as is appropriate in respect of all losses incurred by the latter arising from the making of the Subordinated Deposit, and (c) to ensure that fees and</w:t>
      </w:r>
    </w:p>
    <w:p>
      <w:pPr>
        <w:sectPr>
          <w:pgSz w:w="11900" w:h="16838" w:orient="portrait"/>
          <w:cols w:equalWidth="0" w:num="1">
            <w:col w:w="10120"/>
          </w:cols>
          <w:pgMar w:left="1440" w:top="1440" w:right="339" w:bottom="1440" w:gutter="0" w:footer="0" w:header="0"/>
        </w:sectPr>
      </w:pPr>
    </w:p>
    <w:bookmarkStart w:id="171" w:name="page172"/>
    <w:bookmarkEnd w:id="171"/>
    <w:p>
      <w:pPr>
        <w:spacing w:after="0" w:line="95" w:lineRule="exact"/>
        <w:rPr>
          <w:sz w:val="20"/>
          <w:szCs w:val="20"/>
          <w:color w:val="auto"/>
        </w:rPr>
      </w:pPr>
    </w:p>
    <w:p>
      <w:pPr>
        <w:jc w:val="both"/>
        <w:ind w:left="1040"/>
        <w:spacing w:after="0" w:line="334" w:lineRule="auto"/>
        <w:rPr>
          <w:sz w:val="20"/>
          <w:szCs w:val="20"/>
          <w:color w:val="auto"/>
        </w:rPr>
      </w:pPr>
      <w:r>
        <w:rPr>
          <w:rFonts w:ascii="Times New Roman" w:cs="Times New Roman" w:eastAsia="Times New Roman" w:hAnsi="Times New Roman"/>
          <w:sz w:val="20"/>
          <w:szCs w:val="20"/>
          <w:color w:val="auto"/>
        </w:rPr>
        <w:t>expenses or any other sums due by the Sellers under the Transaction Documents are allocated among the Sellers in accordance with their respective corporate interest, if such concept is applicable in the Relevant Jurisdiction (the "</w:t>
      </w:r>
      <w:r>
        <w:rPr>
          <w:rFonts w:ascii="Times New Roman" w:cs="Times New Roman" w:eastAsia="Times New Roman" w:hAnsi="Times New Roman"/>
          <w:sz w:val="20"/>
          <w:szCs w:val="20"/>
          <w:b w:val="1"/>
          <w:bCs w:val="1"/>
          <w:color w:val="auto"/>
        </w:rPr>
        <w:t>Intercompany Arrangements</w:t>
      </w:r>
      <w:r>
        <w:rPr>
          <w:rFonts w:ascii="Times New Roman" w:cs="Times New Roman" w:eastAsia="Times New Roman" w:hAnsi="Times New Roman"/>
          <w:sz w:val="20"/>
          <w:szCs w:val="20"/>
          <w:color w:val="auto"/>
        </w:rPr>
        <w:t>"), it being provided that the Intercompany Arrangements shall not provide or otherwise authorise any recourse against a German Seller with respect to the inability of a Debtor to pay the relevant Sold Receivables (</w:t>
      </w:r>
      <w:r>
        <w:rPr>
          <w:rFonts w:ascii="Times New Roman" w:cs="Times New Roman" w:eastAsia="Times New Roman" w:hAnsi="Times New Roman"/>
          <w:sz w:val="20"/>
          <w:szCs w:val="20"/>
          <w:i w:val="1"/>
          <w:iCs w:val="1"/>
          <w:color w:val="auto"/>
        </w:rPr>
        <w:t>keine Bonitätshaftung</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jc w:val="both"/>
        <w:ind w:left="1040" w:hanging="366"/>
        <w:spacing w:after="0" w:line="332" w:lineRule="auto"/>
        <w:tabs>
          <w:tab w:leader="none" w:pos="103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each Seller (save the Luxembourg Seller) and (ii) as from the Luxembourg Seller Accession Effective Date, the Luxembourg Seller, it has entered into Intercompany Arrangements which shall</w:t>
      </w:r>
      <w:r>
        <w:rPr>
          <w:rFonts w:ascii="Times New Roman" w:cs="Times New Roman" w:eastAsia="Times New Roman" w:hAnsi="Times New Roman"/>
          <w:sz w:val="20"/>
          <w:szCs w:val="20"/>
          <w:i w:val="1"/>
          <w:iCs w:val="1"/>
          <w:color w:val="auto"/>
        </w:rPr>
        <w:t>, inter alia,</w:t>
      </w:r>
      <w:r>
        <w:rPr>
          <w:rFonts w:ascii="Times New Roman" w:cs="Times New Roman" w:eastAsia="Times New Roman" w:hAnsi="Times New Roman"/>
          <w:sz w:val="20"/>
          <w:szCs w:val="20"/>
          <w:color w:val="auto"/>
        </w:rPr>
        <w:t xml:space="preserve"> if complied with, ensure due compliance by each of the German Seller, GOODYEAR EUROPE BV, GOODYEAR and/or any other shareholder or Affiliate of the German Seller with the relevant applicable corporate capital maintenance provisions, including, without limitation, § 30 of the German Limited Liability Companies Act (</w:t>
      </w:r>
      <w:r>
        <w:rPr>
          <w:rFonts w:ascii="Times New Roman" w:cs="Times New Roman" w:eastAsia="Times New Roman" w:hAnsi="Times New Roman"/>
          <w:sz w:val="20"/>
          <w:szCs w:val="20"/>
          <w:i w:val="1"/>
          <w:iCs w:val="1"/>
          <w:color w:val="auto"/>
        </w:rPr>
        <w:t>Gesetz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betreffend die Gesellschaften mit beschränkter Haftung</w:t>
      </w:r>
      <w:r>
        <w:rPr>
          <w:rFonts w:ascii="Times New Roman" w:cs="Times New Roman" w:eastAsia="Times New Roman" w:hAnsi="Times New Roman"/>
          <w:sz w:val="20"/>
          <w:szCs w:val="20"/>
          <w:color w:val="auto"/>
        </w:rPr>
        <w:t>);</w:t>
      </w:r>
    </w:p>
    <w:p>
      <w:pPr>
        <w:spacing w:after="0" w:line="75"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Lien exists (other than any Lien contemplated by the Transaction Documents) (a) in relation to any Sold Receivables (and related rights) assigned by it prior to their respective assignment to the Purchaser or in respect of the Collection Accounts, with the exception of those Liens which arise by operation of applicable laws and regulations, or (b) over the Subordinated Deposit;</w:t>
      </w:r>
    </w:p>
    <w:p>
      <w:pPr>
        <w:spacing w:after="0" w:line="83" w:lineRule="exact"/>
        <w:rPr>
          <w:rFonts w:ascii="Times New Roman" w:cs="Times New Roman" w:eastAsia="Times New Roman" w:hAnsi="Times New Roman"/>
          <w:sz w:val="20"/>
          <w:szCs w:val="20"/>
          <w:color w:val="auto"/>
        </w:rPr>
      </w:pPr>
    </w:p>
    <w:p>
      <w:pPr>
        <w:ind w:left="1040" w:hanging="366"/>
        <w:spacing w:after="0" w:line="357" w:lineRule="auto"/>
        <w:tabs>
          <w:tab w:leader="none" w:pos="103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its obligations under the Transaction Documents rank and will rank at least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present and future unsecured and unsubordinated obligations (with the exception of those preferred by law generally);</w:t>
      </w:r>
    </w:p>
    <w:p>
      <w:pPr>
        <w:spacing w:after="0" w:line="48" w:lineRule="exact"/>
        <w:rPr>
          <w:rFonts w:ascii="Times New Roman" w:cs="Times New Roman" w:eastAsia="Times New Roman" w:hAnsi="Times New Roman"/>
          <w:sz w:val="20"/>
          <w:szCs w:val="20"/>
          <w:color w:val="auto"/>
        </w:rPr>
      </w:pPr>
    </w:p>
    <w:p>
      <w:pPr>
        <w:ind w:left="1040" w:hanging="366"/>
        <w:spacing w:after="0" w:line="353" w:lineRule="auto"/>
        <w:tabs>
          <w:tab w:leader="none" w:pos="103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entitled to claim immunity from suit, execution, attachment or other legal process in any proceeding taken in the jurisdiction of its incorporation in relation to any Transaction Documents;</w:t>
      </w:r>
    </w:p>
    <w:p>
      <w:pPr>
        <w:spacing w:after="0" w:line="52"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subject to Insolvency Proceedings and is not insolvent within the meaning of applicable laws;</w:t>
      </w:r>
    </w:p>
    <w:p>
      <w:pPr>
        <w:spacing w:after="0" w:line="202" w:lineRule="exact"/>
        <w:rPr>
          <w:rFonts w:ascii="Times New Roman" w:cs="Times New Roman" w:eastAsia="Times New Roman" w:hAnsi="Times New Roman"/>
          <w:sz w:val="20"/>
          <w:szCs w:val="20"/>
          <w:color w:val="auto"/>
        </w:rPr>
      </w:pPr>
    </w:p>
    <w:p>
      <w:pPr>
        <w:jc w:val="both"/>
        <w:ind w:left="1040" w:hanging="366"/>
        <w:spacing w:after="0" w:line="329" w:lineRule="auto"/>
        <w:tabs>
          <w:tab w:leader="none" w:pos="103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each Seller (save the Luxembourg Seller) and (ii) as from the Luxembourg Seller Accession Effective Date, the Luxembourg Seller, the communication by it to any other Party of any information or data and the delivery by it (as from the Luxembourg Seller Accession Effective Date, with respect to the Luxembourg Seller) of any records or reports relating to (i) any Debtor, (ii) any person having granted a related right in connection with the Sold Receivables (if applicable), (iii) the Sold Receivables and/or (iv) the rights related to the Sold Receivables, in</w:t>
      </w:r>
    </w:p>
    <w:p>
      <w:pPr>
        <w:sectPr>
          <w:pgSz w:w="11900" w:h="16838" w:orient="portrait"/>
          <w:cols w:equalWidth="0" w:num="1">
            <w:col w:w="10120"/>
          </w:cols>
          <w:pgMar w:left="1440" w:top="1440" w:right="339" w:bottom="1440" w:gutter="0" w:footer="0" w:header="0"/>
        </w:sectPr>
      </w:pPr>
    </w:p>
    <w:bookmarkStart w:id="172" w:name="page173"/>
    <w:bookmarkEnd w:id="172"/>
    <w:p>
      <w:pPr>
        <w:spacing w:after="0" w:line="95" w:lineRule="exact"/>
        <w:rPr>
          <w:sz w:val="20"/>
          <w:szCs w:val="20"/>
          <w:color w:val="auto"/>
        </w:rPr>
      </w:pPr>
    </w:p>
    <w:p>
      <w:pPr>
        <w:ind w:left="1642"/>
        <w:spacing w:after="0" w:line="353" w:lineRule="auto"/>
        <w:rPr>
          <w:sz w:val="20"/>
          <w:szCs w:val="20"/>
          <w:color w:val="auto"/>
        </w:rPr>
      </w:pPr>
      <w:r>
        <w:rPr>
          <w:rFonts w:ascii="Times New Roman" w:cs="Times New Roman" w:eastAsia="Times New Roman" w:hAnsi="Times New Roman"/>
          <w:sz w:val="20"/>
          <w:szCs w:val="20"/>
          <w:color w:val="auto"/>
        </w:rPr>
        <w:t>connection with the Securitisation Transaction, does not violate any provisions of applicable Data Protection Laws (as defined in SCHEDULE 19);</w:t>
      </w:r>
    </w:p>
    <w:p>
      <w:pPr>
        <w:spacing w:after="0" w:line="52" w:lineRule="exact"/>
        <w:rPr>
          <w:sz w:val="20"/>
          <w:szCs w:val="20"/>
          <w:color w:val="auto"/>
        </w:rPr>
      </w:pPr>
    </w:p>
    <w:p>
      <w:pPr>
        <w:jc w:val="both"/>
        <w:ind w:left="1642" w:hanging="366"/>
        <w:spacing w:after="0" w:line="332" w:lineRule="auto"/>
        <w:tabs>
          <w:tab w:leader="none" w:pos="164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implemented policies and procedures reasonably designed to promote compliance by itself, its Subsidiaries and their respective directors, officers, employees and agents with applicable Sanctions. Any Seller, the Centralising Unit and their Subsidiaries are not knowingly engaged in any activity that would reasonably be expected to result in any of them being listed on any Sanctions-related list referred to in point (a) of the definition of "Sanctioned Person". None of the Sellers, the Centralising Unit or any of their Subsidiaries or, to their knowledge, any of their respective directors, officers, employees or agent or any of their Subsidiaries in any capacity in connection with this Agreement, is listed on any Sanctions-related list referred to in point (a) of the definition of "Sanctioned Person"; and</w:t>
      </w:r>
    </w:p>
    <w:p>
      <w:pPr>
        <w:spacing w:after="0" w:line="73" w:lineRule="exact"/>
        <w:rPr>
          <w:rFonts w:ascii="Times New Roman" w:cs="Times New Roman" w:eastAsia="Times New Roman" w:hAnsi="Times New Roman"/>
          <w:sz w:val="20"/>
          <w:szCs w:val="20"/>
          <w:color w:val="auto"/>
        </w:rPr>
      </w:pPr>
    </w:p>
    <w:p>
      <w:pPr>
        <w:ind w:left="1642" w:hanging="366"/>
        <w:spacing w:after="0" w:line="353" w:lineRule="auto"/>
        <w:tabs>
          <w:tab w:leader="none" w:pos="164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implemented policies and procedures reasonably designed to promote compliance by itself, its Subsidiaries and their respective directors, officers, employees and agents with applicable Anti-Corruption Laws.</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representations and warranties shall be deemed to be repeated by each Seller and the Centralising Unit, as applicable, on each Settlement Date during the Replenishment Period. Such representations and warranties shall remain in force until the Program Expiry Date.</w:t>
      </w:r>
    </w:p>
    <w:p>
      <w:pPr>
        <w:spacing w:after="0" w:line="239" w:lineRule="exact"/>
        <w:rPr>
          <w:sz w:val="20"/>
          <w:szCs w:val="20"/>
          <w:color w:val="auto"/>
        </w:rPr>
      </w:pPr>
    </w:p>
    <w:p>
      <w:pPr>
        <w:ind w:left="502" w:hanging="502"/>
        <w:spacing w:after="0"/>
        <w:tabs>
          <w:tab w:leader="none" w:pos="502"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COVENANTS</w:t>
      </w:r>
    </w:p>
    <w:p>
      <w:pPr>
        <w:spacing w:after="0" w:line="125"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The following general covenants shall remain in force from the Signing Date until the Program Expiry Date.</w:t>
      </w:r>
    </w:p>
    <w:p>
      <w:pPr>
        <w:spacing w:after="0" w:line="293" w:lineRule="exact"/>
        <w:rPr>
          <w:sz w:val="20"/>
          <w:szCs w:val="20"/>
          <w:color w:val="auto"/>
        </w:rPr>
      </w:pPr>
    </w:p>
    <w:p>
      <w:pPr>
        <w:ind w:left="502" w:hanging="502"/>
        <w:spacing w:after="0"/>
        <w:tabs>
          <w:tab w:leader="none" w:pos="502"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w:t>
      </w:r>
    </w:p>
    <w:p>
      <w:pPr>
        <w:spacing w:after="0" w:line="314"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Affirmative covenants:</w:t>
      </w:r>
    </w:p>
    <w:p>
      <w:pPr>
        <w:spacing w:after="0" w:line="188" w:lineRule="exact"/>
        <w:rPr>
          <w:rFonts w:ascii="Times New Roman" w:cs="Times New Roman" w:eastAsia="Times New Roman" w:hAnsi="Times New Roman"/>
          <w:sz w:val="20"/>
          <w:szCs w:val="20"/>
          <w:color w:val="auto"/>
        </w:rPr>
      </w:pPr>
    </w:p>
    <w:p>
      <w:pPr>
        <w:ind w:left="14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undertakes:</w:t>
      </w:r>
    </w:p>
    <w:p>
      <w:pPr>
        <w:spacing w:after="0" w:line="189" w:lineRule="exact"/>
        <w:rPr>
          <w:sz w:val="20"/>
          <w:szCs w:val="20"/>
          <w:color w:val="auto"/>
        </w:rPr>
      </w:pPr>
    </w:p>
    <w:p>
      <w:pPr>
        <w:ind w:left="1622" w:hanging="346"/>
        <w:spacing w:after="0"/>
        <w:tabs>
          <w:tab w:leader="none" w:pos="162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the Purchaser without undue delay, on a non-consolidated basis, with:</w:t>
      </w:r>
    </w:p>
    <w:p>
      <w:pPr>
        <w:spacing w:after="0" w:line="189" w:lineRule="exact"/>
        <w:rPr>
          <w:sz w:val="20"/>
          <w:szCs w:val="20"/>
          <w:color w:val="auto"/>
        </w:rPr>
      </w:pPr>
    </w:p>
    <w:p>
      <w:pPr>
        <w:jc w:val="both"/>
        <w:ind w:left="1462" w:hanging="647"/>
        <w:spacing w:after="0" w:line="338" w:lineRule="auto"/>
        <w:rPr>
          <w:sz w:val="20"/>
          <w:szCs w:val="20"/>
          <w:color w:val="auto"/>
        </w:rPr>
      </w:pPr>
      <w:r>
        <w:rPr>
          <w:rFonts w:ascii="Times New Roman" w:cs="Times New Roman" w:eastAsia="Times New Roman" w:hAnsi="Times New Roman"/>
          <w:sz w:val="20"/>
          <w:szCs w:val="20"/>
          <w:color w:val="auto"/>
        </w:rPr>
        <w:t>its annual accounts (balance sheet, profit and loss accounts and annexes), as published and certified by its statutory auditors, report of the board of directors (or, as regards the French Seller, of the president of the French Seller) and statutory auditors relating thereto and an extract of the minutes of the shareholders' annual general meeting approving the said accounts, no later than sixty (60)</w:t>
      </w:r>
    </w:p>
    <w:p>
      <w:pPr>
        <w:sectPr>
          <w:pgSz w:w="11900" w:h="16838" w:orient="portrait"/>
          <w:cols w:equalWidth="0" w:num="1">
            <w:col w:w="10722"/>
          </w:cols>
          <w:pgMar w:left="838" w:top="1440" w:right="339" w:bottom="1440" w:gutter="0" w:footer="0" w:header="0"/>
        </w:sectPr>
      </w:pPr>
    </w:p>
    <w:bookmarkStart w:id="173" w:name="page174"/>
    <w:bookmarkEnd w:id="173"/>
    <w:p>
      <w:pPr>
        <w:spacing w:after="0" w:line="95" w:lineRule="exact"/>
        <w:rPr>
          <w:sz w:val="20"/>
          <w:szCs w:val="20"/>
          <w:color w:val="auto"/>
        </w:rPr>
      </w:pPr>
    </w:p>
    <w:p>
      <w:pPr>
        <w:ind w:left="680" w:right="2940" w:firstLine="648"/>
        <w:spacing w:after="0" w:line="436" w:lineRule="auto"/>
        <w:rPr>
          <w:sz w:val="20"/>
          <w:szCs w:val="20"/>
          <w:color w:val="auto"/>
        </w:rPr>
      </w:pPr>
      <w:r>
        <w:rPr>
          <w:rFonts w:ascii="Times New Roman" w:cs="Times New Roman" w:eastAsia="Times New Roman" w:hAnsi="Times New Roman"/>
          <w:sz w:val="20"/>
          <w:szCs w:val="20"/>
          <w:color w:val="auto"/>
        </w:rPr>
        <w:t>calendar days following the holding of its shareholders' annual general meeting; all published interim financial information;</w:t>
      </w:r>
    </w:p>
    <w:p>
      <w:pPr>
        <w:spacing w:after="0" w:line="1" w:lineRule="exact"/>
        <w:rPr>
          <w:sz w:val="20"/>
          <w:szCs w:val="20"/>
          <w:color w:val="auto"/>
        </w:rPr>
      </w:pPr>
    </w:p>
    <w:p>
      <w:pPr>
        <w:jc w:val="both"/>
        <w:ind w:left="1340" w:hanging="647"/>
        <w:spacing w:after="0" w:line="345" w:lineRule="auto"/>
        <w:rPr>
          <w:sz w:val="20"/>
          <w:szCs w:val="20"/>
          <w:color w:val="auto"/>
        </w:rPr>
      </w:pPr>
      <w:r>
        <w:rPr>
          <w:rFonts w:ascii="Times New Roman" w:cs="Times New Roman" w:eastAsia="Times New Roman" w:hAnsi="Times New Roman"/>
          <w:sz w:val="20"/>
          <w:szCs w:val="20"/>
          <w:color w:val="auto"/>
        </w:rPr>
        <w:t>all other information, reports or statements as the Purchaser may at any time reasonably request in so far as is permitted by applicable laws and regulations, and depending on the type of information requested, in accordance with the different procedures applicable to the communication of information under this Agreement;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request promptly any authorisation as may become necessary for the performance of its obligations under this Agreement;</w:t>
      </w:r>
    </w:p>
    <w:p>
      <w:pPr>
        <w:spacing w:after="0" w:line="189" w:lineRule="exact"/>
        <w:rPr>
          <w:sz w:val="20"/>
          <w:szCs w:val="20"/>
          <w:color w:val="auto"/>
        </w:rPr>
      </w:pPr>
    </w:p>
    <w:p>
      <w:pPr>
        <w:jc w:val="both"/>
        <w:ind w:left="1520" w:hanging="366"/>
        <w:spacing w:after="0" w:line="338" w:lineRule="auto"/>
        <w:tabs>
          <w:tab w:leader="none" w:pos="151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reasonably likely to result in a Material Adverse Effect;</w:t>
      </w:r>
    </w:p>
    <w:p>
      <w:pPr>
        <w:spacing w:after="0" w:line="67" w:lineRule="exact"/>
        <w:rPr>
          <w:rFonts w:ascii="Times New Roman" w:cs="Times New Roman" w:eastAsia="Times New Roman" w:hAnsi="Times New Roman"/>
          <w:sz w:val="20"/>
          <w:szCs w:val="20"/>
          <w:color w:val="auto"/>
        </w:rPr>
      </w:pPr>
    </w:p>
    <w:p>
      <w:pPr>
        <w:jc w:val="both"/>
        <w:ind w:left="1520" w:hanging="366"/>
        <w:spacing w:after="0" w:line="324" w:lineRule="auto"/>
        <w:tabs>
          <w:tab w:leader="none" w:pos="151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knowledge by the relevant Seller that (a) an Early Amortisation Event defined in Article 11.3 has occurred, to notify or cause to be notified forthwith the Purchaser and provide a copy of the same to the Lead Arranger and</w:t>
      </w:r>
    </w:p>
    <w:p>
      <w:pPr>
        <w:jc w:val="both"/>
        <w:ind w:left="1520"/>
        <w:spacing w:after="0" w:line="3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a Potential Early Amortisation Event has occurred, to notify or cause the Purchaser to be notified forthwith and provide a copy of the same to the Lead Arranger and, where applicable, of actions which the Seller has taken and/or proposes to take with respect thereto in order to prevent such Potential Early Amortisation Event from becoming an Early Amortisation Event;</w:t>
      </w:r>
    </w:p>
    <w:p>
      <w:pPr>
        <w:spacing w:after="0" w:line="67" w:lineRule="exact"/>
        <w:rPr>
          <w:rFonts w:ascii="Times New Roman" w:cs="Times New Roman" w:eastAsia="Times New Roman" w:hAnsi="Times New Roman"/>
          <w:sz w:val="20"/>
          <w:szCs w:val="20"/>
          <w:color w:val="auto"/>
        </w:rPr>
      </w:pPr>
    </w:p>
    <w:p>
      <w:pPr>
        <w:ind w:left="1520" w:hanging="366"/>
        <w:spacing w:after="0" w:line="353" w:lineRule="auto"/>
        <w:tabs>
          <w:tab w:leader="none" w:pos="151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carry on its business in all material aspects in accordance with all applicable laws and regulations, except where failure to do so would not be reasonably likely to have a Material Adverse Effect;</w:t>
      </w:r>
    </w:p>
    <w:p>
      <w:pPr>
        <w:spacing w:after="0" w:line="52" w:lineRule="exact"/>
        <w:rPr>
          <w:rFonts w:ascii="Times New Roman" w:cs="Times New Roman" w:eastAsia="Times New Roman" w:hAnsi="Times New Roman"/>
          <w:sz w:val="20"/>
          <w:szCs w:val="20"/>
          <w:color w:val="auto"/>
        </w:rPr>
      </w:pPr>
    </w:p>
    <w:p>
      <w:pPr>
        <w:jc w:val="both"/>
        <w:ind w:left="1520" w:hanging="366"/>
        <w:spacing w:after="0" w:line="338" w:lineRule="auto"/>
        <w:tabs>
          <w:tab w:leader="none" w:pos="151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Purchaser's request, which shall be subject to a reasonable prior notice, to arrange forthwith for audit(s) to be carried out by the Purchaser or by any other entity appointed by the Purchaser for such purposes, of its Credit and Collection Policies. The audits shall be conducted at the expense of and paid by the Centralising Unit, acting in the name and on behalf of the Sellers, within the limits set forth in Article 8.6, it being understood that:</w:t>
      </w:r>
    </w:p>
    <w:p>
      <w:pPr>
        <w:spacing w:after="0" w:line="40" w:lineRule="exact"/>
        <w:rPr>
          <w:rFonts w:ascii="Times New Roman" w:cs="Times New Roman" w:eastAsia="Times New Roman" w:hAnsi="Times New Roman"/>
          <w:sz w:val="20"/>
          <w:szCs w:val="20"/>
          <w:color w:val="auto"/>
        </w:rPr>
      </w:pPr>
    </w:p>
    <w:p>
      <w:pPr>
        <w:jc w:val="both"/>
        <w:ind w:left="1160" w:hanging="516"/>
        <w:spacing w:after="0" w:line="289" w:lineRule="auto"/>
        <w:tabs>
          <w:tab w:leader="none" w:pos="114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audit shall be carried out at the latest two (2) months before the anniversary date of the 2021 Amendment Date (with the exception of a New Seller acceding to the Securitisation Transaction in accordance with the provisions of Article 38, in relation to which the first audit carried out before the</w:t>
      </w:r>
    </w:p>
    <w:p>
      <w:pPr>
        <w:sectPr>
          <w:pgSz w:w="11900" w:h="16838" w:orient="portrait"/>
          <w:cols w:equalWidth="0" w:num="1">
            <w:col w:w="10600"/>
          </w:cols>
          <w:pgMar w:left="960" w:top="1440" w:right="339" w:bottom="1440" w:gutter="0" w:footer="0" w:header="0"/>
        </w:sectPr>
      </w:pPr>
    </w:p>
    <w:bookmarkStart w:id="174" w:name="page175"/>
    <w:bookmarkEnd w:id="174"/>
    <w:p>
      <w:pPr>
        <w:spacing w:after="0" w:line="68" w:lineRule="exact"/>
        <w:rPr>
          <w:sz w:val="20"/>
          <w:szCs w:val="20"/>
          <w:color w:val="auto"/>
        </w:rPr>
      </w:pPr>
    </w:p>
    <w:p>
      <w:pPr>
        <w:ind w:left="680" w:right="20"/>
        <w:spacing w:after="0" w:line="311" w:lineRule="auto"/>
        <w:rPr>
          <w:sz w:val="20"/>
          <w:szCs w:val="20"/>
          <w:color w:val="auto"/>
        </w:rPr>
      </w:pPr>
      <w:r>
        <w:rPr>
          <w:rFonts w:ascii="Times New Roman" w:cs="Times New Roman" w:eastAsia="Times New Roman" w:hAnsi="Times New Roman"/>
          <w:sz w:val="20"/>
          <w:szCs w:val="20"/>
          <w:color w:val="auto"/>
        </w:rPr>
        <w:t>entry into the Securitisation Transaction of the New Seller shall be sufficient to satisfy the annual requirement referred to above for the first anniversary date of the 2021 Amendment Date falling after its accession);</w:t>
      </w:r>
    </w:p>
    <w:p>
      <w:pPr>
        <w:spacing w:after="0" w:line="38" w:lineRule="exact"/>
        <w:rPr>
          <w:sz w:val="20"/>
          <w:szCs w:val="20"/>
          <w:color w:val="auto"/>
        </w:rPr>
      </w:pPr>
    </w:p>
    <w:p>
      <w:pPr>
        <w:ind w:left="680" w:hanging="516"/>
        <w:spacing w:after="0" w:line="311" w:lineRule="auto"/>
        <w:tabs>
          <w:tab w:leader="none" w:pos="66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upon unanimous written request from each of the Purchaser, the Liquidity Banks and the Fund Subscribers, the Agent shall carry out a second audit during that same year;</w:t>
      </w:r>
    </w:p>
    <w:p>
      <w:pPr>
        <w:spacing w:after="0" w:line="61"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notify forthwith the Purchaser, promptly upon becoming aware, of any material adverse change in relation to any Sold Receivable, and to promptly respond to any reasonable written request of the Purchaser, the Agent, any Back-Up Servicer (if and when appointed) concerning any event in relation to any Sold Receivable which is reasonably likely to endanger the payment of a sum under such Sold Receivable;</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32" w:lineRule="auto"/>
        <w:tabs>
          <w:tab w:leader="none" w:pos="103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keep the Purchaser fully informed of the existence and progress of (a) any material litigation relating to a Sold Receivable, (b) any claim or litigation relating to the Sold Receivables before the courts or in arbitration for the purposes of recovering material sums due under such Sold Receivables, (c) any claim or litigation relating to the Sold Receivables before the courts or in arbitration for the purposes of recovering sums due under such Sold Receivable, upon written request of the Purchaser, the Agent or any Back-Up Servicer (if and when appointed), and (d) any action, suit or proceeding described in Article 9.1(ix);</w:t>
      </w:r>
    </w:p>
    <w:p>
      <w:pPr>
        <w:spacing w:after="0" w:line="75" w:lineRule="exact"/>
        <w:rPr>
          <w:rFonts w:ascii="Times New Roman" w:cs="Times New Roman" w:eastAsia="Times New Roman" w:hAnsi="Times New Roman"/>
          <w:sz w:val="20"/>
          <w:szCs w:val="20"/>
          <w:color w:val="auto"/>
        </w:rPr>
      </w:pPr>
    </w:p>
    <w:p>
      <w:pPr>
        <w:jc w:val="both"/>
        <w:ind w:left="1040" w:hanging="366"/>
        <w:spacing w:after="0" w:line="332" w:lineRule="auto"/>
        <w:tabs>
          <w:tab w:leader="none" w:pos="103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submit to the Purchaser, as soon as practicable, on the Purchaser's reasonable request and subject to the provisions of Article 18 (</w:t>
      </w:r>
      <w:r>
        <w:rPr>
          <w:rFonts w:ascii="Times New Roman" w:cs="Times New Roman" w:eastAsia="Times New Roman" w:hAnsi="Times New Roman"/>
          <w:sz w:val="20"/>
          <w:szCs w:val="20"/>
          <w:i w:val="1"/>
          <w:iCs w:val="1"/>
          <w:color w:val="auto"/>
        </w:rPr>
        <w:t>Identification of the contractual documentation for the Sold Receivables - Access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 and Article 29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all documents which enable the latter to verify that the Seller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properly fulfilled its contractual obligations concerning the collection of sums due under the Sold Receivables, to the extent permitted by applicable laws or regulations and in particular, in the case of the Protected Debtors, by the provisions of the Data Protection Laws (as defined in SCHEDULE 19) and the Data Escrow Agreement;</w:t>
      </w:r>
    </w:p>
    <w:p>
      <w:pPr>
        <w:spacing w:after="0" w:line="75" w:lineRule="exact"/>
        <w:rPr>
          <w:rFonts w:ascii="Times New Roman" w:cs="Times New Roman" w:eastAsia="Times New Roman" w:hAnsi="Times New Roman"/>
          <w:sz w:val="20"/>
          <w:szCs w:val="20"/>
          <w:color w:val="auto"/>
        </w:rPr>
      </w:pPr>
    </w:p>
    <w:p>
      <w:pPr>
        <w:ind w:left="1040" w:right="20" w:hanging="366"/>
        <w:spacing w:after="0" w:line="353" w:lineRule="auto"/>
        <w:tabs>
          <w:tab w:leader="none" w:pos="1039"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transfer or cause to be transferred to the Purchaser all Adjusted Collections in accordance with the provisions of Article 21 (</w:t>
      </w:r>
      <w:r>
        <w:rPr>
          <w:rFonts w:ascii="Times New Roman" w:cs="Times New Roman" w:eastAsia="Times New Roman" w:hAnsi="Times New Roman"/>
          <w:sz w:val="20"/>
          <w:szCs w:val="20"/>
          <w:i w:val="1"/>
          <w:iCs w:val="1"/>
          <w:color w:val="auto"/>
        </w:rPr>
        <w:t>Application of payments and payments of collections</w:t>
      </w:r>
      <w:r>
        <w:rPr>
          <w:rFonts w:ascii="Times New Roman" w:cs="Times New Roman" w:eastAsia="Times New Roman" w:hAnsi="Times New Roman"/>
          <w:sz w:val="20"/>
          <w:szCs w:val="20"/>
          <w:color w:val="auto"/>
        </w:rPr>
        <w:t>);</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1"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Seller, to deliver to the Purchaser a Solvency Certificate (on a date which shall be a Funded Settlement Date during the Replenishment Period) on a semi-annual basis in accordance with the form set out in SCHEDULE 5;</w:t>
      </w:r>
    </w:p>
    <w:p>
      <w:pPr>
        <w:sectPr>
          <w:pgSz w:w="11900" w:h="16838" w:orient="portrait"/>
          <w:cols w:equalWidth="0" w:num="1">
            <w:col w:w="10120"/>
          </w:cols>
          <w:pgMar w:left="1440" w:top="1440" w:right="339" w:bottom="1440" w:gutter="0" w:footer="0" w:header="0"/>
        </w:sectPr>
      </w:pPr>
    </w:p>
    <w:bookmarkStart w:id="175" w:name="page176"/>
    <w:bookmarkEnd w:id="175"/>
    <w:p>
      <w:pPr>
        <w:spacing w:after="0" w:line="95" w:lineRule="exact"/>
        <w:rPr>
          <w:sz w:val="20"/>
          <w:szCs w:val="20"/>
          <w:color w:val="auto"/>
        </w:rPr>
      </w:pPr>
    </w:p>
    <w:p>
      <w:pPr>
        <w:jc w:val="both"/>
        <w:ind w:left="1040" w:hanging="366"/>
        <w:spacing w:after="0" w:line="355" w:lineRule="auto"/>
        <w:tabs>
          <w:tab w:leader="none" w:pos="1039"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execute any and all further documents, agreements and instruments, and take all such further actions, as may be reasonably requested by the Purchaser in order to ensure that the sales of Ongoing Purchasable Receivables and Remaining Purchasable Receivables to the Purchaser under the Receivables Purchase Agreements constitute valid and perfected sales of such Ongoing Purchasable Receivables and Remaining Purchasable Receivables and the Liens created over the Collection Accounts for the benefit of the Purchaser constitute valid and perfected Liens;</w:t>
      </w:r>
    </w:p>
    <w:p>
      <w:pPr>
        <w:spacing w:after="0" w:line="58" w:lineRule="exact"/>
        <w:rPr>
          <w:rFonts w:ascii="Times New Roman" w:cs="Times New Roman" w:eastAsia="Times New Roman" w:hAnsi="Times New Roman"/>
          <w:sz w:val="19"/>
          <w:szCs w:val="19"/>
          <w:color w:val="auto"/>
        </w:rPr>
      </w:pPr>
    </w:p>
    <w:p>
      <w:pPr>
        <w:jc w:val="both"/>
        <w:ind w:left="1040" w:hanging="366"/>
        <w:spacing w:after="0" w:line="338"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inform the Purchaser, as soon as possible and in so far permitted by applicable laws and regulations, of its intention to restructure such Seller leading to GOODYEAR EUROPE BV ceasing to hold directly or indirectly more than 50% in the voting rights of such Seller;</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that steps are taken to maintain the performance of the Credit and Collection Policies and accountancy methods in relation to the customer account (</w:t>
      </w:r>
      <w:r>
        <w:rPr>
          <w:rFonts w:ascii="Times New Roman" w:cs="Times New Roman" w:eastAsia="Times New Roman" w:hAnsi="Times New Roman"/>
          <w:sz w:val="20"/>
          <w:szCs w:val="20"/>
          <w:i w:val="1"/>
          <w:iCs w:val="1"/>
          <w:color w:val="auto"/>
        </w:rPr>
        <w:t>compte client</w:t>
      </w:r>
      <w:r>
        <w:rPr>
          <w:rFonts w:ascii="Times New Roman" w:cs="Times New Roman" w:eastAsia="Times New Roman" w:hAnsi="Times New Roman"/>
          <w:sz w:val="20"/>
          <w:szCs w:val="20"/>
          <w:color w:val="auto"/>
        </w:rPr>
        <w:t>) of such Seller, with the same degree of skill and care as evidenced during the audits carried out on behalf of the Purchaser or any of their agents during the structuring phase of the Securitisation Transaction;</w:t>
      </w:r>
    </w:p>
    <w:p>
      <w:pPr>
        <w:spacing w:after="0" w:line="67" w:lineRule="exact"/>
        <w:rPr>
          <w:rFonts w:ascii="Times New Roman" w:cs="Times New Roman" w:eastAsia="Times New Roman" w:hAnsi="Times New Roman"/>
          <w:sz w:val="20"/>
          <w:szCs w:val="20"/>
          <w:color w:val="auto"/>
        </w:rPr>
      </w:pPr>
    </w:p>
    <w:p>
      <w:pPr>
        <w:ind w:left="1040" w:hanging="366"/>
        <w:spacing w:after="0" w:line="353"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that any information transmitted by the Centralising Unit or such Seller during the term of this Agreement and pursuant to the Transaction Documents is true and accurate in all material respects;</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34"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each Seller (save the Luxembourg Seller) and (ii) as from the Luxembourg Seller Accession Effective Date, the Luxembourg Seller, to maintain effective and in full force at all times the Intercompany Arrangements with the Centralising Unit and the other Sellers, and not to change such Intercompany Arrangements in any way that may adversely affect the rights of the Purchaser under the Securitisation Transaction;</w:t>
      </w:r>
    </w:p>
    <w:p>
      <w:pPr>
        <w:spacing w:after="0" w:line="73" w:lineRule="exact"/>
        <w:rPr>
          <w:rFonts w:ascii="Times New Roman" w:cs="Times New Roman" w:eastAsia="Times New Roman" w:hAnsi="Times New Roman"/>
          <w:sz w:val="20"/>
          <w:szCs w:val="20"/>
          <w:color w:val="auto"/>
        </w:rPr>
      </w:pPr>
    </w:p>
    <w:p>
      <w:pPr>
        <w:jc w:val="both"/>
        <w:ind w:left="1040" w:hanging="366"/>
        <w:spacing w:after="0" w:line="332"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effective and in full force at all times, such internal arrangements between the German Seller, GOODYEAR EUROPE BV, GOODYEAR and/or any other shareholder or Affiliate of the German Seller which are necessary to, if complied with, ensure due compliance of each of the German Seller, GOODYEAR EUROPE BV, GOODYEAR and/or any other shareholder or Affiliate of the German Seller with the relevant applicable corporate capital maintenance provisions, including, without limitation, § 30 of the German Limited Liability Companies Act (</w:t>
      </w:r>
      <w:r>
        <w:rPr>
          <w:rFonts w:ascii="Times New Roman" w:cs="Times New Roman" w:eastAsia="Times New Roman" w:hAnsi="Times New Roman"/>
          <w:sz w:val="20"/>
          <w:szCs w:val="20"/>
          <w:i w:val="1"/>
          <w:iCs w:val="1"/>
          <w:color w:val="auto"/>
        </w:rPr>
        <w:t>Gesetz betreffend die Gesellschaften mit beschränkter Haftung</w:t>
      </w:r>
      <w:r>
        <w:rPr>
          <w:rFonts w:ascii="Times New Roman" w:cs="Times New Roman" w:eastAsia="Times New Roman" w:hAnsi="Times New Roman"/>
          <w:sz w:val="20"/>
          <w:szCs w:val="20"/>
          <w:color w:val="auto"/>
        </w:rPr>
        <w:t>);</w:t>
      </w:r>
    </w:p>
    <w:p>
      <w:pPr>
        <w:spacing w:after="0" w:line="75" w:lineRule="exact"/>
        <w:rPr>
          <w:rFonts w:ascii="Times New Roman" w:cs="Times New Roman" w:eastAsia="Times New Roman" w:hAnsi="Times New Roman"/>
          <w:sz w:val="20"/>
          <w:szCs w:val="20"/>
          <w:color w:val="auto"/>
        </w:rPr>
      </w:pPr>
    </w:p>
    <w:p>
      <w:pPr>
        <w:ind w:left="1040" w:hanging="366"/>
        <w:spacing w:after="0" w:line="367" w:lineRule="auto"/>
        <w:tabs>
          <w:tab w:leader="none" w:pos="103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keep any Bill of Exchange relating to a Sold Receivable as custodian of the Purchaser for collection purposes unless the Sellers' Collection Mandate</w:t>
      </w:r>
    </w:p>
    <w:p>
      <w:pPr>
        <w:sectPr>
          <w:pgSz w:w="11900" w:h="16838" w:orient="portrait"/>
          <w:cols w:equalWidth="0" w:num="1">
            <w:col w:w="10120"/>
          </w:cols>
          <w:pgMar w:left="1440" w:top="1440" w:right="339" w:bottom="1440" w:gutter="0" w:footer="0" w:header="0"/>
        </w:sectPr>
      </w:pPr>
    </w:p>
    <w:bookmarkStart w:id="176" w:name="page177"/>
    <w:bookmarkEnd w:id="176"/>
    <w:p>
      <w:pPr>
        <w:spacing w:after="0" w:line="95" w:lineRule="exact"/>
        <w:rPr>
          <w:sz w:val="20"/>
          <w:szCs w:val="20"/>
          <w:color w:val="auto"/>
        </w:rPr>
      </w:pPr>
    </w:p>
    <w:p>
      <w:pPr>
        <w:ind w:left="1040"/>
        <w:spacing w:after="0" w:line="353" w:lineRule="auto"/>
        <w:rPr>
          <w:sz w:val="20"/>
          <w:szCs w:val="20"/>
          <w:color w:val="auto"/>
        </w:rPr>
      </w:pPr>
      <w:r>
        <w:rPr>
          <w:rFonts w:ascii="Times New Roman" w:cs="Times New Roman" w:eastAsia="Times New Roman" w:hAnsi="Times New Roman"/>
          <w:sz w:val="20"/>
          <w:szCs w:val="20"/>
          <w:color w:val="auto"/>
        </w:rPr>
        <w:t>has been terminated and it has received notification from the Purchaser to deliver such Bill of Exchange to the Purchaser or any third party appointed by the Purchaser;</w:t>
      </w:r>
    </w:p>
    <w:p>
      <w:pPr>
        <w:spacing w:after="0" w:line="52" w:lineRule="exact"/>
        <w:rPr>
          <w:sz w:val="20"/>
          <w:szCs w:val="20"/>
          <w:color w:val="auto"/>
        </w:rPr>
      </w:pPr>
    </w:p>
    <w:p>
      <w:pPr>
        <w:jc w:val="both"/>
        <w:ind w:left="1040" w:hanging="366"/>
        <w:spacing w:after="0" w:line="332" w:lineRule="auto"/>
        <w:tabs>
          <w:tab w:leader="none" w:pos="103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Spanish RPA Sellers and with respect to any Sold Receivables sold by any of them under the Spanish Receivables Purchase Agreement, to take such steps and do all things as to notarise by means of a Spanish Public Document before a Spanish Notary Public, on each Funded Settlement Date during the Replenishment Period, any Transfer Deed executed and delivered pursuant to such Spanish Receivables Purchase Agreement (specifying in such Transfer Deeds any promissory notes (</w:t>
      </w:r>
      <w:r>
        <w:rPr>
          <w:rFonts w:ascii="Times New Roman" w:cs="Times New Roman" w:eastAsia="Times New Roman" w:hAnsi="Times New Roman"/>
          <w:sz w:val="20"/>
          <w:szCs w:val="20"/>
          <w:i w:val="1"/>
          <w:iCs w:val="1"/>
          <w:color w:val="auto"/>
        </w:rPr>
        <w:t>pagarés</w:t>
      </w:r>
      <w:r>
        <w:rPr>
          <w:rFonts w:ascii="Times New Roman" w:cs="Times New Roman" w:eastAsia="Times New Roman" w:hAnsi="Times New Roman"/>
          <w:sz w:val="20"/>
          <w:szCs w:val="20"/>
          <w:color w:val="auto"/>
        </w:rPr>
        <w:t>) which must be transferred in accordance with this Agreement and such Spanish Receivables Purchase Agreement);</w:t>
      </w:r>
    </w:p>
    <w:p>
      <w:pPr>
        <w:spacing w:after="0" w:line="75"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 instruct any Debtor, which has not been already informed, to pay any sum due under a Sold Receivable to the relevant Collection Account(s), (b) from the Signing Date, to collect any sums due under a Sold Receivable exclusively on the relevant Collection Account(s) and (c) to promptly transfer to the relevant Collection Account(s) any sums paid by a Debtor in a different manner than to the relevant Collection Account(s);</w:t>
      </w:r>
    </w:p>
    <w:p>
      <w:pPr>
        <w:spacing w:after="0" w:line="67" w:lineRule="exact"/>
        <w:rPr>
          <w:rFonts w:ascii="Times New Roman" w:cs="Times New Roman" w:eastAsia="Times New Roman" w:hAnsi="Times New Roman"/>
          <w:sz w:val="20"/>
          <w:szCs w:val="20"/>
          <w:color w:val="auto"/>
        </w:rPr>
      </w:pPr>
    </w:p>
    <w:p>
      <w:pPr>
        <w:ind w:left="1040" w:right="20" w:hanging="366"/>
        <w:spacing w:after="0" w:line="353" w:lineRule="auto"/>
        <w:tabs>
          <w:tab w:leader="none" w:pos="103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in effect policies and procedures reasonably designed to promote compliance by them and their Subsidiaries, and their respective directors, officers and employees, with applicable Sanctions;</w:t>
      </w:r>
    </w:p>
    <w:p>
      <w:pPr>
        <w:spacing w:after="0" w:line="52" w:lineRule="exact"/>
        <w:rPr>
          <w:rFonts w:ascii="Times New Roman" w:cs="Times New Roman" w:eastAsia="Times New Roman" w:hAnsi="Times New Roman"/>
          <w:sz w:val="20"/>
          <w:szCs w:val="20"/>
          <w:color w:val="auto"/>
        </w:rPr>
      </w:pPr>
    </w:p>
    <w:p>
      <w:pPr>
        <w:ind w:left="1040" w:right="20" w:hanging="366"/>
        <w:spacing w:after="0" w:line="367" w:lineRule="auto"/>
        <w:tabs>
          <w:tab w:leader="none" w:pos="103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in effect policies and procedures reasonably designed to promote compliance by them and their Subsidiaries, and their respective directors, officers and employees, with applicable Anti-Corruption Laws; and</w:t>
      </w:r>
    </w:p>
    <w:p>
      <w:pPr>
        <w:spacing w:after="0" w:line="39"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German RPA Seller:</w:t>
      </w:r>
    </w:p>
    <w:p>
      <w:pPr>
        <w:spacing w:after="0" w:line="188" w:lineRule="exact"/>
        <w:rPr>
          <w:rFonts w:ascii="Times New Roman" w:cs="Times New Roman" w:eastAsia="Times New Roman" w:hAnsi="Times New Roman"/>
          <w:sz w:val="20"/>
          <w:szCs w:val="20"/>
          <w:color w:val="auto"/>
        </w:rPr>
      </w:pPr>
    </w:p>
    <w:p>
      <w:pPr>
        <w:ind w:left="800" w:hanging="636"/>
        <w:spacing w:after="0" w:line="334" w:lineRule="auto"/>
        <w:tabs>
          <w:tab w:leader="none" w:pos="4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opt or continue to opt at all times for payment of self-assessed or assessed VAT on a monthly basis, (x) having applied for a permanent extension for the filing of monthly returns (</w:t>
      </w:r>
      <w:r>
        <w:rPr>
          <w:rFonts w:ascii="Times New Roman" w:cs="Times New Roman" w:eastAsia="Times New Roman" w:hAnsi="Times New Roman"/>
          <w:sz w:val="20"/>
          <w:szCs w:val="20"/>
          <w:i w:val="1"/>
          <w:iCs w:val="1"/>
          <w:color w:val="auto"/>
        </w:rPr>
        <w:t>Dauerfristverlängerung</w:t>
      </w:r>
      <w:r>
        <w:rPr>
          <w:rFonts w:ascii="Times New Roman" w:cs="Times New Roman" w:eastAsia="Times New Roman" w:hAnsi="Times New Roman"/>
          <w:sz w:val="20"/>
          <w:szCs w:val="20"/>
          <w:color w:val="auto"/>
        </w:rPr>
        <w:t>) post and maintain posted a special advance estimated tax payment to the relevant tax office, (y) to calculate and self-assess VAT on a monthly basis in accordance with German VAT laws and regulations and (z) to pay any VAT when due to the relevant German tax administration on a monthly basis;</w:t>
      </w:r>
    </w:p>
    <w:p>
      <w:pPr>
        <w:spacing w:after="0" w:line="74" w:lineRule="exact"/>
        <w:rPr>
          <w:sz w:val="20"/>
          <w:szCs w:val="20"/>
          <w:color w:val="auto"/>
        </w:rPr>
      </w:pPr>
    </w:p>
    <w:p>
      <w:pPr>
        <w:jc w:val="both"/>
        <w:ind w:left="860" w:hanging="647"/>
        <w:spacing w:after="0" w:line="338" w:lineRule="auto"/>
        <w:rPr>
          <w:sz w:val="20"/>
          <w:szCs w:val="20"/>
          <w:color w:val="auto"/>
        </w:rPr>
      </w:pPr>
      <w:r>
        <w:rPr>
          <w:rFonts w:ascii="Times New Roman" w:cs="Times New Roman" w:eastAsia="Times New Roman" w:hAnsi="Times New Roman"/>
          <w:sz w:val="20"/>
          <w:szCs w:val="20"/>
          <w:color w:val="auto"/>
        </w:rPr>
        <w:t>promptly upon request of the Purchaser to provide the Purchaser with (x) a report for the time period specified in the Purchaser's request detailing the calculation of VAT due in the specified calendar month(s) in accordance with German VAT laws and regulations, and (y) evidence of the payment of any amounts of</w:t>
      </w:r>
    </w:p>
    <w:p>
      <w:pPr>
        <w:sectPr>
          <w:pgSz w:w="11900" w:h="16838" w:orient="portrait"/>
          <w:cols w:equalWidth="0" w:num="1">
            <w:col w:w="10120"/>
          </w:cols>
          <w:pgMar w:left="1440" w:top="1440" w:right="339" w:bottom="1440" w:gutter="0" w:footer="0" w:header="0"/>
        </w:sectPr>
      </w:pPr>
    </w:p>
    <w:bookmarkStart w:id="177" w:name="page178"/>
    <w:bookmarkEnd w:id="177"/>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VAT when due to the relevant German tax administration, as described in such report;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submit promptly upon request of the Purchaser a statement and/or evidence in respect of any VAT payment; and</w:t>
      </w:r>
    </w:p>
    <w:p>
      <w:pPr>
        <w:spacing w:after="0" w:line="189" w:lineRule="exact"/>
        <w:rPr>
          <w:sz w:val="20"/>
          <w:szCs w:val="20"/>
          <w:color w:val="auto"/>
        </w:rPr>
      </w:pPr>
    </w:p>
    <w:p>
      <w:pPr>
        <w:jc w:val="both"/>
        <w:ind w:left="1320" w:hanging="647"/>
        <w:spacing w:after="0" w:line="334" w:lineRule="auto"/>
        <w:rPr>
          <w:sz w:val="20"/>
          <w:szCs w:val="20"/>
          <w:color w:val="auto"/>
        </w:rPr>
      </w:pPr>
      <w:r>
        <w:rPr>
          <w:rFonts w:ascii="Times New Roman" w:cs="Times New Roman" w:eastAsia="Times New Roman" w:hAnsi="Times New Roman"/>
          <w:sz w:val="20"/>
          <w:szCs w:val="20"/>
          <w:color w:val="auto"/>
        </w:rPr>
        <w:t>promptly upon request of the Purchaser to ensure that (x) its auditors or any qualified accountants carry out an audit in relation to its VAT assessment procedures and VAT payment in accordance with applicable laws and regulations, detailing the calculation and the payment of VAT during the period since the previous audit or such shorter period as the Purchaser may request and (y) the results of such audit are forthwith communicated to the Purchaser, whereby the costs of such audit shall be borne by such German RPA Seller.</w:t>
      </w:r>
    </w:p>
    <w:p>
      <w:pPr>
        <w:spacing w:after="0" w:line="182" w:lineRule="exact"/>
        <w:rPr>
          <w:sz w:val="20"/>
          <w:szCs w:val="20"/>
          <w:color w:val="auto"/>
        </w:rPr>
      </w:pPr>
    </w:p>
    <w:p>
      <w:pPr>
        <w:ind w:left="860" w:hanging="491"/>
        <w:spacing w:after="0"/>
        <w:tabs>
          <w:tab w:leader="none" w:pos="8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covenants</w:t>
      </w:r>
    </w:p>
    <w:p>
      <w:pPr>
        <w:spacing w:after="0" w:line="18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undertakes:</w:t>
      </w:r>
    </w:p>
    <w:p>
      <w:pPr>
        <w:spacing w:after="0" w:line="310" w:lineRule="exact"/>
        <w:rPr>
          <w:rFonts w:ascii="Times New Roman" w:cs="Times New Roman" w:eastAsia="Times New Roman" w:hAnsi="Times New Roman"/>
          <w:sz w:val="20"/>
          <w:szCs w:val="20"/>
          <w:color w:val="auto"/>
        </w:rPr>
      </w:pPr>
    </w:p>
    <w:p>
      <w:pPr>
        <w:jc w:val="both"/>
        <w:ind w:left="1500" w:hanging="366"/>
        <w:spacing w:after="0" w:line="331" w:lineRule="auto"/>
        <w:tabs>
          <w:tab w:leader="none" w:pos="149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 to sell, lease, transfer or dispose of, the whole or a substantial part of its business or assets whether in a single transaction or by a number of transactions. Such prohibitions do not however apply to: (w) disposals in the ordinary course of the business of the Centralising Unit or of any Seller; (x) disposals between the Centralising Unit and any Seller(s) or between any Sellers or within the GOODYEAR Group; (y) disposals for arm's length consideration on normal commercial terms; or (z) other disposals which are not reasonably likely to materially prejudice the rights of the Purchaser hereunder or adversely and materially affect the collectability of the Sold Receivables; and</w:t>
      </w:r>
    </w:p>
    <w:p>
      <w:pPr>
        <w:spacing w:after="0" w:line="183" w:lineRule="exact"/>
        <w:rPr>
          <w:sz w:val="20"/>
          <w:szCs w:val="20"/>
          <w:color w:val="auto"/>
        </w:rPr>
      </w:pPr>
    </w:p>
    <w:p>
      <w:pPr>
        <w:jc w:val="both"/>
        <w:ind w:left="1380" w:hanging="501"/>
        <w:spacing w:after="0" w:line="333" w:lineRule="auto"/>
        <w:tabs>
          <w:tab w:leader="none" w:pos="136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intra-group mergers or reorganisations within the GOODYEAR Group, not to purchase all or part of the assets of any individual, undertaking or company, and not to enter into any merger (</w:t>
      </w:r>
      <w:r>
        <w:rPr>
          <w:rFonts w:ascii="Times New Roman" w:cs="Times New Roman" w:eastAsia="Times New Roman" w:hAnsi="Times New Roman"/>
          <w:sz w:val="20"/>
          <w:szCs w:val="20"/>
          <w:i w:val="1"/>
          <w:iCs w:val="1"/>
          <w:color w:val="auto"/>
        </w:rPr>
        <w:t>fusion</w:t>
      </w:r>
      <w:r>
        <w:rPr>
          <w:rFonts w:ascii="Times New Roman" w:cs="Times New Roman" w:eastAsia="Times New Roman" w:hAnsi="Times New Roman"/>
          <w:sz w:val="20"/>
          <w:szCs w:val="20"/>
          <w:color w:val="auto"/>
        </w:rPr>
        <w:t>), demerger (</w:t>
      </w:r>
      <w:r>
        <w:rPr>
          <w:rFonts w:ascii="Times New Roman" w:cs="Times New Roman" w:eastAsia="Times New Roman" w:hAnsi="Times New Roman"/>
          <w:sz w:val="20"/>
          <w:szCs w:val="20"/>
          <w:i w:val="1"/>
          <w:iCs w:val="1"/>
          <w:color w:val="auto"/>
        </w:rPr>
        <w:t>scission</w:t>
      </w:r>
      <w:r>
        <w:rPr>
          <w:rFonts w:ascii="Times New Roman" w:cs="Times New Roman" w:eastAsia="Times New Roman" w:hAnsi="Times New Roman"/>
          <w:sz w:val="20"/>
          <w:szCs w:val="20"/>
          <w:color w:val="auto"/>
        </w:rPr>
        <w:t>) or proceeding of a similar nature, which is reasonably likely to materially prejudice the rights of the Purchaser hereunder or adversely affects such Seller's ability to collect the Sold Receivables;</w:t>
      </w:r>
    </w:p>
    <w:p>
      <w:pPr>
        <w:spacing w:after="0" w:line="87" w:lineRule="exact"/>
        <w:rPr>
          <w:sz w:val="20"/>
          <w:szCs w:val="20"/>
          <w:color w:val="auto"/>
        </w:rPr>
      </w:pPr>
    </w:p>
    <w:p>
      <w:pPr>
        <w:jc w:val="both"/>
        <w:ind w:left="620" w:hanging="637"/>
        <w:spacing w:after="0" w:line="338" w:lineRule="auto"/>
        <w:rPr>
          <w:sz w:val="20"/>
          <w:szCs w:val="20"/>
          <w:color w:val="auto"/>
        </w:rPr>
      </w:pPr>
      <w:r>
        <w:rPr>
          <w:rFonts w:ascii="Times New Roman" w:cs="Times New Roman" w:eastAsia="Times New Roman" w:hAnsi="Times New Roman"/>
          <w:sz w:val="20"/>
          <w:szCs w:val="20"/>
          <w:color w:val="auto"/>
        </w:rPr>
        <w:t>not to vary any of its Credit and Collection Policies currently in operation on the date it becomes a Seller under the Transaction Documents, without the prior written consent of the Purchaser if such a variation is reasonably likely to adversely affect the quality of such Credit and Collection Policies;</w:t>
      </w:r>
    </w:p>
    <w:p>
      <w:pPr>
        <w:sectPr>
          <w:pgSz w:w="11900" w:h="16838" w:orient="portrait"/>
          <w:cols w:equalWidth="0" w:num="1">
            <w:col w:w="10580"/>
          </w:cols>
          <w:pgMar w:left="980" w:top="1440" w:right="339" w:bottom="1440" w:gutter="0" w:footer="0" w:header="0"/>
        </w:sectPr>
      </w:pPr>
    </w:p>
    <w:bookmarkStart w:id="178" w:name="page179"/>
    <w:bookmarkEnd w:id="178"/>
    <w:p>
      <w:pPr>
        <w:spacing w:after="0" w:line="95" w:lineRule="exact"/>
        <w:rPr>
          <w:sz w:val="20"/>
          <w:szCs w:val="20"/>
          <w:color w:val="auto"/>
        </w:rPr>
      </w:pPr>
    </w:p>
    <w:p>
      <w:pPr>
        <w:ind w:left="1040" w:hanging="366"/>
        <w:spacing w:after="0" w:line="353"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deliver to the Purchaser any document containing information concerning the Sold Receivables which it knows to be inaccurate or incomplete;</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deliver to the Purchaser any document containing information concerning the Sold Receivables which it, in the exercise of reasonable diligence, should reasonably have known to be inaccurate or incomplete, in any material respect;</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use any software for the management of the Sold Receivables unless the software user licence allows it to be used to monitor the Sold Receivables, except in cases that would not be reasonably likely to result in a Material Adverse Effect;</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abstain from varying the corporate purposes or changing the legal form of such Seller, except to the extent related to any intra-group mergers or reorganisations within the GOODYEAR Group or to the extent that such variation or change would not be reasonably likely to result in a Material Adverse Effect;</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2"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endorse, transfer or deliver to any person a Bill of Exchange relating to a Sold Receivable unless such an endorsement, transfer or delivery is made for the benefit of the Purchaser and, upon request of the Purchaser, to endorse, transfer or deliver, to the Purchaser or any third party designated by the Purchaser, acting pursuant to a power of attorney provided by a separate agreement, any and all Bills of Exchange corresponding to Sold Receivables and take all such measures deemed necessary by the Purchaser in order to preserve its rights hereunder;</w:t>
      </w:r>
    </w:p>
    <w:p>
      <w:pPr>
        <w:spacing w:after="0" w:line="75"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create, incur, assume or permit to exist any Liens (other than any Lien contemplated by the Transaction Documents) (a) in relation to any Sold Receivables (and related rights) or in respect of the Collection Accounts, with the exception of those Liens required by applicable laws and regulations, or (b) over the Subordinated Deposit;</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31" w:lineRule="auto"/>
        <w:tabs>
          <w:tab w:leader="none" w:pos="103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use, and shall procure that its Subsidiaries shall not use, the proceeds of the Initial Purchase Price and the Deferred Purchase Price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of America, the Federal Republic of Germany, the Netherlands, Luxembourg, France or the United Kingdom; and</w:t>
      </w:r>
    </w:p>
    <w:p>
      <w:pPr>
        <w:sectPr>
          <w:pgSz w:w="11900" w:h="16838" w:orient="portrait"/>
          <w:cols w:equalWidth="0" w:num="1">
            <w:col w:w="10120"/>
          </w:cols>
          <w:pgMar w:left="1440" w:top="1440" w:right="339" w:bottom="1440" w:gutter="0" w:footer="0" w:header="0"/>
        </w:sectPr>
      </w:pPr>
    </w:p>
    <w:bookmarkStart w:id="179" w:name="page180"/>
    <w:bookmarkEnd w:id="179"/>
    <w:p>
      <w:pPr>
        <w:spacing w:after="0" w:line="95" w:lineRule="exact"/>
        <w:rPr>
          <w:sz w:val="20"/>
          <w:szCs w:val="20"/>
          <w:color w:val="auto"/>
        </w:rPr>
      </w:pPr>
    </w:p>
    <w:p>
      <w:pPr>
        <w:jc w:val="both"/>
        <w:ind w:left="1642" w:hanging="366"/>
        <w:spacing w:after="0" w:line="338" w:lineRule="auto"/>
        <w:tabs>
          <w:tab w:leader="none" w:pos="1636" w:val="left"/>
        </w:tabs>
        <w:numPr>
          <w:ilvl w:val="2"/>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use, and shall procure that its Subsidiaries shall not use, the proceeds of the Initial Purchase Price and the Deferred Purchase Price for the purpose of funding any activity, business or transaction prohibited by Anti-Corruption Laws.</w:t>
      </w:r>
    </w:p>
    <w:p>
      <w:pPr>
        <w:spacing w:after="0" w:line="185"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Centralising Unit</w:t>
      </w:r>
    </w:p>
    <w:p>
      <w:pPr>
        <w:spacing w:after="0" w:line="192"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Affirmative covenants</w:t>
      </w:r>
    </w:p>
    <w:p>
      <w:pPr>
        <w:spacing w:after="0" w:line="188" w:lineRule="exact"/>
        <w:rPr>
          <w:rFonts w:ascii="Times New Roman" w:cs="Times New Roman" w:eastAsia="Times New Roman" w:hAnsi="Times New Roman"/>
          <w:sz w:val="20"/>
          <w:szCs w:val="20"/>
          <w:color w:val="auto"/>
        </w:rPr>
      </w:pPr>
    </w:p>
    <w:p>
      <w:pPr>
        <w:ind w:left="100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undertakes:</w:t>
      </w:r>
    </w:p>
    <w:p>
      <w:pPr>
        <w:spacing w:after="0" w:line="188"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the Purchaser without undue delay, on a non-consolidated basis, with:</w:t>
      </w:r>
    </w:p>
    <w:p>
      <w:pPr>
        <w:spacing w:after="0" w:line="189" w:lineRule="exact"/>
        <w:rPr>
          <w:sz w:val="20"/>
          <w:szCs w:val="20"/>
          <w:color w:val="auto"/>
        </w:rPr>
      </w:pPr>
    </w:p>
    <w:p>
      <w:pPr>
        <w:jc w:val="both"/>
        <w:ind w:left="1402" w:hanging="637"/>
        <w:spacing w:after="0" w:line="338" w:lineRule="auto"/>
        <w:rPr>
          <w:sz w:val="20"/>
          <w:szCs w:val="20"/>
          <w:color w:val="auto"/>
        </w:rPr>
      </w:pPr>
      <w:r>
        <w:rPr>
          <w:rFonts w:ascii="Times New Roman" w:cs="Times New Roman" w:eastAsia="Times New Roman" w:hAnsi="Times New Roman"/>
          <w:sz w:val="20"/>
          <w:szCs w:val="20"/>
          <w:color w:val="auto"/>
        </w:rPr>
        <w:t>its annual accounts (balance sheet, profit and loss accounts and annexes), as published and certified by its statutory auditors, the related report of the board of directors and statutory auditors, and an extract of the minutes of the shareholders' annual general meeting approving the said accounts, no later than forty-five calendar days (45) following the holding of its shareholders' annual general meeting;</w:t>
      </w:r>
    </w:p>
    <w:p>
      <w:pPr>
        <w:spacing w:after="0" w:line="68"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0"/>
          <w:szCs w:val="20"/>
          <w:color w:val="auto"/>
        </w:rPr>
        <w:t>all published interim financial information; and</w:t>
      </w:r>
    </w:p>
    <w:p>
      <w:pPr>
        <w:spacing w:after="0" w:line="189" w:lineRule="exact"/>
        <w:rPr>
          <w:sz w:val="20"/>
          <w:szCs w:val="20"/>
          <w:color w:val="auto"/>
        </w:rPr>
      </w:pPr>
    </w:p>
    <w:p>
      <w:pPr>
        <w:jc w:val="both"/>
        <w:ind w:left="1522" w:hanging="501"/>
        <w:spacing w:after="0" w:line="338" w:lineRule="auto"/>
        <w:tabs>
          <w:tab w:leader="none" w:pos="151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information, reports or statements as the Purchaser may at any time reasonably request and depending on the type of information requested, in accordance with the procedures applicable to the communication of information under this Agreement;</w:t>
      </w:r>
    </w:p>
    <w:p>
      <w:pPr>
        <w:spacing w:after="0" w:line="81" w:lineRule="exact"/>
        <w:rPr>
          <w:sz w:val="20"/>
          <w:szCs w:val="20"/>
          <w:color w:val="auto"/>
        </w:rPr>
      </w:pPr>
    </w:p>
    <w:p>
      <w:pPr>
        <w:ind w:left="762" w:firstLine="243"/>
        <w:spacing w:after="0" w:line="353" w:lineRule="auto"/>
        <w:rPr>
          <w:sz w:val="20"/>
          <w:szCs w:val="20"/>
          <w:color w:val="auto"/>
        </w:rPr>
      </w:pPr>
      <w:r>
        <w:rPr>
          <w:rFonts w:ascii="Times New Roman" w:cs="Times New Roman" w:eastAsia="Times New Roman" w:hAnsi="Times New Roman"/>
          <w:sz w:val="20"/>
          <w:szCs w:val="20"/>
          <w:color w:val="auto"/>
        </w:rPr>
        <w:t>to request promptly any authorisation as may become necessary for the performance of its obligations under the Transaction Documents to which it is a party;</w:t>
      </w:r>
    </w:p>
    <w:p>
      <w:pPr>
        <w:spacing w:after="0" w:line="52" w:lineRule="exact"/>
        <w:rPr>
          <w:sz w:val="20"/>
          <w:szCs w:val="20"/>
          <w:color w:val="auto"/>
        </w:rPr>
      </w:pPr>
    </w:p>
    <w:p>
      <w:pPr>
        <w:jc w:val="both"/>
        <w:ind w:left="1642" w:hanging="366"/>
        <w:spacing w:after="0" w:line="338" w:lineRule="auto"/>
        <w:tabs>
          <w:tab w:leader="none" w:pos="163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do or cause to be done all things necessary to preserve, renew and keep in full force and effect its legal existence and the rights, licenses, permits, privileges and franchises material to the conduct of its business, except to the extent that failure to keep in effect such rights, licenses, permits privileges and franchises would not be reasonably likely to result in a Material Adverse Effect;</w:t>
      </w:r>
    </w:p>
    <w:p>
      <w:pPr>
        <w:spacing w:after="0" w:line="67" w:lineRule="exact"/>
        <w:rPr>
          <w:rFonts w:ascii="Times New Roman" w:cs="Times New Roman" w:eastAsia="Times New Roman" w:hAnsi="Times New Roman"/>
          <w:sz w:val="20"/>
          <w:szCs w:val="20"/>
          <w:color w:val="auto"/>
        </w:rPr>
      </w:pPr>
    </w:p>
    <w:p>
      <w:pPr>
        <w:jc w:val="both"/>
        <w:ind w:left="1642" w:hanging="366"/>
        <w:spacing w:after="0" w:line="331" w:lineRule="auto"/>
        <w:tabs>
          <w:tab w:leader="none" w:pos="163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knowledge by the Centralising Unit that (a) an Early Amortisation Event has occurred, to notify forthwith the Purchaser of the same and (b) a Potential Early Amortisation Event has occurred, to notify forthwith the Purchaser of the same and, where applicable, of actions which the Centralising Unit has taken and/or proposes to take with respect thereto in order to prevent such Potential Early Amortisation Event from becoming an Early Amortisation Event;</w:t>
      </w:r>
    </w:p>
    <w:p>
      <w:pPr>
        <w:sectPr>
          <w:pgSz w:w="11900" w:h="16838" w:orient="portrait"/>
          <w:cols w:equalWidth="0" w:num="1">
            <w:col w:w="10722"/>
          </w:cols>
          <w:pgMar w:left="838" w:top="1440" w:right="339" w:bottom="1440" w:gutter="0" w:footer="0" w:header="0"/>
        </w:sectPr>
      </w:pPr>
    </w:p>
    <w:bookmarkStart w:id="180" w:name="page181"/>
    <w:bookmarkEnd w:id="180"/>
    <w:p>
      <w:pPr>
        <w:spacing w:after="0" w:line="95" w:lineRule="exact"/>
        <w:rPr>
          <w:sz w:val="20"/>
          <w:szCs w:val="20"/>
          <w:color w:val="auto"/>
        </w:rPr>
      </w:pPr>
    </w:p>
    <w:p>
      <w:pPr>
        <w:ind w:left="1040" w:hanging="366"/>
        <w:spacing w:after="0" w:line="353"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carry on its business in accordance with all applicable laws and regulations, except where failure to do so would not be reasonably likely to result in a Material Adverse Effect;</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to the Purchaser (on a date which shall be a Settlement Date during the Replenishment Period), a Solvency Certificate within six (6) calendar months after the date of delivery of the previous Solvency Certificate, in accordance with the form set out in SCHEDULE 5;</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0"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 provide the Agent two (2) Business Day before each Information Date preceding the applicable Funded Settlement Date (before 9:00 a.m.) with a copy of the List of Purchasable Receivables in the form agreed between the Parties to this Agreement and a copy of the Assessment Report (with the following tables filled: table 1, table 2, table 3, table 9 and table 11); (b) to provide the Agent on each Information Date preceding the applicable Funded Settlement Date (before noon) with a copy of the Assessment Report filled with the remaining tables left; and (c) to provide the Agent on each Information Date preceding the applicable Intermediary Settlement Date (before 11:00 p.m.) with a copy of the Assessment Report and a List of Purchasable Receivables in the form agreed between the Parties;</w:t>
      </w:r>
    </w:p>
    <w:p>
      <w:pPr>
        <w:spacing w:after="0" w:line="75" w:lineRule="exact"/>
        <w:rPr>
          <w:rFonts w:ascii="Times New Roman" w:cs="Times New Roman" w:eastAsia="Times New Roman" w:hAnsi="Times New Roman"/>
          <w:sz w:val="20"/>
          <w:szCs w:val="20"/>
          <w:color w:val="auto"/>
        </w:rPr>
      </w:pPr>
    </w:p>
    <w:p>
      <w:pPr>
        <w:ind w:left="1040" w:right="20" w:hanging="366"/>
        <w:spacing w:after="0" w:line="353"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the Purchaser (or the Agent acting in the name and on behalf of the Purchaser) on each Funded Settlement Date during the Replenishment Period before 9:00 a.m., with the Transfer Deeds;</w:t>
      </w:r>
    </w:p>
    <w:p>
      <w:pPr>
        <w:spacing w:after="0" w:line="65"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transmit to the Agent and the Purchaser a certificate evidencing compliance with the Financial Covenants at the time of delivery of such financial information described in points (a) and (b) of section 5.01 of the European Credit Facility;</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inform the Purchaser, as soon as possible, and in so far as is permitted by applicable laws and regulations of any restructuring leading to GOODYEAR ceasing to hold directly or indirectly 100% in the voting rights of the Centralising Unit;</w:t>
      </w:r>
    </w:p>
    <w:p>
      <w:pPr>
        <w:spacing w:after="0" w:line="61" w:lineRule="exact"/>
        <w:rPr>
          <w:rFonts w:ascii="Times New Roman" w:cs="Times New Roman" w:eastAsia="Times New Roman" w:hAnsi="Times New Roman"/>
          <w:sz w:val="20"/>
          <w:szCs w:val="20"/>
          <w:color w:val="auto"/>
        </w:rPr>
      </w:pPr>
    </w:p>
    <w:p>
      <w:pPr>
        <w:jc w:val="both"/>
        <w:ind w:left="1040" w:right="20" w:hanging="366"/>
        <w:spacing w:after="0" w:line="338" w:lineRule="auto"/>
        <w:tabs>
          <w:tab w:leader="none" w:pos="10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that any information transmitted by the Centralising Unit or any of the Sellers during the course of the Securitisation Transaction and pursuant to the Transaction Documents is accurate and true in all material respects; and</w:t>
      </w:r>
    </w:p>
    <w:p>
      <w:pPr>
        <w:spacing w:after="0" w:line="67"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effective and in full force at all times the Intercompany Arrangements with the Centralising Unit and the Sellers (as from the Luxembourg Seller Accession Effective Date, with respect to the Luxembourg Seller), and not to change such Intercompany Arrangements in</w:t>
      </w:r>
    </w:p>
    <w:p>
      <w:pPr>
        <w:sectPr>
          <w:pgSz w:w="11900" w:h="16838" w:orient="portrait"/>
          <w:cols w:equalWidth="0" w:num="1">
            <w:col w:w="10120"/>
          </w:cols>
          <w:pgMar w:left="1440" w:top="1440" w:right="339" w:bottom="1440" w:gutter="0" w:footer="0" w:header="0"/>
        </w:sectPr>
      </w:pPr>
    </w:p>
    <w:bookmarkStart w:id="181" w:name="page182"/>
    <w:bookmarkEnd w:id="181"/>
    <w:p>
      <w:pPr>
        <w:spacing w:after="0" w:line="95"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20"/>
          <w:szCs w:val="20"/>
          <w:color w:val="auto"/>
        </w:rPr>
        <w:t>any way that may adversely affect the rights of the Purchaser under the Securitisation Transaction.</w:t>
      </w:r>
    </w:p>
    <w:p>
      <w:pPr>
        <w:spacing w:after="0" w:line="297" w:lineRule="exact"/>
        <w:rPr>
          <w:sz w:val="20"/>
          <w:szCs w:val="20"/>
          <w:color w:val="auto"/>
        </w:rPr>
      </w:pPr>
    </w:p>
    <w:p>
      <w:pPr>
        <w:ind w:left="1002" w:hanging="491"/>
        <w:spacing w:after="0"/>
        <w:tabs>
          <w:tab w:leader="none" w:pos="100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covenants</w:t>
      </w:r>
    </w:p>
    <w:p>
      <w:pPr>
        <w:spacing w:after="0" w:line="188" w:lineRule="exact"/>
        <w:rPr>
          <w:rFonts w:ascii="Times New Roman" w:cs="Times New Roman" w:eastAsia="Times New Roman" w:hAnsi="Times New Roman"/>
          <w:sz w:val="20"/>
          <w:szCs w:val="20"/>
          <w:color w:val="auto"/>
        </w:rPr>
      </w:pPr>
    </w:p>
    <w:p>
      <w:pPr>
        <w:ind w:left="100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undertakes:</w:t>
      </w:r>
    </w:p>
    <w:p>
      <w:pPr>
        <w:spacing w:after="0" w:line="202"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4"/>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abstain from changing its legal form, its corporate existence and varying its corporate purposes, except to the extent that such variation or change would not be reasonably likely to adversely affect the performance of its obligations under the Transaction Documents; and</w:t>
      </w:r>
    </w:p>
    <w:p>
      <w:pPr>
        <w:spacing w:after="0" w:line="67"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4"/>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create, incur, assume or permit to exist any Lien in relation to any of its assets, except (x) for Liens provided under the Transaction Documents, (y) to the extent such Liens do not relate to any assets in relation to the Securitisation Transaction, for Liens created or permitted by the European Credit Facility, or (z) to the extent required by applicable laws or regulations.</w:t>
      </w:r>
    </w:p>
    <w:p>
      <w:pPr>
        <w:spacing w:after="0" w:line="171"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Agent</w:t>
      </w:r>
    </w:p>
    <w:p>
      <w:pPr>
        <w:spacing w:after="0" w:line="192"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hereby agrees with the other Parties that it shall, at the latest on each Calculation Date:</w:t>
      </w:r>
    </w:p>
    <w:p>
      <w:pPr>
        <w:spacing w:after="0" w:line="188" w:lineRule="exact"/>
        <w:rPr>
          <w:rFonts w:ascii="Times New Roman" w:cs="Times New Roman" w:eastAsia="Times New Roman" w:hAnsi="Times New Roman"/>
          <w:sz w:val="20"/>
          <w:szCs w:val="20"/>
          <w:color w:val="auto"/>
        </w:rPr>
      </w:pPr>
    </w:p>
    <w:p>
      <w:pPr>
        <w:ind w:left="1642" w:right="20" w:hanging="366"/>
        <w:spacing w:after="0" w:line="353" w:lineRule="auto"/>
        <w:tabs>
          <w:tab w:leader="none" w:pos="1636" w:val="left"/>
        </w:tabs>
        <w:numPr>
          <w:ilvl w:val="4"/>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 selection in the List of Purchasable Receivables sent by the Centralising Unit, acting in the name and on behalf of the Sellers, on the preceding Information Date, in order to select, by way of priority,</w:t>
      </w:r>
    </w:p>
    <w:p>
      <w:pPr>
        <w:spacing w:after="0" w:line="52" w:lineRule="exact"/>
        <w:rPr>
          <w:rFonts w:ascii="Times New Roman" w:cs="Times New Roman" w:eastAsia="Times New Roman" w:hAnsi="Times New Roman"/>
          <w:sz w:val="20"/>
          <w:szCs w:val="20"/>
          <w:color w:val="auto"/>
        </w:rPr>
      </w:pPr>
    </w:p>
    <w:p>
      <w:pPr>
        <w:jc w:val="both"/>
        <w:ind w:left="1402" w:hanging="616"/>
        <w:spacing w:after="0" w:line="352" w:lineRule="auto"/>
        <w:tabs>
          <w:tab w:leader="none" w:pos="1395" w:val="left"/>
        </w:tabs>
        <w:numPr>
          <w:ilvl w:val="2"/>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Ongoing Purchasable Receivables title to which has passed and which have been transferred to the Purchaser from the Sellers between the last two (2) Assessment Dates other than, if such Calculation Date immediately precedes a Funded Settlement Date, those Ongoing Purchasable Receivables the transfer of which shall be rescinded on such Funded Settlement Date 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and then</w:t>
      </w:r>
    </w:p>
    <w:p>
      <w:pPr>
        <w:spacing w:after="0" w:line="75" w:lineRule="exact"/>
        <w:rPr>
          <w:rFonts w:ascii="Times New Roman" w:cs="Times New Roman" w:eastAsia="Times New Roman" w:hAnsi="Times New Roman"/>
          <w:sz w:val="19"/>
          <w:szCs w:val="19"/>
          <w:color w:val="auto"/>
        </w:rPr>
      </w:pPr>
    </w:p>
    <w:p>
      <w:pPr>
        <w:jc w:val="both"/>
        <w:ind w:left="1522" w:hanging="501"/>
        <w:spacing w:after="0" w:line="333" w:lineRule="auto"/>
        <w:tabs>
          <w:tab w:leader="none" w:pos="1511" w:val="left"/>
        </w:tabs>
        <w:numPr>
          <w:ilvl w:val="3"/>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Calculation Date immediately precedes a Funded Settlement Date, the Remaining Purchasable Receivables which shall be purchased by the Purchaser from the Sellers on such Funded Settlement Date during the Replenishment Period (</w:t>
      </w:r>
      <w:r>
        <w:rPr>
          <w:rFonts w:ascii="Times New Roman" w:cs="Times New Roman" w:eastAsia="Times New Roman" w:hAnsi="Times New Roman"/>
          <w:sz w:val="20"/>
          <w:szCs w:val="20"/>
          <w:i w:val="1"/>
          <w:iCs w:val="1"/>
          <w:u w:val="single" w:color="auto"/>
          <w:color w:val="auto"/>
        </w:rPr>
        <w:t>it being provided</w:t>
      </w:r>
      <w:r>
        <w:rPr>
          <w:rFonts w:ascii="Times New Roman" w:cs="Times New Roman" w:eastAsia="Times New Roman" w:hAnsi="Times New Roman"/>
          <w:sz w:val="20"/>
          <w:szCs w:val="20"/>
          <w:color w:val="auto"/>
        </w:rPr>
        <w:t xml:space="preserve"> that, for the purposes of this provision, the transfer of the Originated Ongoing Purchasable Receivables sold on the second Funded Settlement Date preceding such Calculation Date</w:t>
      </w:r>
    </w:p>
    <w:p>
      <w:pPr>
        <w:sectPr>
          <w:pgSz w:w="11900" w:h="16838" w:orient="portrait"/>
          <w:cols w:equalWidth="0" w:num="1">
            <w:col w:w="10722"/>
          </w:cols>
          <w:pgMar w:left="838" w:top="1440" w:right="339" w:bottom="1440" w:gutter="0" w:footer="0" w:header="0"/>
        </w:sectPr>
      </w:pPr>
    </w:p>
    <w:bookmarkStart w:id="182" w:name="page183"/>
    <w:bookmarkEnd w:id="182"/>
    <w:p>
      <w:pPr>
        <w:spacing w:after="0" w:line="95" w:lineRule="exact"/>
        <w:rPr>
          <w:sz w:val="20"/>
          <w:szCs w:val="20"/>
          <w:color w:val="auto"/>
        </w:rPr>
      </w:pPr>
    </w:p>
    <w:p>
      <w:pPr>
        <w:jc w:val="both"/>
        <w:ind w:left="1400"/>
        <w:spacing w:after="0" w:line="355" w:lineRule="auto"/>
        <w:rPr>
          <w:sz w:val="20"/>
          <w:szCs w:val="20"/>
          <w:color w:val="auto"/>
        </w:rPr>
      </w:pPr>
      <w:r>
        <w:rPr>
          <w:rFonts w:ascii="Times New Roman" w:cs="Times New Roman" w:eastAsia="Times New Roman" w:hAnsi="Times New Roman"/>
          <w:sz w:val="19"/>
          <w:szCs w:val="19"/>
          <w:color w:val="auto"/>
        </w:rPr>
        <w:t>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will be assumed to be rescinded on the Funded Settlement Date following such Calculation Date so that such Originated Ongoing Purchasable Receivables will be treated as Remaining Purchasable Receivables to be purchased on such Funded Settlement Date),</w:t>
      </w:r>
    </w:p>
    <w:p>
      <w:pPr>
        <w:spacing w:after="0" w:line="58" w:lineRule="exact"/>
        <w:rPr>
          <w:sz w:val="20"/>
          <w:szCs w:val="20"/>
          <w:color w:val="auto"/>
        </w:rPr>
      </w:pPr>
    </w:p>
    <w:p>
      <w:pPr>
        <w:jc w:val="both"/>
        <w:ind w:left="1280"/>
        <w:spacing w:after="0" w:line="333" w:lineRule="auto"/>
        <w:rPr>
          <w:sz w:val="20"/>
          <w:szCs w:val="20"/>
          <w:color w:val="auto"/>
        </w:rPr>
      </w:pPr>
      <w:r>
        <w:rPr>
          <w:rFonts w:ascii="Times New Roman" w:cs="Times New Roman" w:eastAsia="Times New Roman" w:hAnsi="Times New Roman"/>
          <w:sz w:val="20"/>
          <w:szCs w:val="20"/>
          <w:color w:val="auto"/>
        </w:rPr>
        <w:t>so that the Outstanding Amount of Sold Receivables shall not exceed the sum of the Requested Amount of the Purchaser's Funding, the amount of the Subordinated Deposit and the Discount Reserve minus the applicable Outstanding Amount of Refinanced Sold Receivables refinanced on the applicable Funded Settlement Date by the funding of Italian Notes;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identify among the Remaining Purchasable Receivables and the Ongoing Purchasable Receivables selected in accordance with point</w:t>
      </w:r>
    </w:p>
    <w:p>
      <w:pPr>
        <w:spacing w:after="0" w:line="92" w:lineRule="exact"/>
        <w:rPr>
          <w:sz w:val="20"/>
          <w:szCs w:val="20"/>
          <w:color w:val="auto"/>
        </w:rPr>
      </w:pPr>
    </w:p>
    <w:p>
      <w:pPr>
        <w:jc w:val="both"/>
        <w:ind w:left="640" w:firstLine="4"/>
        <w:spacing w:after="0" w:line="333" w:lineRule="auto"/>
        <w:tabs>
          <w:tab w:leader="none" w:pos="92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Eligible Receivables which shall be selected so that the Outstanding Amount of Eligible Receivables and Refinanced Eligible Receivables due by Debtors of the same Group on the following Settlement Date shall not exceed the Maximum Concentration Rate multiplied by the sum of the Outstanding Amount of the Eligible Receivables and the Outstanding Amount of Refinanced Eligible Receivables on such date;</w:t>
      </w:r>
    </w:p>
    <w:p>
      <w:pPr>
        <w:spacing w:after="0" w:line="181" w:lineRule="exact"/>
        <w:rPr>
          <w:rFonts w:ascii="Times New Roman" w:cs="Times New Roman" w:eastAsia="Times New Roman" w:hAnsi="Times New Roman"/>
          <w:sz w:val="20"/>
          <w:szCs w:val="20"/>
          <w:color w:val="auto"/>
        </w:rPr>
      </w:pPr>
    </w:p>
    <w:p>
      <w:pPr>
        <w:jc w:val="both"/>
        <w:ind w:left="1520" w:hanging="366"/>
        <w:spacing w:after="0" w:line="347" w:lineRule="auto"/>
        <w:tabs>
          <w:tab w:leader="none" w:pos="1514"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Calculation Date immediately precedes a Funded Settlement Date, send to the Centralising Unit, acting in the name and on behalf of the Sellers, before 5:00 p.m. on such Calculation Date a list containing the Remaining Purchasable Receivables and the Originated Ongoing Purchasable Receivables (and identifying specifically the Eligible Receivables) as at the next Funded Settlement Date during the Replenishment Period, along with the Outstanding Amount of Remaining Purchasable Receivables and the Outstanding Amount of Eligible Receivables (</w:t>
      </w:r>
      <w:r>
        <w:rPr>
          <w:rFonts w:ascii="Times New Roman" w:cs="Times New Roman" w:eastAsia="Times New Roman" w:hAnsi="Times New Roman"/>
          <w:sz w:val="19"/>
          <w:szCs w:val="19"/>
          <w:i w:val="1"/>
          <w:iCs w:val="1"/>
          <w:u w:val="single" w:color="auto"/>
          <w:color w:val="auto"/>
        </w:rPr>
        <w:t>it being provided</w:t>
      </w:r>
      <w:r>
        <w:rPr>
          <w:rFonts w:ascii="Times New Roman" w:cs="Times New Roman" w:eastAsia="Times New Roman" w:hAnsi="Times New Roman"/>
          <w:sz w:val="19"/>
          <w:szCs w:val="19"/>
          <w:color w:val="auto"/>
        </w:rPr>
        <w:t xml:space="preserve"> that, for the purposes of this provision, the transfer of the Originated Ongoing Purchasable Receivables sold on the second Funded Settlement Date preceding such Calculation Date 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will be assumed to be rescinded on the Funded Settlement Date following such Calculation Date so that such Originated Ongoing Purchasable Receivables will be treated as Remaining Purchasable Receivables to be purchased on such Funded Settlement Date);</w:t>
      </w:r>
    </w:p>
    <w:p>
      <w:pPr>
        <w:sectPr>
          <w:pgSz w:w="11900" w:h="16838" w:orient="portrait"/>
          <w:cols w:equalWidth="0" w:num="1">
            <w:col w:w="10600"/>
          </w:cols>
          <w:pgMar w:left="960" w:top="1440" w:right="339" w:bottom="1440" w:gutter="0" w:footer="0" w:header="0"/>
        </w:sectPr>
      </w:pPr>
    </w:p>
    <w:bookmarkStart w:id="183" w:name="page184"/>
    <w:bookmarkEnd w:id="183"/>
    <w:p>
      <w:pPr>
        <w:spacing w:after="0" w:line="203" w:lineRule="exact"/>
        <w:rPr>
          <w:sz w:val="20"/>
          <w:szCs w:val="20"/>
          <w:color w:val="auto"/>
        </w:rPr>
      </w:pPr>
    </w:p>
    <w:p>
      <w:pPr>
        <w:ind w:left="1131" w:hanging="366"/>
        <w:spacing w:after="0" w:line="352" w:lineRule="auto"/>
        <w:tabs>
          <w:tab w:leader="none" w:pos="112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 with respect to the following Settlement Date, and on the basis of the information received on the preceding Information Date:</w:t>
      </w: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balance of the Current Account;</w:t>
      </w:r>
    </w:p>
    <w:p>
      <w:pPr>
        <w:spacing w:after="0" w:line="80" w:lineRule="exact"/>
        <w:rPr>
          <w:rFonts w:ascii="Times New Roman" w:cs="Times New Roman" w:eastAsia="Times New Roman" w:hAnsi="Times New Roman"/>
          <w:sz w:val="20"/>
          <w:szCs w:val="20"/>
          <w:color w:val="auto"/>
        </w:rPr>
      </w:pP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Discount Amount;</w:t>
      </w:r>
    </w:p>
    <w:p>
      <w:pPr>
        <w:spacing w:after="0" w:line="80" w:lineRule="exact"/>
        <w:rPr>
          <w:rFonts w:ascii="Times New Roman" w:cs="Times New Roman" w:eastAsia="Times New Roman" w:hAnsi="Times New Roman"/>
          <w:sz w:val="20"/>
          <w:szCs w:val="20"/>
          <w:color w:val="auto"/>
        </w:rPr>
      </w:pP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Discount Reserve;</w:t>
      </w:r>
    </w:p>
    <w:p>
      <w:pPr>
        <w:spacing w:after="0" w:line="67" w:lineRule="exact"/>
        <w:rPr>
          <w:rFonts w:ascii="Times New Roman" w:cs="Times New Roman" w:eastAsia="Times New Roman" w:hAnsi="Times New Roman"/>
          <w:sz w:val="20"/>
          <w:szCs w:val="20"/>
          <w:color w:val="auto"/>
        </w:rPr>
      </w:pPr>
    </w:p>
    <w:p>
      <w:pPr>
        <w:jc w:val="both"/>
        <w:ind w:left="891" w:hanging="508"/>
        <w:spacing w:after="0" w:line="230" w:lineRule="auto"/>
        <w:tabs>
          <w:tab w:leader="none" w:pos="88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Sold Receivables, the Outstanding Amount of Refinanced Sold Receivables, the Outstanding Amount of Eligible Receivables and the Outstanding Amount of Refinanced Eligible Receivables, globally and for each Seller individually and for the Italian Seller;</w:t>
      </w:r>
    </w:p>
    <w:p>
      <w:pPr>
        <w:spacing w:after="0" w:line="40" w:lineRule="exact"/>
        <w:rPr>
          <w:rFonts w:ascii="Times New Roman" w:cs="Times New Roman" w:eastAsia="Times New Roman" w:hAnsi="Times New Roman"/>
          <w:sz w:val="20"/>
          <w:szCs w:val="20"/>
          <w:color w:val="auto"/>
        </w:rPr>
      </w:pPr>
    </w:p>
    <w:p>
      <w:pPr>
        <w:ind w:left="891" w:right="20" w:hanging="508"/>
        <w:spacing w:after="0"/>
        <w:tabs>
          <w:tab w:leader="none" w:pos="8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Purchaser's Funding, including any increase or reduction in the level of such funding if such Calculation Date precedes immediately a Funded Settlement Date;</w:t>
      </w:r>
    </w:p>
    <w:p>
      <w:pPr>
        <w:spacing w:after="0" w:line="53" w:lineRule="exact"/>
        <w:rPr>
          <w:rFonts w:ascii="Times New Roman" w:cs="Times New Roman" w:eastAsia="Times New Roman" w:hAnsi="Times New Roman"/>
          <w:sz w:val="20"/>
          <w:szCs w:val="20"/>
          <w:color w:val="auto"/>
        </w:rPr>
      </w:pP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Subordinated Deposit;</w:t>
      </w:r>
    </w:p>
    <w:p>
      <w:pPr>
        <w:spacing w:after="0" w:line="67" w:lineRule="exact"/>
        <w:rPr>
          <w:rFonts w:ascii="Times New Roman" w:cs="Times New Roman" w:eastAsia="Times New Roman" w:hAnsi="Times New Roman"/>
          <w:sz w:val="20"/>
          <w:szCs w:val="20"/>
          <w:color w:val="auto"/>
        </w:rPr>
      </w:pP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Adjusted Collections and the Refinanced Adjusted Collections; and</w:t>
      </w:r>
    </w:p>
    <w:p>
      <w:pPr>
        <w:spacing w:after="0" w:line="80" w:lineRule="exact"/>
        <w:rPr>
          <w:rFonts w:ascii="Times New Roman" w:cs="Times New Roman" w:eastAsia="Times New Roman" w:hAnsi="Times New Roman"/>
          <w:sz w:val="20"/>
          <w:szCs w:val="20"/>
          <w:color w:val="auto"/>
        </w:rPr>
      </w:pPr>
    </w:p>
    <w:p>
      <w:pPr>
        <w:ind w:left="891" w:hanging="508"/>
        <w:spacing w:after="0"/>
        <w:tabs>
          <w:tab w:leader="none" w:pos="8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amounts agreed between the Agent and the Centralising Unit;</w:t>
      </w:r>
    </w:p>
    <w:p>
      <w:pPr>
        <w:spacing w:after="0" w:line="242" w:lineRule="exact"/>
        <w:rPr>
          <w:rFonts w:ascii="Times New Roman" w:cs="Times New Roman" w:eastAsia="Times New Roman" w:hAnsi="Times New Roman"/>
          <w:sz w:val="20"/>
          <w:szCs w:val="20"/>
          <w:color w:val="auto"/>
        </w:rPr>
      </w:pPr>
    </w:p>
    <w:p>
      <w:pPr>
        <w:jc w:val="both"/>
        <w:ind w:left="1131" w:hanging="366"/>
        <w:spacing w:after="0" w:line="331" w:lineRule="auto"/>
        <w:tabs>
          <w:tab w:leader="none" w:pos="112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notice before 5:00 p.m. on such Calculation Date to the Centralising Unit acting, as the case may be, on its own behalf or on behalf of the Sellers, of the calculations (with supporting details) carried out pursuant to the above paragraph (iv) in order to provide the information needed, as the case may be, for the payment to be made on the following Settlement Date pursuant to Article 5.3, in accordance with the Calculation Letter described in SCHEDULE 13;</w:t>
      </w:r>
    </w:p>
    <w:p>
      <w:pPr>
        <w:spacing w:after="0" w:line="196" w:lineRule="exact"/>
        <w:rPr>
          <w:rFonts w:ascii="Times New Roman" w:cs="Times New Roman" w:eastAsia="Times New Roman" w:hAnsi="Times New Roman"/>
          <w:sz w:val="20"/>
          <w:szCs w:val="20"/>
          <w:color w:val="auto"/>
        </w:rPr>
      </w:pPr>
    </w:p>
    <w:p>
      <w:pPr>
        <w:ind w:left="1131" w:hanging="366"/>
        <w:spacing w:after="0" w:line="353" w:lineRule="auto"/>
        <w:tabs>
          <w:tab w:leader="none" w:pos="112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to the Depositor the calculation of any Increase in the Purchaser's Funding or any Reduction in the Purchaser's Funding in accordance with the provisions of Article 6.3.</w:t>
      </w:r>
    </w:p>
    <w:p>
      <w:pPr>
        <w:spacing w:after="0" w:line="52" w:lineRule="exact"/>
        <w:rPr>
          <w:sz w:val="20"/>
          <w:szCs w:val="20"/>
          <w:color w:val="auto"/>
        </w:rPr>
      </w:pPr>
    </w:p>
    <w:p>
      <w:pPr>
        <w:jc w:val="both"/>
        <w:ind w:left="771"/>
        <w:spacing w:after="0" w:line="338" w:lineRule="auto"/>
        <w:rPr>
          <w:sz w:val="20"/>
          <w:szCs w:val="20"/>
          <w:color w:val="auto"/>
        </w:rPr>
      </w:pPr>
      <w:r>
        <w:rPr>
          <w:rFonts w:ascii="Times New Roman" w:cs="Times New Roman" w:eastAsia="Times New Roman" w:hAnsi="Times New Roman"/>
          <w:sz w:val="20"/>
          <w:szCs w:val="20"/>
          <w:color w:val="auto"/>
        </w:rPr>
        <w:t>The Parties agree that, in the event that any Party becomes aware of any error in the calculation carried out by the Agent pursuant to the present Article 10.3.1, such Party shall forthwith notify the Agent in order to rectify such an error.</w:t>
      </w:r>
    </w:p>
    <w:p>
      <w:pPr>
        <w:spacing w:after="0" w:line="68" w:lineRule="exact"/>
        <w:rPr>
          <w:sz w:val="20"/>
          <w:szCs w:val="20"/>
          <w:color w:val="auto"/>
        </w:rPr>
      </w:pPr>
    </w:p>
    <w:p>
      <w:pPr>
        <w:jc w:val="both"/>
        <w:ind w:left="771"/>
        <w:spacing w:after="0" w:line="345" w:lineRule="auto"/>
        <w:rPr>
          <w:sz w:val="20"/>
          <w:szCs w:val="20"/>
          <w:color w:val="auto"/>
        </w:rPr>
      </w:pPr>
      <w:r>
        <w:rPr>
          <w:rFonts w:ascii="Times New Roman" w:cs="Times New Roman" w:eastAsia="Times New Roman" w:hAnsi="Times New Roman"/>
          <w:sz w:val="20"/>
          <w:szCs w:val="20"/>
          <w:color w:val="auto"/>
        </w:rPr>
        <w:t>Calculations in respect of the Italian Notes, the Refinanced Eligible Receivables and the Refinanced Sold Receivables (as well as any element related thereto) will be based on information provided to the Purchaser under the Italian Subscription Agreement and to the Agent under the Italian Receivable Purchase Agreement.</w:t>
      </w:r>
    </w:p>
    <w:p>
      <w:pPr>
        <w:spacing w:after="0" w:line="169" w:lineRule="exact"/>
        <w:rPr>
          <w:sz w:val="20"/>
          <w:szCs w:val="20"/>
          <w:color w:val="auto"/>
        </w:rPr>
      </w:pPr>
    </w:p>
    <w:p>
      <w:pPr>
        <w:jc w:val="both"/>
        <w:ind w:left="511" w:hanging="511"/>
        <w:spacing w:after="0" w:line="333" w:lineRule="auto"/>
        <w:tabs>
          <w:tab w:leader="none" w:pos="5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latest on each Calculation Date, the Agent shall, at the request of the Lead Arranger, forthwith transmit a copy of the Assessment Reports, the Lists of Purchasable Receivables or any reporting documents relating to the Sold Receivables and the Refinanced Sold Receivables and provide the Lead Arranger with any information relating to the amount of Adjusted Collections and</w:t>
      </w:r>
    </w:p>
    <w:p>
      <w:pPr>
        <w:sectPr>
          <w:pgSz w:w="11900" w:h="16838" w:orient="portrait"/>
          <w:cols w:equalWidth="0" w:num="1">
            <w:col w:w="10211"/>
          </w:cols>
          <w:pgMar w:left="1349" w:top="1440" w:right="339" w:bottom="1440" w:gutter="0" w:footer="0" w:header="0"/>
        </w:sectPr>
      </w:pPr>
    </w:p>
    <w:bookmarkStart w:id="184" w:name="page185"/>
    <w:bookmarkEnd w:id="184"/>
    <w:p>
      <w:pPr>
        <w:spacing w:after="0" w:line="203"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20"/>
          <w:szCs w:val="20"/>
          <w:color w:val="auto"/>
        </w:rPr>
        <w:t>Refinanced Adjusted Collections received by the Purchaser on such Calculation Date.</w:t>
      </w:r>
    </w:p>
    <w:p>
      <w:pPr>
        <w:spacing w:after="0" w:line="297" w:lineRule="exact"/>
        <w:rPr>
          <w:sz w:val="20"/>
          <w:szCs w:val="20"/>
          <w:color w:val="auto"/>
        </w:rPr>
      </w:pPr>
    </w:p>
    <w:p>
      <w:pPr>
        <w:jc w:val="both"/>
        <w:ind w:left="1022" w:hanging="511"/>
        <w:spacing w:after="0" w:line="338" w:lineRule="auto"/>
        <w:tabs>
          <w:tab w:leader="none" w:pos="1011"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Calculation Date before 5:00 p.m., the Agent undertakes to deliver forthwith, to the Centralising Unit acting in the name and on behalf of the Sellers, a document relating to the Sold Receivables and the Refinanced Sold Receivables, in the form attached hereto as SCHEDULE 10, as modified from time to time by the Parties, and to provide a copy of such document to the Lead Arranger.</w:t>
      </w:r>
    </w:p>
    <w:p>
      <w:pPr>
        <w:spacing w:after="0" w:line="67" w:lineRule="exact"/>
        <w:rPr>
          <w:rFonts w:ascii="Times New Roman" w:cs="Times New Roman" w:eastAsia="Times New Roman" w:hAnsi="Times New Roman"/>
          <w:sz w:val="20"/>
          <w:szCs w:val="20"/>
          <w:color w:val="auto"/>
        </w:rPr>
      </w:pPr>
    </w:p>
    <w:p>
      <w:pPr>
        <w:jc w:val="both"/>
        <w:ind w:left="1022"/>
        <w:spacing w:after="0" w:line="3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each Settlement Date, the Agent undertakes to deliver forthwith to each Issuer, a report document relating to the Sold Receivables and the Refinanced Sold Receivables, in the form attached hereto as SCHEDULE 10, as modified from time to time between the Agent, the Purchaser and the Issuers.</w:t>
      </w:r>
    </w:p>
    <w:p>
      <w:pPr>
        <w:spacing w:after="0" w:line="67" w:lineRule="exact"/>
        <w:rPr>
          <w:rFonts w:ascii="Times New Roman" w:cs="Times New Roman" w:eastAsia="Times New Roman" w:hAnsi="Times New Roman"/>
          <w:sz w:val="20"/>
          <w:szCs w:val="20"/>
          <w:color w:val="auto"/>
        </w:rPr>
      </w:pPr>
    </w:p>
    <w:p>
      <w:pPr>
        <w:ind w:left="1022"/>
        <w:spacing w:after="0" w:line="3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relevant reporting documents, the Parties agree that CREDIT AGRICOLE CORPORATE AND INVESTMENT BANK shall be responsible for ensuring that such reporting requirements are carried out.</w:t>
      </w:r>
    </w:p>
    <w:p>
      <w:pPr>
        <w:spacing w:after="0" w:line="143"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deliver Assessment Report or List of Purchasable Receivables</w:t>
      </w:r>
    </w:p>
    <w:p>
      <w:pPr>
        <w:spacing w:after="0" w:line="192" w:lineRule="exact"/>
        <w:rPr>
          <w:rFonts w:ascii="Times New Roman" w:cs="Times New Roman" w:eastAsia="Times New Roman" w:hAnsi="Times New Roman"/>
          <w:sz w:val="20"/>
          <w:szCs w:val="20"/>
          <w:b w:val="1"/>
          <w:bCs w:val="1"/>
          <w:color w:val="auto"/>
        </w:rPr>
      </w:pPr>
    </w:p>
    <w:p>
      <w:pPr>
        <w:jc w:val="both"/>
        <w:ind w:left="1022" w:hanging="511"/>
        <w:spacing w:after="0" w:line="334" w:lineRule="auto"/>
        <w:tabs>
          <w:tab w:leader="none" w:pos="1011"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Centralising Unit fails to provide the Agent with a copy of the Assessment Report and/or a List of Purchasable Receivables within one (1) Business Day after an Information Date, or provides the Agent with a copy of the Assessment Report and/or a List of Purchasable Receivables, that is incomplete in relation to one or several Sellers or the Italian Seller (with respect to any Seller or to the Italian Seller, a "</w:t>
      </w:r>
      <w:r>
        <w:rPr>
          <w:rFonts w:ascii="Times New Roman" w:cs="Times New Roman" w:eastAsia="Times New Roman" w:hAnsi="Times New Roman"/>
          <w:sz w:val="20"/>
          <w:szCs w:val="20"/>
          <w:b w:val="1"/>
          <w:bCs w:val="1"/>
          <w:color w:val="auto"/>
        </w:rPr>
        <w:t>Delivery Failure</w:t>
      </w:r>
      <w:r>
        <w:rPr>
          <w:rFonts w:ascii="Times New Roman" w:cs="Times New Roman" w:eastAsia="Times New Roman" w:hAnsi="Times New Roman"/>
          <w:sz w:val="20"/>
          <w:szCs w:val="20"/>
          <w:color w:val="auto"/>
        </w:rPr>
        <w:t>"), the Agent shall carry out the identification and the calculations referred to in Articles 10.3.1 and 10.3.2 as follows:</w:t>
      </w:r>
    </w:p>
    <w:p>
      <w:pPr>
        <w:spacing w:after="0" w:line="46" w:lineRule="exact"/>
        <w:rPr>
          <w:rFonts w:ascii="Times New Roman" w:cs="Times New Roman" w:eastAsia="Times New Roman" w:hAnsi="Times New Roman"/>
          <w:sz w:val="20"/>
          <w:szCs w:val="20"/>
          <w:color w:val="auto"/>
        </w:rPr>
      </w:pPr>
    </w:p>
    <w:p>
      <w:pPr>
        <w:ind w:left="762" w:hanging="634"/>
        <w:spacing w:after="0" w:line="283" w:lineRule="auto"/>
        <w:tabs>
          <w:tab w:leader="none" w:pos="391"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Sellers or the Italian Seller for which there is no Delivery Failure, on the basis of the Assessment Report and the List of Purchasable Receivables provided to the Agent on such Information Date; and</w:t>
      </w:r>
    </w:p>
    <w:p>
      <w:pPr>
        <w:spacing w:after="0" w:line="65" w:lineRule="exact"/>
        <w:rPr>
          <w:rFonts w:ascii="Times New Roman" w:cs="Times New Roman" w:eastAsia="Times New Roman" w:hAnsi="Times New Roman"/>
          <w:sz w:val="20"/>
          <w:szCs w:val="20"/>
          <w:color w:val="auto"/>
        </w:rPr>
      </w:pPr>
    </w:p>
    <w:p>
      <w:pPr>
        <w:ind w:left="762" w:hanging="634"/>
        <w:spacing w:after="0" w:line="297" w:lineRule="auto"/>
        <w:tabs>
          <w:tab w:leader="none" w:pos="40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Sellers or the Italian Seller for which there is a Delivery Failure, on the basis of the Assessment Report and the List of Purchasable Receivables provided to the Agent on the preceding Information Date;</w:t>
      </w:r>
    </w:p>
    <w:p>
      <w:pPr>
        <w:spacing w:after="0" w:line="65" w:lineRule="exact"/>
        <w:rPr>
          <w:sz w:val="20"/>
          <w:szCs w:val="20"/>
          <w:color w:val="auto"/>
        </w:rPr>
      </w:pPr>
    </w:p>
    <w:p>
      <w:pPr>
        <w:jc w:val="both"/>
        <w:ind w:left="782"/>
        <w:spacing w:after="0" w:line="338" w:lineRule="auto"/>
        <w:rPr>
          <w:sz w:val="20"/>
          <w:szCs w:val="20"/>
          <w:color w:val="auto"/>
        </w:rPr>
      </w:pPr>
      <w:r>
        <w:rPr>
          <w:rFonts w:ascii="Times New Roman" w:cs="Times New Roman" w:eastAsia="Times New Roman" w:hAnsi="Times New Roman"/>
          <w:sz w:val="20"/>
          <w:szCs w:val="20"/>
          <w:color w:val="auto"/>
        </w:rPr>
        <w:t>provided that the Centralising Unit has sent to the Agent a single consolidated Assessment Report and a single List of Purchasable Receivables. If the Agent has not received such single consolidated Assessment Report and such List of Purchasable Receivables, it shall make its calculations on the basis of the single consolidated Assessment Report and single List of Purchasable Receivables received on the previous Information Date.</w:t>
      </w:r>
    </w:p>
    <w:p>
      <w:pPr>
        <w:sectPr>
          <w:pgSz w:w="11900" w:h="16838" w:orient="portrait"/>
          <w:cols w:equalWidth="0" w:num="1">
            <w:col w:w="10722"/>
          </w:cols>
          <w:pgMar w:left="838" w:top="1440" w:right="339" w:bottom="1440" w:gutter="0" w:footer="0" w:header="0"/>
        </w:sectPr>
      </w:pPr>
    </w:p>
    <w:bookmarkStart w:id="185" w:name="page186"/>
    <w:bookmarkEnd w:id="185"/>
    <w:p>
      <w:pPr>
        <w:spacing w:after="0" w:line="203" w:lineRule="exact"/>
        <w:rPr>
          <w:sz w:val="20"/>
          <w:szCs w:val="20"/>
          <w:color w:val="auto"/>
        </w:rPr>
      </w:pPr>
    </w:p>
    <w:p>
      <w:pPr>
        <w:ind w:left="1022" w:hanging="511"/>
        <w:spacing w:after="0" w:line="353" w:lineRule="auto"/>
        <w:tabs>
          <w:tab w:leader="none" w:pos="1011"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failure to comply with the provisions of Article 10.2.1(vii), the Centralising Unit shall comply with such provisions with respect to the documents required to be delivered on or before the next Information Date.</w:t>
      </w:r>
    </w:p>
    <w:p>
      <w:pPr>
        <w:spacing w:after="0" w:line="160" w:lineRule="exact"/>
        <w:rPr>
          <w:rFonts w:ascii="Times New Roman" w:cs="Times New Roman" w:eastAsia="Times New Roman" w:hAnsi="Times New Roman"/>
          <w:sz w:val="20"/>
          <w:szCs w:val="20"/>
          <w:color w:val="auto"/>
        </w:rPr>
      </w:pPr>
    </w:p>
    <w:p>
      <w:pPr>
        <w:jc w:val="both"/>
        <w:ind w:left="1022" w:hanging="511"/>
        <w:spacing w:after="0" w:line="338" w:lineRule="auto"/>
        <w:tabs>
          <w:tab w:leader="none" w:pos="1011"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shall provide, on each Information Date, (i) the list of Sold Receivables which are Doubtful Receivables and to be retransferred to the relevant Seller in accordance with article 4.2 of the relevant Receivables Purchase Agreement and (ii) the list of Refinanced Sold Receivables which are Refinanced Doubtful Receivables and to be retransferred to the Italian Seller in accordance with article 10.2 of the Italian Receivables Purchase Agreement.</w:t>
      </w:r>
    </w:p>
    <w:p>
      <w:pPr>
        <w:spacing w:after="0" w:line="171"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w:t>
      </w:r>
    </w:p>
    <w:p>
      <w:pPr>
        <w:spacing w:after="0" w:line="19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Other than as contemplated by the Transaction Documents, the Purchaser undertakes:</w:t>
      </w:r>
    </w:p>
    <w:p>
      <w:pPr>
        <w:spacing w:after="0" w:line="297" w:lineRule="exact"/>
        <w:rPr>
          <w:sz w:val="20"/>
          <w:szCs w:val="20"/>
          <w:color w:val="auto"/>
        </w:rPr>
      </w:pPr>
    </w:p>
    <w:p>
      <w:pPr>
        <w:ind w:left="1522" w:hanging="501"/>
        <w:spacing w:after="0"/>
        <w:tabs>
          <w:tab w:leader="none" w:pos="152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w:t>
      </w:r>
    </w:p>
    <w:p>
      <w:pPr>
        <w:spacing w:after="0" w:line="310"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any Sold Receivables; or</w:t>
      </w:r>
    </w:p>
    <w:p>
      <w:pPr>
        <w:spacing w:after="0" w:line="296"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or permit to exist any Liens over any Sold Receivables (and related rights), with the exception of those Liens required by applicable laws and regulations; and</w:t>
      </w:r>
    </w:p>
    <w:p>
      <w:pPr>
        <w:spacing w:after="0" w:line="160" w:lineRule="exact"/>
        <w:rPr>
          <w:rFonts w:ascii="Times New Roman" w:cs="Times New Roman" w:eastAsia="Times New Roman" w:hAnsi="Times New Roman"/>
          <w:sz w:val="20"/>
          <w:szCs w:val="20"/>
          <w:color w:val="auto"/>
        </w:rPr>
      </w:pPr>
    </w:p>
    <w:p>
      <w:pPr>
        <w:ind w:left="1522" w:right="20" w:hanging="501"/>
        <w:spacing w:after="0" w:line="353" w:lineRule="auto"/>
        <w:tabs>
          <w:tab w:leader="none" w:pos="151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subscribe for, and fund, the Italian Notes in accordance with the terms and conditions of the Italian Subscription Agreement.</w:t>
      </w:r>
    </w:p>
    <w:p>
      <w:pPr>
        <w:spacing w:after="0" w:line="372"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CHAPTER VI</w:t>
      </w:r>
    </w:p>
    <w:p>
      <w:pPr>
        <w:spacing w:after="0" w:line="94"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EARLY AMORTISATION</w:t>
      </w:r>
    </w:p>
    <w:p>
      <w:pPr>
        <w:spacing w:after="0" w:line="351" w:lineRule="exact"/>
        <w:rPr>
          <w:sz w:val="20"/>
          <w:szCs w:val="20"/>
          <w:color w:val="auto"/>
        </w:rPr>
      </w:pPr>
    </w:p>
    <w:p>
      <w:pPr>
        <w:ind w:left="502" w:hanging="502"/>
        <w:spacing w:after="0"/>
        <w:tabs>
          <w:tab w:leader="none" w:pos="502"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AMORTISATION</w:t>
      </w:r>
    </w:p>
    <w:p>
      <w:pPr>
        <w:spacing w:after="0" w:line="121" w:lineRule="exact"/>
        <w:rPr>
          <w:sz w:val="20"/>
          <w:szCs w:val="20"/>
          <w:color w:val="auto"/>
        </w:rPr>
      </w:pPr>
    </w:p>
    <w:p>
      <w:pPr>
        <w:ind w:left="502" w:hanging="502"/>
        <w:spacing w:after="0"/>
        <w:tabs>
          <w:tab w:leader="none" w:pos="502"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Amortisation Events in relation to the Securitisation Transaction:</w:t>
      </w:r>
    </w:p>
    <w:p>
      <w:pPr>
        <w:spacing w:after="0" w:line="206" w:lineRule="exact"/>
        <w:rPr>
          <w:sz w:val="20"/>
          <w:szCs w:val="20"/>
          <w:color w:val="auto"/>
        </w:rPr>
      </w:pPr>
    </w:p>
    <w:p>
      <w:pPr>
        <w:ind w:left="262" w:right="20"/>
        <w:spacing w:after="0" w:line="353" w:lineRule="auto"/>
        <w:rPr>
          <w:sz w:val="20"/>
          <w:szCs w:val="20"/>
          <w:color w:val="auto"/>
        </w:rPr>
      </w:pPr>
      <w:r>
        <w:rPr>
          <w:rFonts w:ascii="Times New Roman" w:cs="Times New Roman" w:eastAsia="Times New Roman" w:hAnsi="Times New Roman"/>
          <w:sz w:val="20"/>
          <w:szCs w:val="20"/>
          <w:color w:val="auto"/>
        </w:rPr>
        <w:t>The fact that the Purchaser's Funding falls below the Minimum Amount of the Program shall constitute an Early Amortisation Event with respect to this Agreement and the Receivables Purchase Agreements.</w:t>
      </w:r>
    </w:p>
    <w:p>
      <w:pPr>
        <w:spacing w:after="0" w:line="156" w:lineRule="exact"/>
        <w:rPr>
          <w:sz w:val="20"/>
          <w:szCs w:val="20"/>
          <w:color w:val="auto"/>
        </w:rPr>
      </w:pPr>
    </w:p>
    <w:p>
      <w:pPr>
        <w:ind w:left="502" w:hanging="502"/>
        <w:spacing w:after="0"/>
        <w:tabs>
          <w:tab w:leader="none" w:pos="502"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Amortisation Events in relation to the Purchaser:</w:t>
      </w:r>
    </w:p>
    <w:p>
      <w:pPr>
        <w:spacing w:after="0" w:line="192" w:lineRule="exact"/>
        <w:rPr>
          <w:rFonts w:ascii="Times New Roman" w:cs="Times New Roman" w:eastAsia="Times New Roman" w:hAnsi="Times New Roman"/>
          <w:sz w:val="20"/>
          <w:szCs w:val="20"/>
          <w:b w:val="1"/>
          <w:bCs w:val="1"/>
          <w:color w:val="auto"/>
        </w:rPr>
      </w:pPr>
    </w:p>
    <w:p>
      <w:pPr>
        <w:jc w:val="both"/>
        <w:ind w:left="1642" w:hanging="366"/>
        <w:spacing w:after="0" w:line="338" w:lineRule="auto"/>
        <w:tabs>
          <w:tab w:leader="none" w:pos="1636"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occurs, which is not an event that is due to CREDIT AGRICOLE CORPORATE AND INVESTMENT BANK or that could have been prevented by CREDIT AGRICOLE CORPORATE AND INVESTMENT BANK, and which, in the Rating Agencies' opinion, jeopardises the "bankruptcy remote character" of the Purchaser, the Purchaser may or, if all the Liquidity Banks and the Fund Subscribers</w:t>
      </w:r>
    </w:p>
    <w:p>
      <w:pPr>
        <w:sectPr>
          <w:pgSz w:w="11900" w:h="16838" w:orient="portrait"/>
          <w:cols w:equalWidth="0" w:num="1">
            <w:col w:w="10722"/>
          </w:cols>
          <w:pgMar w:left="838" w:top="1440" w:right="339" w:bottom="1440" w:gutter="0" w:footer="0" w:header="0"/>
        </w:sectPr>
      </w:pPr>
    </w:p>
    <w:bookmarkStart w:id="186" w:name="page187"/>
    <w:bookmarkEnd w:id="186"/>
    <w:p>
      <w:pPr>
        <w:spacing w:after="0" w:line="95" w:lineRule="exact"/>
        <w:rPr>
          <w:sz w:val="20"/>
          <w:szCs w:val="20"/>
          <w:color w:val="auto"/>
        </w:rPr>
      </w:pPr>
    </w:p>
    <w:p>
      <w:pPr>
        <w:jc w:val="both"/>
        <w:ind w:left="1642"/>
        <w:spacing w:after="0" w:line="332" w:lineRule="auto"/>
        <w:rPr>
          <w:sz w:val="20"/>
          <w:szCs w:val="20"/>
          <w:color w:val="auto"/>
        </w:rPr>
      </w:pPr>
      <w:r>
        <w:rPr>
          <w:rFonts w:ascii="Times New Roman" w:cs="Times New Roman" w:eastAsia="Times New Roman" w:hAnsi="Times New Roman"/>
          <w:sz w:val="20"/>
          <w:szCs w:val="20"/>
          <w:color w:val="auto"/>
        </w:rPr>
        <w:t>(which shall be consulted by the Purchaser upon the occurrence of such an Early Amortisation Event) instruct the Purchaser to do so, the Purchaser shall terminate its Commitment to purchase Ongoing Purchasable Receivables and Remaining Purchasable Receivables from the Sellers subject to notice made in writing to the Centralising Unit. In such an event, the Commitment Expiry Date shall be deemed to have occurred on the thirtieth (30th) calendar day following receipt by the Centralising Unit of the Purchaser's Termination Notice. Such Purchaser's Termination Notice shall state the reasons for the Rating Agencies' opinion.</w:t>
      </w:r>
    </w:p>
    <w:p>
      <w:pPr>
        <w:spacing w:after="0" w:line="76" w:lineRule="exact"/>
        <w:rPr>
          <w:sz w:val="20"/>
          <w:szCs w:val="20"/>
          <w:color w:val="auto"/>
        </w:rPr>
      </w:pPr>
    </w:p>
    <w:p>
      <w:pPr>
        <w:jc w:val="both"/>
        <w:ind w:left="1642" w:right="20" w:hanging="366"/>
        <w:spacing w:after="0" w:line="338" w:lineRule="auto"/>
        <w:tabs>
          <w:tab w:leader="none" w:pos="163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may, at any time and for any reason, terminate its Commitment, subject to prior written notice to the Centralising Unit. In such an event, the Commitment Expiry Date shall be deemed to have occurred on the Funded Settlement Date of October falling no earlier than three-hundred and sixty-five (365) calendar days following receipt by the Centralising Unit of the Purchaser's Termination Notice.</w:t>
      </w:r>
    </w:p>
    <w:p>
      <w:pPr>
        <w:spacing w:after="0" w:line="171"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Amortisation Events in relation to any Seller or the Centralising Unit:</w:t>
      </w:r>
    </w:p>
    <w:p>
      <w:pPr>
        <w:spacing w:after="0" w:line="193" w:lineRule="exact"/>
        <w:rPr>
          <w:sz w:val="20"/>
          <w:szCs w:val="20"/>
          <w:color w:val="auto"/>
        </w:rPr>
      </w:pPr>
    </w:p>
    <w:p>
      <w:pPr>
        <w:ind w:left="622"/>
        <w:spacing w:after="0" w:line="353" w:lineRule="auto"/>
        <w:rPr>
          <w:sz w:val="20"/>
          <w:szCs w:val="20"/>
          <w:color w:val="auto"/>
        </w:rPr>
      </w:pPr>
      <w:r>
        <w:rPr>
          <w:rFonts w:ascii="Times New Roman" w:cs="Times New Roman" w:eastAsia="Times New Roman" w:hAnsi="Times New Roman"/>
          <w:sz w:val="20"/>
          <w:szCs w:val="20"/>
          <w:color w:val="auto"/>
        </w:rPr>
        <w:t>Each of the following events shall constitute an Early Amortisation Event with respect to this Agreement and the Receivables Purchase Agreements:</w:t>
      </w:r>
    </w:p>
    <w:p>
      <w:pPr>
        <w:spacing w:after="0" w:line="52" w:lineRule="exact"/>
        <w:rPr>
          <w:sz w:val="20"/>
          <w:szCs w:val="20"/>
          <w:color w:val="auto"/>
        </w:rPr>
      </w:pPr>
    </w:p>
    <w:p>
      <w:pPr>
        <w:ind w:left="1642" w:hanging="366"/>
        <w:spacing w:after="0" w:line="353" w:lineRule="auto"/>
        <w:tabs>
          <w:tab w:leader="none" w:pos="163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the Centralising Unit, GOODYEAR EUROPE BV, GOODYEAR or any Material Subsidiary has entered into Insolvency Proceedings;</w:t>
      </w:r>
    </w:p>
    <w:p>
      <w:pPr>
        <w:spacing w:after="0" w:line="65"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Seller, the Centralising Unit or GOODYEAR EUROPE BV to make a payment (including any deposit or transfer of Adjusted Collections to the Purchaser) when due under the Transaction Documents:</w:t>
      </w:r>
    </w:p>
    <w:p>
      <w:pPr>
        <w:spacing w:after="0" w:line="25" w:lineRule="exact"/>
        <w:rPr>
          <w:rFonts w:ascii="Times New Roman" w:cs="Times New Roman" w:eastAsia="Times New Roman" w:hAnsi="Times New Roman"/>
          <w:sz w:val="20"/>
          <w:szCs w:val="20"/>
          <w:color w:val="auto"/>
        </w:rPr>
      </w:pPr>
    </w:p>
    <w:p>
      <w:pPr>
        <w:ind w:left="1662" w:hanging="641"/>
        <w:spacing w:after="0" w:line="275" w:lineRule="auto"/>
        <w:tabs>
          <w:tab w:leader="none" w:pos="153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two (2) Business Days, provided that such failure is due to a technical reason which affects the means of payment in the banking system used by such Seller or by the Centralising Unit and is not otherwise covered by clause (y) below;</w:t>
      </w:r>
    </w:p>
    <w:p>
      <w:pPr>
        <w:spacing w:after="0" w:line="73" w:lineRule="exact"/>
        <w:rPr>
          <w:rFonts w:ascii="Times New Roman" w:cs="Times New Roman" w:eastAsia="Times New Roman" w:hAnsi="Times New Roman"/>
          <w:sz w:val="20"/>
          <w:szCs w:val="20"/>
          <w:color w:val="auto"/>
        </w:rPr>
      </w:pPr>
    </w:p>
    <w:p>
      <w:pPr>
        <w:ind w:left="1662" w:hanging="641"/>
        <w:spacing w:after="0" w:line="297" w:lineRule="auto"/>
        <w:tabs>
          <w:tab w:leader="none" w:pos="153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four (4) Business Days, where such failure arises in relation to the payment of the Management Fee or the Stand-By Fee;</w:t>
      </w:r>
    </w:p>
    <w:p>
      <w:pPr>
        <w:spacing w:after="0" w:line="65" w:lineRule="exact"/>
        <w:rPr>
          <w:rFonts w:ascii="Times New Roman" w:cs="Times New Roman" w:eastAsia="Times New Roman" w:hAnsi="Times New Roman"/>
          <w:sz w:val="20"/>
          <w:szCs w:val="20"/>
          <w:color w:val="auto"/>
        </w:rPr>
      </w:pPr>
    </w:p>
    <w:p>
      <w:pPr>
        <w:ind w:left="1662" w:hanging="641"/>
        <w:spacing w:after="0" w:line="338" w:lineRule="auto"/>
        <w:tabs>
          <w:tab w:leader="none" w:pos="155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 scheduled payment under the Transaction Documents and which is not remedied within two (2) Business Days after written notice received from the Purchaser or, if earlier, after a Responsible Officer becoming aware thereof;</w:t>
      </w:r>
    </w:p>
    <w:p>
      <w:pPr>
        <w:spacing w:after="0" w:line="81" w:lineRule="exact"/>
        <w:rPr>
          <w:rFonts w:ascii="Times New Roman" w:cs="Times New Roman" w:eastAsia="Times New Roman" w:hAnsi="Times New Roman"/>
          <w:sz w:val="20"/>
          <w:szCs w:val="20"/>
          <w:color w:val="auto"/>
        </w:rPr>
      </w:pPr>
    </w:p>
    <w:p>
      <w:pPr>
        <w:ind w:left="1662" w:right="20" w:hanging="641"/>
        <w:spacing w:after="0" w:line="353" w:lineRule="auto"/>
        <w:tabs>
          <w:tab w:leader="none" w:pos="1483"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scheduled payment (including a payment due pursuant to Article 5.3.2) and is not otherwise covered by clause (w) or (x) above;</w:t>
      </w:r>
    </w:p>
    <w:p>
      <w:pPr>
        <w:sectPr>
          <w:pgSz w:w="11900" w:h="16838" w:orient="portrait"/>
          <w:cols w:equalWidth="0" w:num="1">
            <w:col w:w="10722"/>
          </w:cols>
          <w:pgMar w:left="838" w:top="1440" w:right="339" w:bottom="1440" w:gutter="0" w:footer="0" w:header="0"/>
        </w:sectPr>
      </w:pPr>
    </w:p>
    <w:bookmarkStart w:id="187" w:name="page188"/>
    <w:bookmarkEnd w:id="187"/>
    <w:p>
      <w:pPr>
        <w:spacing w:after="0" w:line="95" w:lineRule="exact"/>
        <w:rPr>
          <w:sz w:val="20"/>
          <w:szCs w:val="20"/>
          <w:color w:val="auto"/>
        </w:rPr>
      </w:pPr>
    </w:p>
    <w:p>
      <w:pPr>
        <w:jc w:val="both"/>
        <w:ind w:left="1040" w:hanging="366"/>
        <w:spacing w:after="0" w:line="334" w:lineRule="auto"/>
        <w:tabs>
          <w:tab w:leader="none" w:pos="103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restructuring of (a) a Seller leading to GOODYEAR ceasing to hold directly or indirectly more than 50% in the share capital and voting rights of such a Seller, or (b) GOODYEAR EUROPE BV leading to GOODYEAR ceasing to hold directly or indirectly more than 50% in the share capital and voting rights of GOODYEAR EUROPE BV, or (c) the Centralising Unit leading to GOODYEAR ceasing to hold, directly or indirectly, 100% in the share capital and voting rights of the Centralising Unit;</w:t>
      </w:r>
    </w:p>
    <w:p>
      <w:pPr>
        <w:spacing w:after="0" w:line="73" w:lineRule="exact"/>
        <w:rPr>
          <w:rFonts w:ascii="Times New Roman" w:cs="Times New Roman" w:eastAsia="Times New Roman" w:hAnsi="Times New Roman"/>
          <w:sz w:val="20"/>
          <w:szCs w:val="20"/>
          <w:color w:val="auto"/>
        </w:rPr>
      </w:pPr>
    </w:p>
    <w:p>
      <w:pPr>
        <w:jc w:val="both"/>
        <w:ind w:left="1040" w:hanging="366"/>
        <w:spacing w:after="0" w:line="324" w:lineRule="auto"/>
        <w:tabs>
          <w:tab w:leader="none" w:pos="103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by any Seller, the Centralising Unit or GOODYEAR EUROPE BV (including any material default in the collection obligations set forth in Articles 19, 22, 23 and 24) other than the defaults referred to in paragraph</w:t>
      </w:r>
    </w:p>
    <w:p>
      <w:pPr>
        <w:ind w:left="1040" w:hanging="9"/>
        <w:spacing w:after="0" w:line="353" w:lineRule="auto"/>
        <w:tabs>
          <w:tab w:leader="none" w:pos="1432" w:val="left"/>
        </w:tabs>
        <w:numPr>
          <w:ilvl w:val="2"/>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or paragraphs (vi) and (vii) below, in relation to any of their obligations under the Transaction Documents:</w:t>
      </w:r>
    </w:p>
    <w:p>
      <w:pPr>
        <w:spacing w:after="0" w:line="65" w:lineRule="exact"/>
        <w:rPr>
          <w:rFonts w:ascii="Times New Roman" w:cs="Times New Roman" w:eastAsia="Times New Roman" w:hAnsi="Times New Roman"/>
          <w:sz w:val="20"/>
          <w:szCs w:val="20"/>
          <w:color w:val="auto"/>
        </w:rPr>
      </w:pPr>
    </w:p>
    <w:p>
      <w:pPr>
        <w:ind w:left="1180" w:hanging="643"/>
        <w:spacing w:after="0" w:line="338" w:lineRule="auto"/>
        <w:tabs>
          <w:tab w:leader="none" w:pos="7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one (1) Business Day after written notice received from the Purchaser or, if earlier, after a Responsible Officer becoming aware thereof, if such default is in relation to their respective obligations under Article 10.2.1(vii), and the Centralising Unit does not comply with Article 10.4.2;</w:t>
      </w:r>
    </w:p>
    <w:p>
      <w:pPr>
        <w:spacing w:after="0" w:line="40" w:lineRule="exact"/>
        <w:rPr>
          <w:rFonts w:ascii="Times New Roman" w:cs="Times New Roman" w:eastAsia="Times New Roman" w:hAnsi="Times New Roman"/>
          <w:sz w:val="20"/>
          <w:szCs w:val="20"/>
          <w:color w:val="auto"/>
        </w:rPr>
      </w:pPr>
    </w:p>
    <w:p>
      <w:pPr>
        <w:ind w:left="1180" w:hanging="643"/>
        <w:spacing w:after="0" w:line="275" w:lineRule="auto"/>
        <w:tabs>
          <w:tab w:leader="none" w:pos="7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fifteen (15) Business Days after written notice received from the Purchaser or, if earlier, after a Responsible Officer becoming aware, if such default is in relation to their respective obligations under Articles 10.1.1(iv), 10.1.1(x), 10.1.1(xiii), 10.1.1(xiv), 10.2.1(iv) and 10.2.1(xii);</w:t>
      </w:r>
    </w:p>
    <w:p>
      <w:pPr>
        <w:spacing w:after="0" w:line="73" w:lineRule="exact"/>
        <w:rPr>
          <w:rFonts w:ascii="Times New Roman" w:cs="Times New Roman" w:eastAsia="Times New Roman" w:hAnsi="Times New Roman"/>
          <w:sz w:val="20"/>
          <w:szCs w:val="20"/>
          <w:color w:val="auto"/>
        </w:rPr>
      </w:pPr>
    </w:p>
    <w:p>
      <w:pPr>
        <w:ind w:left="1180" w:hanging="643"/>
        <w:spacing w:after="0" w:line="271" w:lineRule="auto"/>
        <w:tabs>
          <w:tab w:leader="none" w:pos="83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default of the obligations arising under 10.1.2 or 10.2.2, which (a) if capable of remedy, is not remedied within fifteen (15) Business Days after written notice received from the Purchaser or, if earlier, after a Responsible Officer becoming aware, or (b) if not capable of remedy, has not been waived by the Purchaser within five (5) Business Days after written notice received from the Purchaser or, if earlier, after a Responsible Officer becoming aware;</w:t>
      </w:r>
    </w:p>
    <w:p>
      <w:pPr>
        <w:spacing w:after="0" w:line="65" w:lineRule="exact"/>
        <w:rPr>
          <w:rFonts w:ascii="Times New Roman" w:cs="Times New Roman" w:eastAsia="Times New Roman" w:hAnsi="Times New Roman"/>
          <w:sz w:val="20"/>
          <w:szCs w:val="20"/>
          <w:color w:val="auto"/>
        </w:rPr>
      </w:pPr>
    </w:p>
    <w:p>
      <w:pPr>
        <w:ind w:left="1180" w:right="20" w:hanging="643"/>
        <w:spacing w:after="0" w:line="297" w:lineRule="auto"/>
        <w:tabs>
          <w:tab w:leader="none" w:pos="803"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thirty (30) Business Days after written notice received from the Purchaser, or, if earlier, after a Responsible Officer becoming aware;</w:t>
      </w:r>
    </w:p>
    <w:p>
      <w:pPr>
        <w:spacing w:after="0" w:line="61"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left="1040" w:hanging="366"/>
        <w:spacing w:after="0" w:line="331" w:lineRule="auto"/>
        <w:tabs>
          <w:tab w:leader="none" w:pos="103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Seller or the Centralising Unit with respect to such Seller, the Centralising Unit to deliver a Solvency Certificate, complying with the relevant form attached as SCHEDULE 5 (adapted mutatis mutandis in the case of a New Seller), as provided for under Article 10.1.1(xii) and 10.2.1(vi), which is not remedied within ten (10) Business Days after written notice received from the Purchaser or, if earlier, after a Responsible Officer becoming aware;</w:t>
      </w:r>
    </w:p>
    <w:p>
      <w:pPr>
        <w:sectPr>
          <w:pgSz w:w="11900" w:h="16838" w:orient="portrait"/>
          <w:cols w:equalWidth="0" w:num="1">
            <w:col w:w="10120"/>
          </w:cols>
          <w:pgMar w:left="1440" w:top="1440" w:right="339" w:bottom="1440" w:gutter="0" w:footer="0" w:header="0"/>
        </w:sectPr>
      </w:pPr>
    </w:p>
    <w:bookmarkStart w:id="188" w:name="page189"/>
    <w:bookmarkEnd w:id="188"/>
    <w:p>
      <w:pPr>
        <w:spacing w:after="0" w:line="95" w:lineRule="exact"/>
        <w:rPr>
          <w:sz w:val="20"/>
          <w:szCs w:val="20"/>
          <w:color w:val="auto"/>
        </w:rPr>
      </w:pPr>
    </w:p>
    <w:p>
      <w:pPr>
        <w:jc w:val="both"/>
        <w:ind w:left="1040" w:hanging="366"/>
        <w:spacing w:after="0" w:line="352" w:lineRule="auto"/>
        <w:tabs>
          <w:tab w:leader="none" w:pos="103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and warranty made by any Seller, the Centralising Unit or GOODYEAR EUROPE BV under the Transaction Documents (other than under Article 17), or any information contained in any document delivered by any Seller or the Centralising Unit or GOODYEAR EUROPE BV to the Purchaser pursuant thereto, is found to have been inaccurate on the date on which it was made or delivered, if such inaccuracy (a) is not remedied or waived accordingly within thirty (30) days after written notice received from the Purchaser, or, if earlier, after a Responsible Officer becoming aware and (b) is reasonably likely to result in a Material Adverse Effect;</w:t>
      </w:r>
    </w:p>
    <w:p>
      <w:pPr>
        <w:spacing w:after="0" w:line="61" w:lineRule="exact"/>
        <w:rPr>
          <w:rFonts w:ascii="Times New Roman" w:cs="Times New Roman" w:eastAsia="Times New Roman" w:hAnsi="Times New Roman"/>
          <w:sz w:val="19"/>
          <w:szCs w:val="19"/>
          <w:color w:val="auto"/>
        </w:rPr>
      </w:pPr>
    </w:p>
    <w:p>
      <w:pPr>
        <w:jc w:val="both"/>
        <w:ind w:left="1040" w:hanging="366"/>
        <w:spacing w:after="0" w:line="334" w:lineRule="auto"/>
        <w:tabs>
          <w:tab w:leader="none" w:pos="103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Indebtedness of GOODYEAR EUROPE BV, or any of its subsidiaries, or GOODYEAR (a) has not been paid or repaid when due (after giving effect to any applicable grace period) or (b) has become due and payable before its stated date of payment as a result of a declared default and after the expiry of any applicable grace period provided that, in each case, such default has not been waived pursuant to the terms of the relevant agreement;</w:t>
      </w:r>
    </w:p>
    <w:p>
      <w:pPr>
        <w:spacing w:after="0" w:line="69" w:lineRule="exact"/>
        <w:rPr>
          <w:rFonts w:ascii="Times New Roman" w:cs="Times New Roman" w:eastAsia="Times New Roman" w:hAnsi="Times New Roman"/>
          <w:sz w:val="20"/>
          <w:szCs w:val="20"/>
          <w:color w:val="auto"/>
        </w:rPr>
      </w:pPr>
    </w:p>
    <w:p>
      <w:pPr>
        <w:jc w:val="both"/>
        <w:ind w:left="1040" w:hanging="366"/>
        <w:spacing w:after="0" w:line="333" w:lineRule="auto"/>
        <w:tabs>
          <w:tab w:leader="none" w:pos="103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 attachment, freezing or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order against all or any material part of the property, assets or revenues of the Centralising Unit, any of the Sellers or GOODYEAR EUROPE BV or in the event that the Centralising Unit, any of the Sellers or GOODYEAR EUROPE BV has become subject at any time to any court order or other court process having similar effect and such attachment,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court order or court process remains in effect and is not discharged during a period of forty-five (45) calendar days following the date on which it was served;</w:t>
      </w:r>
    </w:p>
    <w:p>
      <w:pPr>
        <w:spacing w:after="0" w:line="73" w:lineRule="exact"/>
        <w:rPr>
          <w:rFonts w:ascii="Times New Roman" w:cs="Times New Roman" w:eastAsia="Times New Roman" w:hAnsi="Times New Roman"/>
          <w:sz w:val="20"/>
          <w:szCs w:val="20"/>
          <w:color w:val="auto"/>
        </w:rPr>
      </w:pPr>
    </w:p>
    <w:p>
      <w:pPr>
        <w:ind w:left="1040" w:right="20" w:hanging="366"/>
        <w:spacing w:after="0" w:line="353" w:lineRule="auto"/>
        <w:tabs>
          <w:tab w:leader="none" w:pos="103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any kind in any Seller's or Centralising Unit's articles of association, business or assets, which would be reasonably likely to result in a Material Adverse Effect;</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1"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of the Transaction Documents or a Transfer Deed issued pursuant to any Receivables Purchase Agreement or any Payment hereunder or thereunder is successfully challenged by any enforcement order issued or judgment obtained as a result of proceedings before any court (including arbitration proceedings);</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on three (3) successive Funded Settlement Dates the Overcollateralisation Rate Trigger is higher than the Maximum Overcollateralisation Rate and such event is not waived within thirty (30) days after notice received from the Purchaser or, if earlier, after a Responsible Officer becoming aware of such event.</w:t>
      </w:r>
    </w:p>
    <w:p>
      <w:pPr>
        <w:sectPr>
          <w:pgSz w:w="11900" w:h="16838" w:orient="portrait"/>
          <w:cols w:equalWidth="0" w:num="1">
            <w:col w:w="10120"/>
          </w:cols>
          <w:pgMar w:left="1440" w:top="1440" w:right="339" w:bottom="1440" w:gutter="0" w:footer="0" w:header="0"/>
        </w:sectPr>
      </w:pPr>
    </w:p>
    <w:bookmarkStart w:id="189" w:name="page190"/>
    <w:bookmarkEnd w:id="189"/>
    <w:p>
      <w:pPr>
        <w:spacing w:after="0" w:line="91" w:lineRule="exact"/>
        <w:rPr>
          <w:sz w:val="20"/>
          <w:szCs w:val="20"/>
          <w:color w:val="auto"/>
        </w:rPr>
      </w:pPr>
    </w:p>
    <w:p>
      <w:pPr>
        <w:jc w:val="both"/>
        <w:ind w:left="1000"/>
        <w:spacing w:after="0" w:line="340" w:lineRule="auto"/>
        <w:rPr>
          <w:sz w:val="20"/>
          <w:szCs w:val="20"/>
          <w:color w:val="auto"/>
        </w:rPr>
      </w:pPr>
      <w:r>
        <w:rPr>
          <w:rFonts w:ascii="Times New Roman" w:cs="Times New Roman" w:eastAsia="Times New Roman" w:hAnsi="Times New Roman"/>
          <w:sz w:val="20"/>
          <w:szCs w:val="20"/>
          <w:color w:val="auto"/>
        </w:rPr>
        <w:t>For the purpose of this Article 11.3(xii), "</w:t>
      </w:r>
      <w:r>
        <w:rPr>
          <w:rFonts w:ascii="Times New Roman" w:cs="Times New Roman" w:eastAsia="Times New Roman" w:hAnsi="Times New Roman"/>
          <w:sz w:val="20"/>
          <w:szCs w:val="20"/>
          <w:b w:val="1"/>
          <w:bCs w:val="1"/>
          <w:color w:val="auto"/>
        </w:rPr>
        <w:t>Overcollateralisation Rate Trigger</w:t>
      </w:r>
      <w:r>
        <w:rPr>
          <w:rFonts w:ascii="Times New Roman" w:cs="Times New Roman" w:eastAsia="Times New Roman" w:hAnsi="Times New Roman"/>
          <w:sz w:val="20"/>
          <w:szCs w:val="20"/>
          <w:color w:val="auto"/>
        </w:rPr>
        <w:t>" shall be calculated as follows: Maximum (Loss Reserve + Dilution Reserve; Floor Reserve) + Exchange Rate Reserve (as defined in schedule 1 to the Master Subordinated Deposit Agreement);</w:t>
      </w:r>
    </w:p>
    <w:p>
      <w:pPr>
        <w:spacing w:after="0" w:line="80" w:lineRule="exact"/>
        <w:rPr>
          <w:sz w:val="20"/>
          <w:szCs w:val="20"/>
          <w:color w:val="auto"/>
        </w:rPr>
      </w:pPr>
    </w:p>
    <w:p>
      <w:pPr>
        <w:jc w:val="both"/>
        <w:ind w:left="1040" w:hanging="366"/>
        <w:spacing w:after="0" w:line="338" w:lineRule="auto"/>
        <w:tabs>
          <w:tab w:leader="none" w:pos="1039"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of the Transaction Documents becomes illegal or, cannot, for any reason whatsoever, be performed pursuant to their respective terms, and such illegality or inability to be performed is reasonably expected to prejudice the rights of the Purchaser in any material respect;</w:t>
      </w:r>
    </w:p>
    <w:p>
      <w:pPr>
        <w:spacing w:after="0" w:line="67" w:lineRule="exact"/>
        <w:rPr>
          <w:rFonts w:ascii="Times New Roman" w:cs="Times New Roman" w:eastAsia="Times New Roman" w:hAnsi="Times New Roman"/>
          <w:sz w:val="20"/>
          <w:szCs w:val="20"/>
          <w:color w:val="auto"/>
        </w:rPr>
      </w:pPr>
    </w:p>
    <w:p>
      <w:pPr>
        <w:ind w:left="1000" w:hanging="330"/>
        <w:spacing w:after="0" w:line="353" w:lineRule="auto"/>
        <w:tabs>
          <w:tab w:leader="none" w:pos="12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Deed becomes illegal or, cannot, for any reason whatsoever, be performed pursuant to its terms, and such illegality or inability to be performed is reasonably expected to prejudice the rights of the Purchaser;</w:t>
      </w:r>
    </w:p>
    <w:p>
      <w:pPr>
        <w:spacing w:after="0" w:line="52" w:lineRule="exact"/>
        <w:rPr>
          <w:rFonts w:ascii="Times New Roman" w:cs="Times New Roman" w:eastAsia="Times New Roman" w:hAnsi="Times New Roman"/>
          <w:sz w:val="20"/>
          <w:szCs w:val="20"/>
          <w:color w:val="auto"/>
        </w:rPr>
      </w:pPr>
    </w:p>
    <w:p>
      <w:pPr>
        <w:jc w:val="both"/>
        <w:ind w:left="1040" w:hanging="366"/>
        <w:spacing w:after="0" w:line="331" w:lineRule="auto"/>
        <w:tabs>
          <w:tab w:leader="none" w:pos="103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ratio at the end of any fiscal quarter of (x) Consolidated Net GEBV Indebtedness at such date to (y) Consolidated GEBV EBITDA for the most recent period of four consecutive fiscal quarters for which financial statements have been prepared (as contemplated under the European Credit Facility), is greater than 3.00 to 1.00, and there has been no Applicable Waiver or Amendment on or prior to the 60th calendar day after the occurrence of any such event. In addition, this General Master Purchase Agreement shall be automatically deemed amended, with no further actions required by the Parties, to reflect the changes made in any Applicable Waiver or Amendment.</w:t>
      </w:r>
    </w:p>
    <w:p>
      <w:pPr>
        <w:spacing w:after="0" w:line="88" w:lineRule="exact"/>
        <w:rPr>
          <w:sz w:val="20"/>
          <w:szCs w:val="20"/>
          <w:color w:val="auto"/>
        </w:rPr>
      </w:pPr>
    </w:p>
    <w:p>
      <w:pPr>
        <w:ind w:left="420"/>
        <w:spacing w:after="0" w:line="353" w:lineRule="auto"/>
        <w:rPr>
          <w:sz w:val="20"/>
          <w:szCs w:val="20"/>
          <w:color w:val="auto"/>
        </w:rPr>
      </w:pPr>
      <w:r>
        <w:rPr>
          <w:rFonts w:ascii="Times New Roman" w:cs="Times New Roman" w:eastAsia="Times New Roman" w:hAnsi="Times New Roman"/>
          <w:sz w:val="20"/>
          <w:szCs w:val="20"/>
          <w:color w:val="auto"/>
        </w:rPr>
        <w:t>Capitalised terms used in this Article 11.3(xiv) and not defined in SCHEDULE 14 shall have meanings set forth for such terms in SCHEDULE 1;</w:t>
      </w:r>
    </w:p>
    <w:p>
      <w:pPr>
        <w:spacing w:after="0" w:line="52" w:lineRule="exact"/>
        <w:rPr>
          <w:sz w:val="20"/>
          <w:szCs w:val="20"/>
          <w:color w:val="auto"/>
        </w:rPr>
      </w:pPr>
    </w:p>
    <w:p>
      <w:pPr>
        <w:ind w:left="1020" w:hanging="346"/>
        <w:spacing w:after="0"/>
        <w:tabs>
          <w:tab w:leader="none" w:pos="10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Sellers withdraw from the Agreement in accordance with the provisions of Article 37;</w:t>
      </w:r>
    </w:p>
    <w:p>
      <w:pPr>
        <w:spacing w:after="0" w:line="188" w:lineRule="exact"/>
        <w:rPr>
          <w:rFonts w:ascii="Times New Roman" w:cs="Times New Roman" w:eastAsia="Times New Roman" w:hAnsi="Times New Roman"/>
          <w:sz w:val="20"/>
          <w:szCs w:val="20"/>
          <w:color w:val="auto"/>
        </w:rPr>
      </w:pPr>
    </w:p>
    <w:p>
      <w:pPr>
        <w:jc w:val="both"/>
        <w:ind w:left="1040" w:hanging="366"/>
        <w:spacing w:after="0" w:line="345" w:lineRule="auto"/>
        <w:tabs>
          <w:tab w:leader="none" w:pos="1039"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three-month rolling average of the Delinquency Percentage exceeds 5.5%, and such event is not waived within thirty (30) days after notice received from the Purchaser, or, if earlier, after a Responsible Officer becomes aware thereof;</w:t>
      </w:r>
    </w:p>
    <w:p>
      <w:pPr>
        <w:spacing w:after="0" w:line="61" w:lineRule="exact"/>
        <w:rPr>
          <w:rFonts w:ascii="Times New Roman" w:cs="Times New Roman" w:eastAsia="Times New Roman" w:hAnsi="Times New Roman"/>
          <w:sz w:val="20"/>
          <w:szCs w:val="20"/>
          <w:color w:val="auto"/>
        </w:rPr>
      </w:pPr>
    </w:p>
    <w:p>
      <w:pPr>
        <w:jc w:val="both"/>
        <w:ind w:left="1040" w:hanging="366"/>
        <w:spacing w:after="0" w:line="338" w:lineRule="auto"/>
        <w:tabs>
          <w:tab w:leader="none" w:pos="1039"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three-month rolling average of the Default Percentage exceeds 2.7%, and such event is not waived within thirty (30) days after notice received from the Purchaser, or, if earlier, after a Responsible Officer becomes aware thereof;</w:t>
      </w:r>
    </w:p>
    <w:p>
      <w:pPr>
        <w:spacing w:after="0" w:line="67" w:lineRule="exact"/>
        <w:rPr>
          <w:rFonts w:ascii="Times New Roman" w:cs="Times New Roman" w:eastAsia="Times New Roman" w:hAnsi="Times New Roman"/>
          <w:sz w:val="20"/>
          <w:szCs w:val="20"/>
          <w:color w:val="auto"/>
        </w:rPr>
      </w:pPr>
    </w:p>
    <w:p>
      <w:pPr>
        <w:ind w:left="1020" w:hanging="346"/>
        <w:spacing w:after="0"/>
        <w:tabs>
          <w:tab w:leader="none" w:pos="102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three-month rolling average of the Dilution Percentage exceeds 9%, and such event is not waived within thirty</w:t>
      </w:r>
    </w:p>
    <w:p>
      <w:pPr>
        <w:spacing w:after="0" w:line="92" w:lineRule="exact"/>
        <w:rPr>
          <w:rFonts w:ascii="Times New Roman" w:cs="Times New Roman" w:eastAsia="Times New Roman" w:hAnsi="Times New Roman"/>
          <w:sz w:val="19"/>
          <w:szCs w:val="19"/>
          <w:color w:val="auto"/>
        </w:rPr>
      </w:pPr>
    </w:p>
    <w:p>
      <w:pPr>
        <w:ind w:left="1040" w:right="20" w:hanging="9"/>
        <w:spacing w:after="0" w:line="367" w:lineRule="auto"/>
        <w:tabs>
          <w:tab w:leader="none" w:pos="1457"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notice received from the Purchaser, or, if earlier, after a Responsible Officer becomes aware thereof;</w:t>
      </w:r>
    </w:p>
    <w:p>
      <w:pPr>
        <w:sectPr>
          <w:pgSz w:w="11900" w:h="16838" w:orient="portrait"/>
          <w:cols w:equalWidth="0" w:num="1">
            <w:col w:w="10120"/>
          </w:cols>
          <w:pgMar w:left="1440" w:top="1440" w:right="339" w:bottom="1440" w:gutter="0" w:footer="0" w:header="0"/>
        </w:sectPr>
      </w:pPr>
    </w:p>
    <w:bookmarkStart w:id="190" w:name="page191"/>
    <w:bookmarkEnd w:id="190"/>
    <w:p>
      <w:pPr>
        <w:spacing w:after="0" w:line="95" w:lineRule="exact"/>
        <w:rPr>
          <w:sz w:val="20"/>
          <w:szCs w:val="20"/>
          <w:color w:val="auto"/>
        </w:rPr>
      </w:pPr>
    </w:p>
    <w:p>
      <w:pPr>
        <w:jc w:val="both"/>
        <w:ind w:left="1642" w:hanging="366"/>
        <w:spacing w:after="0" w:line="338" w:lineRule="auto"/>
        <w:tabs>
          <w:tab w:leader="none" w:pos="1641"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Ongoing Purchasable Receivable and/or Remaining Purchasable Receivable assigned to the Purchaser on any Funded Settlement Date (for the purposes of this Article, the "</w:t>
      </w:r>
      <w:r>
        <w:rPr>
          <w:rFonts w:ascii="Times New Roman" w:cs="Times New Roman" w:eastAsia="Times New Roman" w:hAnsi="Times New Roman"/>
          <w:sz w:val="20"/>
          <w:szCs w:val="20"/>
          <w:b w:val="1"/>
          <w:bCs w:val="1"/>
          <w:color w:val="auto"/>
        </w:rPr>
        <w:t>Reference Funded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the Initial Purchase Price has not been paid in full at the latest on the third Funded Settlement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such Reference Funded Settlement Date; and</w:t>
      </w:r>
    </w:p>
    <w:p>
      <w:pPr>
        <w:spacing w:after="0" w:line="67" w:lineRule="exact"/>
        <w:rPr>
          <w:rFonts w:ascii="Times New Roman" w:cs="Times New Roman" w:eastAsia="Times New Roman" w:hAnsi="Times New Roman"/>
          <w:sz w:val="20"/>
          <w:szCs w:val="20"/>
          <w:color w:val="auto"/>
        </w:rPr>
      </w:pPr>
    </w:p>
    <w:p>
      <w:pPr>
        <w:ind w:left="1642" w:hanging="366"/>
        <w:spacing w:after="0" w:line="353" w:lineRule="auto"/>
        <w:tabs>
          <w:tab w:leader="none" w:pos="1641"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the Centralising Unit and/or GOODYEAR EUROPE BV becomes, directly or indirectly, a Sanctioned Person.</w:t>
      </w:r>
    </w:p>
    <w:p>
      <w:pPr>
        <w:spacing w:after="0" w:line="156"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Consequences of Early Amortisation Events</w:t>
      </w:r>
    </w:p>
    <w:p>
      <w:pPr>
        <w:spacing w:after="0" w:line="301" w:lineRule="exact"/>
        <w:rPr>
          <w:sz w:val="20"/>
          <w:szCs w:val="20"/>
          <w:color w:val="auto"/>
        </w:rPr>
      </w:pPr>
    </w:p>
    <w:p>
      <w:pPr>
        <w:ind w:left="542"/>
        <w:spacing w:after="0" w:line="353" w:lineRule="auto"/>
        <w:rPr>
          <w:sz w:val="20"/>
          <w:szCs w:val="20"/>
          <w:color w:val="auto"/>
        </w:rPr>
      </w:pPr>
      <w:r>
        <w:rPr>
          <w:rFonts w:ascii="Times New Roman" w:cs="Times New Roman" w:eastAsia="Times New Roman" w:hAnsi="Times New Roman"/>
          <w:sz w:val="20"/>
          <w:szCs w:val="20"/>
          <w:color w:val="auto"/>
        </w:rPr>
        <w:t>Except for the Early Amortisation Event described in Article 11.2, the effect of which is set out in such Article, the consequences of the Early Amortisation Events shall be as follows:</w:t>
      </w:r>
    </w:p>
    <w:p>
      <w:pPr>
        <w:spacing w:after="0" w:line="66" w:lineRule="exact"/>
        <w:rPr>
          <w:sz w:val="20"/>
          <w:szCs w:val="20"/>
          <w:color w:val="auto"/>
        </w:rPr>
      </w:pPr>
    </w:p>
    <w:p>
      <w:pPr>
        <w:jc w:val="both"/>
        <w:ind w:left="1642" w:hanging="366"/>
        <w:spacing w:after="0" w:line="328" w:lineRule="auto"/>
        <w:tabs>
          <w:tab w:leader="none" w:pos="16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Early Amortisation Event referred to in Articles 11.1 or 11.3 occurs and has not been waived, the Purchaser may or, if all the Liquidity Banks and the Fund Subscribers (which shall be consulted by the Purchaser upon the occurrence of such an Early Amortisation Event) instruct the Purchaser to do so, the Purchaser shall terminate by notice in writing to the Centralising Unit (the "</w:t>
      </w:r>
      <w:r>
        <w:rPr>
          <w:rFonts w:ascii="Times New Roman" w:cs="Times New Roman" w:eastAsia="Times New Roman" w:hAnsi="Times New Roman"/>
          <w:sz w:val="20"/>
          <w:szCs w:val="20"/>
          <w:b w:val="1"/>
          <w:bCs w:val="1"/>
          <w:color w:val="auto"/>
        </w:rPr>
        <w:t>Purchaser's Termination Notice</w:t>
      </w:r>
      <w:r>
        <w:rPr>
          <w:rFonts w:ascii="Times New Roman" w:cs="Times New Roman" w:eastAsia="Times New Roman" w:hAnsi="Times New Roman"/>
          <w:sz w:val="20"/>
          <w:szCs w:val="20"/>
          <w:color w:val="auto"/>
        </w:rPr>
        <w:t>"), its Commitment to purchase Ongoing Purchasable Receivables and Remaining Purchasable Receivables from the Sellers. Upon knowledge by the Purchaser of the occurrence of an Early Amortisation Event and provided such Early Amortization Event has not been waived and as soon as the Purchaser has determined that such an occurrence shall entail the occurrence of the Commitment Expiry Date, a Purchaser's Termination Notice may be sent forthwith. In such an event, the Commitment Expiry Date shall be deemed to have occurred on the date of receipt of the Purchaser's Termination Notice by the Centralising Unit.</w:t>
      </w:r>
    </w:p>
    <w:p>
      <w:pPr>
        <w:spacing w:after="0" w:line="83" w:lineRule="exact"/>
        <w:rPr>
          <w:sz w:val="20"/>
          <w:szCs w:val="20"/>
          <w:color w:val="auto"/>
        </w:rPr>
      </w:pPr>
    </w:p>
    <w:p>
      <w:pPr>
        <w:jc w:val="both"/>
        <w:ind w:left="1602"/>
        <w:spacing w:after="0" w:line="331" w:lineRule="auto"/>
        <w:rPr>
          <w:sz w:val="20"/>
          <w:szCs w:val="20"/>
          <w:color w:val="auto"/>
        </w:rPr>
      </w:pPr>
      <w:r>
        <w:rPr>
          <w:rFonts w:ascii="Times New Roman" w:cs="Times New Roman" w:eastAsia="Times New Roman" w:hAnsi="Times New Roman"/>
          <w:sz w:val="20"/>
          <w:szCs w:val="20"/>
          <w:color w:val="auto"/>
        </w:rPr>
        <w:t>However, if upon consultation of the Liquidity Banks and the Fund Subscribers in accordance with the above paragraph or Article 11.2 or Article 19.3.1, no agreement can be reached among such Liquidity Banks and Fund Subscribers as to the termination by the Purchaser of its Commitment or with respect to Article 19.3.1, the termination of the appointment of each Seller for collection of the Sold Receivables, and where the Purchaser has not already decided in its own discretion to terminate, each Liquidity Bank and each Fund Subscriber may decide to terminate its own commitments under the Liquidity Agreement and/or Fund Subscription Agreement to which it is a party (any such party, the "</w:t>
      </w:r>
      <w:r>
        <w:rPr>
          <w:rFonts w:ascii="Times New Roman" w:cs="Times New Roman" w:eastAsia="Times New Roman" w:hAnsi="Times New Roman"/>
          <w:sz w:val="20"/>
          <w:szCs w:val="20"/>
          <w:b w:val="1"/>
          <w:bCs w:val="1"/>
          <w:color w:val="auto"/>
        </w:rPr>
        <w:t>Terminating Bank</w:t>
      </w:r>
      <w:r>
        <w:rPr>
          <w:rFonts w:ascii="Times New Roman" w:cs="Times New Roman" w:eastAsia="Times New Roman" w:hAnsi="Times New Roman"/>
          <w:sz w:val="20"/>
          <w:szCs w:val="20"/>
          <w:color w:val="auto"/>
        </w:rPr>
        <w:t>"), upon notice in writing to the Centralising Unit, the</w:t>
      </w:r>
    </w:p>
    <w:p>
      <w:pPr>
        <w:sectPr>
          <w:pgSz w:w="11900" w:h="16838" w:orient="portrait"/>
          <w:cols w:equalWidth="0" w:num="1">
            <w:col w:w="10722"/>
          </w:cols>
          <w:pgMar w:left="838" w:top="1440" w:right="339" w:bottom="1440" w:gutter="0" w:footer="0" w:header="0"/>
        </w:sectPr>
      </w:pPr>
    </w:p>
    <w:bookmarkStart w:id="191" w:name="page192"/>
    <w:bookmarkEnd w:id="191"/>
    <w:p>
      <w:pPr>
        <w:spacing w:after="0" w:line="95" w:lineRule="exact"/>
        <w:rPr>
          <w:sz w:val="20"/>
          <w:szCs w:val="20"/>
          <w:color w:val="auto"/>
        </w:rPr>
      </w:pPr>
    </w:p>
    <w:p>
      <w:pPr>
        <w:jc w:val="both"/>
        <w:ind w:left="1340"/>
        <w:spacing w:after="0" w:line="353" w:lineRule="auto"/>
        <w:rPr>
          <w:sz w:val="20"/>
          <w:szCs w:val="20"/>
          <w:color w:val="auto"/>
        </w:rPr>
      </w:pPr>
      <w:r>
        <w:rPr>
          <w:rFonts w:ascii="Times New Roman" w:cs="Times New Roman" w:eastAsia="Times New Roman" w:hAnsi="Times New Roman"/>
          <w:sz w:val="20"/>
          <w:szCs w:val="20"/>
          <w:color w:val="auto"/>
        </w:rPr>
        <w:t>Purchaser, the other Liquidity Bank(s) and the other Fund Subscriber no later than on the Information Date preceding the Funded Settlement Date on which such termination is to be effective.</w:t>
      </w:r>
    </w:p>
    <w:p>
      <w:pPr>
        <w:spacing w:after="0" w:line="52" w:lineRule="exact"/>
        <w:rPr>
          <w:sz w:val="20"/>
          <w:szCs w:val="20"/>
          <w:color w:val="auto"/>
        </w:rPr>
      </w:pPr>
    </w:p>
    <w:p>
      <w:pPr>
        <w:jc w:val="both"/>
        <w:ind w:left="1340"/>
        <w:spacing w:after="0" w:line="332" w:lineRule="auto"/>
        <w:rPr>
          <w:sz w:val="20"/>
          <w:szCs w:val="20"/>
          <w:color w:val="auto"/>
        </w:rPr>
      </w:pPr>
      <w:r>
        <w:rPr>
          <w:rFonts w:ascii="Times New Roman" w:cs="Times New Roman" w:eastAsia="Times New Roman" w:hAnsi="Times New Roman"/>
          <w:sz w:val="20"/>
          <w:szCs w:val="20"/>
          <w:color w:val="auto"/>
        </w:rPr>
        <w:t>In the event of the termination by a Terminating Bank of its commitments under the Liquidity Agreement and, as the case may be, the Fund Subscription Agreement to which it is a party, the Maximum Amount of the Program shall be partially and automatically reduced by an amount equal to the commitments of such Terminating Bank under such Liquidity Agreement and, as the case may be, such Fund Subscription Agreement (without double-counting in respect of a Terminating Bank that would be a party to both a Liquidity Agreement and a Fund Subscription Agreement). Such reduction of the Maximum Amount of the Program shall take effect on the Funded Settlement Date on which the termination of its commitment by such Terminating Bank is effective and shall be definitive and irrevocable.</w:t>
      </w:r>
    </w:p>
    <w:p>
      <w:pPr>
        <w:spacing w:after="0" w:line="74" w:lineRule="exact"/>
        <w:rPr>
          <w:sz w:val="20"/>
          <w:szCs w:val="20"/>
          <w:color w:val="auto"/>
        </w:rPr>
      </w:pPr>
    </w:p>
    <w:p>
      <w:pPr>
        <w:jc w:val="both"/>
        <w:ind w:left="1380" w:hanging="366"/>
        <w:spacing w:after="0" w:line="329" w:lineRule="auto"/>
        <w:tabs>
          <w:tab w:leader="none" w:pos="137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further exception to the foregoing, if an Early Amortisation Event set forth in Article 11.3(iii), 11.3(iv), 11.3(v), 11.3(vi), 11.3(ix), 11.3(x), 11.3(xi) and 11.3(xiii) occurs exclusively in relation to certain but not all Sellers, the Purchaser shall give notice thereof to the relevant Seller(s) and the Centralising Unit. The Parties hereby agree that upon receipt by the relevant Seller(s) and the Centralising Unit of such notice, the Purchaser shall not be entitled to purchase any further Ongoing Purchasable Receivable or Remaining Purchasable Receivable from the relevant Seller(s) (the "</w:t>
      </w:r>
      <w:r>
        <w:rPr>
          <w:rFonts w:ascii="Times New Roman" w:cs="Times New Roman" w:eastAsia="Times New Roman" w:hAnsi="Times New Roman"/>
          <w:sz w:val="20"/>
          <w:szCs w:val="20"/>
          <w:b w:val="1"/>
          <w:bCs w:val="1"/>
          <w:color w:val="auto"/>
        </w:rPr>
        <w:t>Excluded Seller(s)</w:t>
      </w:r>
      <w:r>
        <w:rPr>
          <w:rFonts w:ascii="Times New Roman" w:cs="Times New Roman" w:eastAsia="Times New Roman" w:hAnsi="Times New Roman"/>
          <w:sz w:val="20"/>
          <w:szCs w:val="20"/>
          <w:color w:val="auto"/>
        </w:rPr>
        <w:t>"). The Purchaser's Commitment shall not otherwise be affected, except that if the aggregate amount of Sold Receivables assigned by the Excluded Seller(s) on the preceding three (3) Funded Settlement Dates (or the preceding six (6) Settlement Dates in the event a Bi-monthly Management Period is outstanding) represents more than 45% of the aggregate amount of Sold Receivables assigned by all Sellers on such dates, the Commitment Expiry Date shall be deemed to have occurred on the date of receipt of the notice referred to above.</w:t>
      </w:r>
    </w:p>
    <w:p>
      <w:pPr>
        <w:spacing w:after="0" w:line="191" w:lineRule="exact"/>
        <w:rPr>
          <w:sz w:val="20"/>
          <w:szCs w:val="20"/>
          <w:color w:val="auto"/>
        </w:rPr>
      </w:pPr>
    </w:p>
    <w:p>
      <w:pPr>
        <w:jc w:val="both"/>
        <w:ind w:right="20"/>
        <w:spacing w:after="0" w:line="338" w:lineRule="auto"/>
        <w:rPr>
          <w:sz w:val="20"/>
          <w:szCs w:val="20"/>
          <w:color w:val="auto"/>
        </w:rPr>
      </w:pPr>
      <w:r>
        <w:rPr>
          <w:rFonts w:ascii="Times New Roman" w:cs="Times New Roman" w:eastAsia="Times New Roman" w:hAnsi="Times New Roman"/>
          <w:sz w:val="20"/>
          <w:szCs w:val="20"/>
          <w:color w:val="auto"/>
        </w:rPr>
        <w:t>For the avoidance of doubt, any Potential Early Amortisation Event shall not constitute an Early Amortisation Event if a suitable agreement between the Parties has been reached within the grace period (if any) provided for the related Early Amortisation Event in Article 11.3.</w:t>
      </w:r>
    </w:p>
    <w:p>
      <w:pPr>
        <w:sectPr>
          <w:pgSz w:w="11900" w:h="16838" w:orient="portrait"/>
          <w:cols w:equalWidth="0" w:num="1">
            <w:col w:w="10460"/>
          </w:cols>
          <w:pgMar w:left="1100" w:top="1440" w:right="339" w:bottom="1440" w:gutter="0" w:footer="0" w:header="0"/>
        </w:sectPr>
      </w:pPr>
    </w:p>
    <w:bookmarkStart w:id="192" w:name="page193"/>
    <w:bookmarkEnd w:id="192"/>
    <w:p>
      <w:pPr>
        <w:spacing w:after="0" w:line="200" w:lineRule="exact"/>
        <w:rPr>
          <w:sz w:val="20"/>
          <w:szCs w:val="20"/>
          <w:color w:val="auto"/>
        </w:rPr>
      </w:pPr>
    </w:p>
    <w:p>
      <w:pPr>
        <w:spacing w:after="0" w:line="215"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VII</w:t>
      </w:r>
    </w:p>
    <w:p>
      <w:pPr>
        <w:spacing w:after="0" w:line="81"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TAXES - CHANGES IN CIRCUMSTANCES</w:t>
      </w:r>
    </w:p>
    <w:p>
      <w:pPr>
        <w:spacing w:after="0" w:line="351" w:lineRule="exact"/>
        <w:rPr>
          <w:sz w:val="20"/>
          <w:szCs w:val="20"/>
          <w:color w:val="auto"/>
        </w:rPr>
      </w:pPr>
    </w:p>
    <w:p>
      <w:pPr>
        <w:ind w:left="502" w:hanging="502"/>
        <w:spacing w:after="0"/>
        <w:tabs>
          <w:tab w:leader="none" w:pos="502"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w:t>
      </w:r>
    </w:p>
    <w:p>
      <w:pPr>
        <w:spacing w:after="0" w:line="139" w:lineRule="exact"/>
        <w:rPr>
          <w:sz w:val="20"/>
          <w:szCs w:val="20"/>
          <w:color w:val="auto"/>
        </w:rPr>
      </w:pPr>
    </w:p>
    <w:p>
      <w:pPr>
        <w:jc w:val="both"/>
        <w:ind w:left="502" w:hanging="502"/>
        <w:spacing w:after="0" w:line="329" w:lineRule="auto"/>
        <w:tabs>
          <w:tab w:leader="none" w:pos="491"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each Seller, acting as Seller or as servicer of the Sold Receivables, or by the Centralising Unit, to the Purchaser under this Agreement, the Receivables Purchase Agreements and the Master Subordinated Deposit Agreement shall be made free, clear of and without deduction for or on account of tax (not being tax imposed on the general income of the Purchaser), unless the relevant Seller or the Centralising Unit is required by mandatory provisions of law to make such a payment subject to the deduction or withholding of tax, in which case the sum to be paid by the relevant Seller or the Centralising Unit in respect of which such deduction or withholding is required to be made shall, to the extent permitted by law, be increased to the extent necessary to ensure that, after the making of the required deduction or withholding, the Purchaser receives and retains (free from any liability in respect of any such deduction or withholding) a net sum equal to the sum which it would have received and so retained had no such deduction or withholding been made or required to be made.</w:t>
      </w:r>
    </w:p>
    <w:p>
      <w:pPr>
        <w:spacing w:after="0" w:line="200" w:lineRule="exact"/>
        <w:rPr>
          <w:sz w:val="20"/>
          <w:szCs w:val="20"/>
          <w:color w:val="auto"/>
        </w:rPr>
      </w:pPr>
    </w:p>
    <w:p>
      <w:pPr>
        <w:jc w:val="both"/>
        <w:ind w:left="462"/>
        <w:spacing w:after="0" w:line="331" w:lineRule="auto"/>
        <w:rPr>
          <w:sz w:val="20"/>
          <w:szCs w:val="20"/>
          <w:color w:val="auto"/>
        </w:rPr>
      </w:pPr>
      <w:r>
        <w:rPr>
          <w:rFonts w:ascii="Times New Roman" w:cs="Times New Roman" w:eastAsia="Times New Roman" w:hAnsi="Times New Roman"/>
          <w:sz w:val="20"/>
          <w:szCs w:val="20"/>
          <w:color w:val="auto"/>
        </w:rPr>
        <w:t>In the event that any payment made by the Centralising Unit or any of the Sellers hereunder is subject to any withholding or deduction, the Purchaser shall use reasonable efforts to recover any tax credit that it may be entitled to on account of such withholding or deduction and shall remit to the Centralising Unit any amounts so recovered, up to the amount necessary for the Seller to be (after that payment) in the same after-tax position as it would have been if such withholding or deduction had not been made, but such amount shall in any event not exceed the sums so recovered by the Purchaser.</w:t>
      </w:r>
    </w:p>
    <w:p>
      <w:pPr>
        <w:spacing w:after="0" w:line="183" w:lineRule="exact"/>
        <w:rPr>
          <w:sz w:val="20"/>
          <w:szCs w:val="20"/>
          <w:color w:val="auto"/>
        </w:rPr>
      </w:pPr>
    </w:p>
    <w:p>
      <w:pPr>
        <w:jc w:val="both"/>
        <w:ind w:left="462"/>
        <w:spacing w:after="0" w:line="399" w:lineRule="auto"/>
        <w:rPr>
          <w:sz w:val="20"/>
          <w:szCs w:val="20"/>
          <w:color w:val="auto"/>
        </w:rPr>
      </w:pPr>
      <w:r>
        <w:rPr>
          <w:rFonts w:ascii="Times New Roman" w:cs="Times New Roman" w:eastAsia="Times New Roman" w:hAnsi="Times New Roman"/>
          <w:sz w:val="19"/>
          <w:szCs w:val="19"/>
          <w:color w:val="auto"/>
        </w:rPr>
        <w:t>If the increase referred to above is contrary to any applicable law, the Purchaser and the Centralising Unit, acting in the name and on behalf of the Sellers, shall work together as soon as possible and in good faith to seek a solution acceptable to the Parties.</w:t>
      </w:r>
    </w:p>
    <w:p>
      <w:pPr>
        <w:spacing w:after="0" w:line="124" w:lineRule="exact"/>
        <w:rPr>
          <w:sz w:val="20"/>
          <w:szCs w:val="20"/>
          <w:color w:val="auto"/>
        </w:rPr>
      </w:pPr>
    </w:p>
    <w:p>
      <w:pPr>
        <w:jc w:val="both"/>
        <w:ind w:left="462"/>
        <w:spacing w:after="0" w:line="332" w:lineRule="auto"/>
        <w:rPr>
          <w:sz w:val="20"/>
          <w:szCs w:val="20"/>
          <w:color w:val="auto"/>
        </w:rPr>
      </w:pPr>
      <w:r>
        <w:rPr>
          <w:rFonts w:ascii="Times New Roman" w:cs="Times New Roman" w:eastAsia="Times New Roman" w:hAnsi="Times New Roman"/>
          <w:sz w:val="20"/>
          <w:szCs w:val="20"/>
          <w:color w:val="auto"/>
        </w:rPr>
        <w:t>If no suitable agreement has been reached within thirty (30) calendar days following the coming into force of such deduction or withholding of tax, the Commitment Expiry Date shall be deemed to have occurred on the thirtieth day after such deduction or withholding comes into force. The Parties hereby agree that during the thirty-day period provided in the foregoing sentence, no Ongoing Purchasable Receivable and no Remaining Purchasable Receivable shall be sold to the Purchaser by the Sellers concerned by such deduction for or on account of tax or by all the Sellers if such deduction for or on account of tax relates to the Centralising Unit, on a Funded Settlement Date.</w:t>
      </w:r>
    </w:p>
    <w:p>
      <w:pPr>
        <w:spacing w:after="0" w:line="180" w:lineRule="exact"/>
        <w:rPr>
          <w:sz w:val="20"/>
          <w:szCs w:val="20"/>
          <w:color w:val="auto"/>
        </w:rPr>
      </w:pPr>
    </w:p>
    <w:p>
      <w:pPr>
        <w:ind w:left="502" w:hanging="502"/>
        <w:spacing w:after="0" w:line="357" w:lineRule="auto"/>
        <w:tabs>
          <w:tab w:leader="none" w:pos="491"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shall bear any VAT (a "</w:t>
      </w:r>
      <w:r>
        <w:rPr>
          <w:rFonts w:ascii="Times New Roman" w:cs="Times New Roman" w:eastAsia="Times New Roman" w:hAnsi="Times New Roman"/>
          <w:sz w:val="20"/>
          <w:szCs w:val="20"/>
          <w:b w:val="1"/>
          <w:bCs w:val="1"/>
          <w:color w:val="auto"/>
        </w:rPr>
        <w:t>VAT Payment</w:t>
      </w:r>
      <w:r>
        <w:rPr>
          <w:rFonts w:ascii="Times New Roman" w:cs="Times New Roman" w:eastAsia="Times New Roman" w:hAnsi="Times New Roman"/>
          <w:sz w:val="20"/>
          <w:szCs w:val="20"/>
          <w:color w:val="auto"/>
        </w:rPr>
        <w:t>") to which any transaction contemplated under the Securitisation Transaction may be subject or give rise and which</w:t>
      </w:r>
    </w:p>
    <w:p>
      <w:pPr>
        <w:sectPr>
          <w:pgSz w:w="11900" w:h="16838" w:orient="portrait"/>
          <w:cols w:equalWidth="0" w:num="1">
            <w:col w:w="10722"/>
          </w:cols>
          <w:pgMar w:left="838" w:top="1440" w:right="339" w:bottom="1440" w:gutter="0" w:footer="0" w:header="0"/>
        </w:sectPr>
      </w:pPr>
    </w:p>
    <w:bookmarkStart w:id="193" w:name="page194"/>
    <w:bookmarkEnd w:id="193"/>
    <w:p>
      <w:pPr>
        <w:spacing w:after="0" w:line="203" w:lineRule="exact"/>
        <w:rPr>
          <w:sz w:val="20"/>
          <w:szCs w:val="20"/>
          <w:color w:val="auto"/>
        </w:rPr>
      </w:pPr>
    </w:p>
    <w:p>
      <w:pPr>
        <w:jc w:val="both"/>
        <w:ind w:left="502"/>
        <w:spacing w:after="0" w:line="334" w:lineRule="auto"/>
        <w:rPr>
          <w:sz w:val="20"/>
          <w:szCs w:val="20"/>
          <w:color w:val="auto"/>
        </w:rPr>
      </w:pPr>
      <w:r>
        <w:rPr>
          <w:rFonts w:ascii="Times New Roman" w:cs="Times New Roman" w:eastAsia="Times New Roman" w:hAnsi="Times New Roman"/>
          <w:sz w:val="20"/>
          <w:szCs w:val="20"/>
          <w:color w:val="auto"/>
        </w:rPr>
        <w:t>applies to any party having entered into the Securitisation Transaction (other than the Sellers and the Centralising Unit); and each Seller shall fully indemnify the Purchaser or any party having entered into the Securitisation Transaction (other than the Sellers or the Centralising Unit), in respect of any liability to pay such VAT Payment and from and against any losses or liabilities which any of them may properly incur or otherwise suffer as a result of any delay in paying or omission to pay such VAT Payment.</w:t>
      </w:r>
    </w:p>
    <w:p>
      <w:pPr>
        <w:spacing w:after="0" w:line="182" w:lineRule="exact"/>
        <w:rPr>
          <w:sz w:val="20"/>
          <w:szCs w:val="20"/>
          <w:color w:val="auto"/>
        </w:rPr>
      </w:pPr>
    </w:p>
    <w:p>
      <w:pPr>
        <w:jc w:val="both"/>
        <w:ind w:left="462"/>
        <w:spacing w:after="0" w:line="332" w:lineRule="auto"/>
        <w:rPr>
          <w:sz w:val="20"/>
          <w:szCs w:val="20"/>
          <w:color w:val="auto"/>
        </w:rPr>
      </w:pPr>
      <w:r>
        <w:rPr>
          <w:rFonts w:ascii="Times New Roman" w:cs="Times New Roman" w:eastAsia="Times New Roman" w:hAnsi="Times New Roman"/>
          <w:sz w:val="20"/>
          <w:szCs w:val="20"/>
          <w:color w:val="auto"/>
        </w:rPr>
        <w:t>If a Seller makes a VAT Payment and a credit against, relief or remission for, or repayment of taxes is attributable to that VAT Payment (a "</w:t>
      </w:r>
      <w:r>
        <w:rPr>
          <w:rFonts w:ascii="Times New Roman" w:cs="Times New Roman" w:eastAsia="Times New Roman" w:hAnsi="Times New Roman"/>
          <w:sz w:val="20"/>
          <w:szCs w:val="20"/>
          <w:b w:val="1"/>
          <w:bCs w:val="1"/>
          <w:color w:val="auto"/>
        </w:rPr>
        <w:t>VAT Credit</w:t>
      </w:r>
      <w:r>
        <w:rPr>
          <w:rFonts w:ascii="Times New Roman" w:cs="Times New Roman" w:eastAsia="Times New Roman" w:hAnsi="Times New Roman"/>
          <w:sz w:val="20"/>
          <w:szCs w:val="20"/>
          <w:color w:val="auto"/>
        </w:rPr>
        <w:t>"), the Purchaser shall use reasonable efforts to obtain the repayment of such VAT Credit, and once the Purchaser has obtained the repayment of such VAT Credit, the Purchaser shall transfer such amount to the relevant Seller so that the Seller will be (after that payment) in the same after-tax position as it would have been in had the VAT Payment not been made by the Seller, but such amount shall in any event not exceed the sums actually paid to the Purchaser under the repayment of such VAT Credit.</w:t>
      </w:r>
    </w:p>
    <w:p>
      <w:pPr>
        <w:spacing w:after="0" w:line="184" w:lineRule="exact"/>
        <w:rPr>
          <w:sz w:val="20"/>
          <w:szCs w:val="20"/>
          <w:color w:val="auto"/>
        </w:rPr>
      </w:pPr>
    </w:p>
    <w:p>
      <w:pPr>
        <w:jc w:val="both"/>
        <w:ind w:left="502" w:hanging="502"/>
        <w:spacing w:after="0" w:line="334" w:lineRule="auto"/>
        <w:tabs>
          <w:tab w:leader="none" w:pos="49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Insolvency Proceedings opened against the German Seller, if the insolvency administrator is involved in the enforcement of any pledge over the Collection Account(s) for the benefit of the Purchaser and if such insolvency administrator is entitled to claim a deduction of fees ("</w:t>
      </w:r>
      <w:r>
        <w:rPr>
          <w:rFonts w:ascii="Times New Roman" w:cs="Times New Roman" w:eastAsia="Times New Roman" w:hAnsi="Times New Roman"/>
          <w:sz w:val="20"/>
          <w:szCs w:val="20"/>
          <w:b w:val="1"/>
          <w:bCs w:val="1"/>
          <w:color w:val="auto"/>
        </w:rPr>
        <w:t>Enforcement Fees</w:t>
      </w:r>
      <w:r>
        <w:rPr>
          <w:rFonts w:ascii="Times New Roman" w:cs="Times New Roman" w:eastAsia="Times New Roman" w:hAnsi="Times New Roman"/>
          <w:sz w:val="20"/>
          <w:szCs w:val="20"/>
          <w:color w:val="auto"/>
        </w:rPr>
        <w:t>") from the credit balance recorded on such Collection Account(s) at the date of institution of such Insolvency Proceedings, the German Seller and/or the Centralising Unit shall pay to the Purchaser any sums corresponding to such Enforcement Fees.</w:t>
      </w:r>
    </w:p>
    <w:p>
      <w:pPr>
        <w:spacing w:after="0" w:line="181" w:lineRule="exact"/>
        <w:rPr>
          <w:rFonts w:ascii="Times New Roman" w:cs="Times New Roman" w:eastAsia="Times New Roman" w:hAnsi="Times New Roman"/>
          <w:sz w:val="20"/>
          <w:szCs w:val="20"/>
          <w:color w:val="auto"/>
        </w:rPr>
      </w:pPr>
    </w:p>
    <w:p>
      <w:pPr>
        <w:jc w:val="both"/>
        <w:ind w:left="502" w:hanging="502"/>
        <w:spacing w:after="0" w:line="332" w:lineRule="auto"/>
        <w:tabs>
          <w:tab w:leader="none" w:pos="49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Purchaser, the Italian Issuer, a Liquidity Bank, a Fund Subscriber, an Issuer, the Management Company, the Custodian, the Fund, the Depositor or the Agent (each a "</w:t>
      </w:r>
      <w:r>
        <w:rPr>
          <w:rFonts w:ascii="Times New Roman" w:cs="Times New Roman" w:eastAsia="Times New Roman" w:hAnsi="Times New Roman"/>
          <w:sz w:val="20"/>
          <w:szCs w:val="20"/>
          <w:b w:val="1"/>
          <w:bCs w:val="1"/>
          <w:color w:val="auto"/>
        </w:rPr>
        <w:t>Tax Indemnified Party</w:t>
      </w:r>
      <w:r>
        <w:rPr>
          <w:rFonts w:ascii="Times New Roman" w:cs="Times New Roman" w:eastAsia="Times New Roman" w:hAnsi="Times New Roman"/>
          <w:sz w:val="20"/>
          <w:szCs w:val="20"/>
          <w:color w:val="auto"/>
        </w:rPr>
        <w:t>") has to bear any new tax or withholding tax or any other tax related charge not yet in force on any sum which it owes and in relation to the Securitisation Transaction, the Centralising Unit, acting in the name and on behalf of the Sellers, undertakes to indemnify such Tax Indemnified Party up to the amount of this new taxation or withholding tax or other tax charge, in the currency in which such deduction, withholding or other tax charge must be paid.</w:t>
      </w:r>
    </w:p>
    <w:p>
      <w:pPr>
        <w:spacing w:after="0" w:line="180" w:lineRule="exact"/>
        <w:rPr>
          <w:sz w:val="20"/>
          <w:szCs w:val="20"/>
          <w:color w:val="auto"/>
        </w:rPr>
      </w:pPr>
    </w:p>
    <w:p>
      <w:pPr>
        <w:jc w:val="both"/>
        <w:ind w:left="462"/>
        <w:spacing w:after="0" w:line="335" w:lineRule="auto"/>
        <w:rPr>
          <w:sz w:val="20"/>
          <w:szCs w:val="20"/>
          <w:color w:val="auto"/>
        </w:rPr>
      </w:pPr>
      <w:r>
        <w:rPr>
          <w:rFonts w:ascii="Times New Roman" w:cs="Times New Roman" w:eastAsia="Times New Roman" w:hAnsi="Times New Roman"/>
          <w:sz w:val="20"/>
          <w:szCs w:val="20"/>
          <w:color w:val="auto"/>
        </w:rPr>
        <w:t>In the event that the Purchaser or the Italian Issuer (each a "</w:t>
      </w:r>
      <w:r>
        <w:rPr>
          <w:rFonts w:ascii="Times New Roman" w:cs="Times New Roman" w:eastAsia="Times New Roman" w:hAnsi="Times New Roman"/>
          <w:sz w:val="20"/>
          <w:szCs w:val="20"/>
          <w:b w:val="1"/>
          <w:bCs w:val="1"/>
          <w:color w:val="auto"/>
        </w:rPr>
        <w:t>Refinanced Tax Indemnified Party</w:t>
      </w:r>
      <w:r>
        <w:rPr>
          <w:rFonts w:ascii="Times New Roman" w:cs="Times New Roman" w:eastAsia="Times New Roman" w:hAnsi="Times New Roman"/>
          <w:sz w:val="20"/>
          <w:szCs w:val="20"/>
          <w:color w:val="auto"/>
        </w:rPr>
        <w:t>") has to bear any deduction or withholding tax or any other tax related charge on any sum which it owes and in relation to the Italian Subscription Agreement, the Centralising Unit, acting in the name and on behalf of the Sellers, undertakes to indemnify such Refinanced Tax Indemnified Party up to the amount of this taxation or withholding tax or other tax charge, in the currency in which such deduction, withholding or other tax charge must be paid.</w:t>
      </w:r>
    </w:p>
    <w:p>
      <w:pPr>
        <w:sectPr>
          <w:pgSz w:w="11900" w:h="16838" w:orient="portrait"/>
          <w:cols w:equalWidth="0" w:num="1">
            <w:col w:w="10722"/>
          </w:cols>
          <w:pgMar w:left="838" w:top="1440" w:right="339" w:bottom="1440" w:gutter="0" w:footer="0" w:header="0"/>
        </w:sectPr>
      </w:pPr>
    </w:p>
    <w:bookmarkStart w:id="194" w:name="page195"/>
    <w:bookmarkEnd w:id="194"/>
    <w:p>
      <w:pPr>
        <w:spacing w:after="0" w:line="203" w:lineRule="exact"/>
        <w:rPr>
          <w:sz w:val="20"/>
          <w:szCs w:val="20"/>
          <w:color w:val="auto"/>
        </w:rPr>
      </w:pPr>
    </w:p>
    <w:p>
      <w:pPr>
        <w:jc w:val="both"/>
        <w:ind w:left="462"/>
        <w:spacing w:after="0" w:line="360" w:lineRule="auto"/>
        <w:rPr>
          <w:sz w:val="20"/>
          <w:szCs w:val="20"/>
          <w:color w:val="auto"/>
        </w:rPr>
      </w:pPr>
      <w:r>
        <w:rPr>
          <w:rFonts w:ascii="Times New Roman" w:cs="Times New Roman" w:eastAsia="Times New Roman" w:hAnsi="Times New Roman"/>
          <w:sz w:val="19"/>
          <w:szCs w:val="19"/>
          <w:color w:val="auto"/>
        </w:rPr>
        <w:t>In the event that any payment is made by the Centralising Unit to the Purchaser pursuant to this Article 12.4, the Purchaser shall use reasonable efforts to recover any tax credit that it may be entitled to on account of such tax and shall remit to the Centralising Unit any amounts so recovered up to the amount necessary for the Seller to be (after that payment) in the same after-tax position as it would have been if such new tax had not been paid, within the limit of the sums so recovered by the Purchaser.</w:t>
      </w:r>
    </w:p>
    <w:p>
      <w:pPr>
        <w:spacing w:after="0" w:line="161" w:lineRule="exact"/>
        <w:rPr>
          <w:sz w:val="20"/>
          <w:szCs w:val="20"/>
          <w:color w:val="auto"/>
        </w:rPr>
      </w:pPr>
    </w:p>
    <w:p>
      <w:pPr>
        <w:jc w:val="both"/>
        <w:ind w:left="502" w:hanging="502"/>
        <w:spacing w:after="0" w:line="352" w:lineRule="auto"/>
        <w:tabs>
          <w:tab w:leader="none" w:pos="49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Tax Indemnified Party (including, in particular, the Purchaser) has incurred any losses or liability resulting from or in relation to any recourse by any German tax administration against the Purchaser with respect to any Sold Receivable, the German Seller shall indemnify such Tax Indemnified Party up to the amount of such losses or liability incurred and in the currency in which such loss or liability has been incurred,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recourse by such German tax administration against the Purchaser is based on section 13c of the German VAT Act or on any related or equivalent provision of German law.</w:t>
      </w:r>
    </w:p>
    <w:p>
      <w:pPr>
        <w:spacing w:after="0" w:line="179" w:lineRule="exact"/>
        <w:rPr>
          <w:rFonts w:ascii="Times New Roman" w:cs="Times New Roman" w:eastAsia="Times New Roman" w:hAnsi="Times New Roman"/>
          <w:sz w:val="19"/>
          <w:szCs w:val="19"/>
          <w:color w:val="auto"/>
        </w:rPr>
      </w:pPr>
    </w:p>
    <w:p>
      <w:pPr>
        <w:jc w:val="both"/>
        <w:ind w:left="502" w:hanging="502"/>
        <w:spacing w:after="0" w:line="338" w:lineRule="auto"/>
        <w:tabs>
          <w:tab w:leader="none" w:pos="49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Article 12 shall be construed so as to oblige the Purchaser to bear costs and expenses of whatever nature or to disclose confidential information relating to,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organisation of its activities nor affect in any way its right to organise its tax affairs in a manner which it considers most beneficial.</w:t>
      </w:r>
    </w:p>
    <w:p>
      <w:pPr>
        <w:spacing w:after="0" w:line="226" w:lineRule="exact"/>
        <w:rPr>
          <w:sz w:val="20"/>
          <w:szCs w:val="20"/>
          <w:color w:val="auto"/>
        </w:rPr>
      </w:pPr>
    </w:p>
    <w:p>
      <w:pPr>
        <w:ind w:left="502" w:hanging="502"/>
        <w:spacing w:after="0"/>
        <w:tabs>
          <w:tab w:leader="none" w:pos="502"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CIRCUMSTANCES</w:t>
      </w:r>
    </w:p>
    <w:p>
      <w:pPr>
        <w:spacing w:after="0" w:line="139" w:lineRule="exact"/>
        <w:rPr>
          <w:sz w:val="20"/>
          <w:szCs w:val="20"/>
          <w:color w:val="auto"/>
        </w:rPr>
      </w:pPr>
    </w:p>
    <w:p>
      <w:pPr>
        <w:jc w:val="both"/>
        <w:ind w:left="502" w:hanging="502"/>
        <w:spacing w:after="0" w:line="331" w:lineRule="auto"/>
        <w:tabs>
          <w:tab w:leader="none" w:pos="491"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indemnified under Article 12, if, as a result of (i) the implementation, after the 2025 Amendment Date, of any change in the applicable laws, regulations, accounting standards or regulatory requirements or any change in the interpretation or application of the aforementioned and/or (ii) the implementation, after the 2025 Amendment Date, of any applicable directive, request or requirement (whether or not having the force of law) of any central bank, self-regulating organisation, governmental, fiscal, monetary or other authority (including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directives, requests, instructions, accounting standards or requirements which affect the manner in which any bank is required to maintain equity capital (</w:t>
      </w:r>
      <w:r>
        <w:rPr>
          <w:rFonts w:ascii="Times New Roman" w:cs="Times New Roman" w:eastAsia="Times New Roman" w:hAnsi="Times New Roman"/>
          <w:sz w:val="20"/>
          <w:szCs w:val="20"/>
          <w:i w:val="1"/>
          <w:iCs w:val="1"/>
          <w:color w:val="auto"/>
        </w:rPr>
        <w:t>own funds</w:t>
      </w:r>
      <w:r>
        <w:rPr>
          <w:rFonts w:ascii="Times New Roman" w:cs="Times New Roman" w:eastAsia="Times New Roman" w:hAnsi="Times New Roman"/>
          <w:sz w:val="20"/>
          <w:szCs w:val="20"/>
          <w:color w:val="auto"/>
        </w:rPr>
        <w:t>), taking into account its assets, liabilities, contingent liabilities or commitments):</w:t>
      </w:r>
    </w:p>
    <w:p>
      <w:pPr>
        <w:spacing w:after="0" w:line="74"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the Purchaser, the Italian Issuer, any Liquidity Bank, any Fund Subscriber, any Issuer, the Management Company, the Custodian, the Fund, the Depositor or the Agent making available, agreeing to make available, maintaining or funding any Payment and/or assuming or maintaining their Commitment or otherwise giving effect to this Agreement shall be increased; and/or</w:t>
      </w:r>
    </w:p>
    <w:p>
      <w:pPr>
        <w:spacing w:after="0" w:line="67"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 received or receivable by the Purchaser, the Italian Issuer, any Liquidity Bank, any Fund Subscriber, any Issuer, the Management</w:t>
      </w:r>
    </w:p>
    <w:p>
      <w:pPr>
        <w:sectPr>
          <w:pgSz w:w="11900" w:h="16838" w:orient="portrait"/>
          <w:cols w:equalWidth="0" w:num="1">
            <w:col w:w="10722"/>
          </w:cols>
          <w:pgMar w:left="838" w:top="1440" w:right="339" w:bottom="1440" w:gutter="0" w:footer="0" w:header="0"/>
        </w:sectPr>
      </w:pPr>
    </w:p>
    <w:bookmarkStart w:id="195" w:name="page196"/>
    <w:bookmarkEnd w:id="195"/>
    <w:p>
      <w:pPr>
        <w:spacing w:after="0" w:line="95" w:lineRule="exact"/>
        <w:rPr>
          <w:sz w:val="20"/>
          <w:szCs w:val="20"/>
          <w:color w:val="auto"/>
        </w:rPr>
      </w:pPr>
    </w:p>
    <w:p>
      <w:pPr>
        <w:jc w:val="both"/>
        <w:ind w:left="1642"/>
        <w:spacing w:after="0" w:line="338" w:lineRule="auto"/>
        <w:rPr>
          <w:sz w:val="20"/>
          <w:szCs w:val="20"/>
          <w:color w:val="auto"/>
        </w:rPr>
      </w:pPr>
      <w:r>
        <w:rPr>
          <w:rFonts w:ascii="Times New Roman" w:cs="Times New Roman" w:eastAsia="Times New Roman" w:hAnsi="Times New Roman"/>
          <w:sz w:val="20"/>
          <w:szCs w:val="20"/>
          <w:color w:val="auto"/>
        </w:rPr>
        <w:t>Company, the Custodian, the Fund, the Depositor or the Agent under the Transaction Documents shall be reduced (except for tax imposed on the general income of the Purchaser or default of a Debtor under any Sold Receivables or Refinanced Sold Receivables); and/or</w:t>
      </w:r>
    </w:p>
    <w:p>
      <w:pPr>
        <w:spacing w:after="0" w:line="81" w:lineRule="exact"/>
        <w:rPr>
          <w:sz w:val="20"/>
          <w:szCs w:val="20"/>
          <w:color w:val="auto"/>
        </w:rPr>
      </w:pPr>
    </w:p>
    <w:p>
      <w:pPr>
        <w:jc w:val="both"/>
        <w:ind w:left="1642" w:hanging="366"/>
        <w:spacing w:after="0" w:line="331" w:lineRule="auto"/>
        <w:tabs>
          <w:tab w:leader="none" w:pos="163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the Italian Issuer, any Liquidity Bank, any Fund Subscriber, any Issuer, the Management Company, the Custodian, the Fund, the Depositor or the Agent shall become liable to make any payment on account of tax (except for tax imposed on its general income), or shall be compelled or obliged to forego any interest or other return, on or calculated by reference to the Commitment or any payment under this Agreement, the Receivables Purchase Agreement and/or the Italian Subscription Agreement;</w:t>
      </w:r>
    </w:p>
    <w:p>
      <w:pPr>
        <w:spacing w:after="0" w:line="75" w:lineRule="exact"/>
        <w:rPr>
          <w:sz w:val="20"/>
          <w:szCs w:val="20"/>
          <w:color w:val="auto"/>
        </w:rPr>
      </w:pPr>
    </w:p>
    <w:p>
      <w:pPr>
        <w:jc w:val="both"/>
        <w:ind w:left="462"/>
        <w:spacing w:after="0" w:line="331" w:lineRule="auto"/>
        <w:rPr>
          <w:sz w:val="20"/>
          <w:szCs w:val="20"/>
          <w:color w:val="auto"/>
        </w:rPr>
      </w:pPr>
      <w:r>
        <w:rPr>
          <w:rFonts w:ascii="Times New Roman" w:cs="Times New Roman" w:eastAsia="Times New Roman" w:hAnsi="Times New Roman"/>
          <w:sz w:val="20"/>
          <w:szCs w:val="20"/>
          <w:color w:val="auto"/>
        </w:rPr>
        <w:t>as soon as such event has occurred and provided that such information is publicly available, the Purchaser, the Italian Issuer, any Liquidity Bank, any Fund Subscriber, the Issuer, the Management Company, the Custodian, the Fund, the Depositor or the Agent shall be entitled to claim from the Centralising Unit, acting as the case may be on its own behalf or on behalf of the Sellers, an indemnity equal to (a) the increased costs referred to in (i) above, and/or (b) the reduction referred to in (ii) above and/or (c) the amount referred to in (iii) above. To this effect, the Purchaser shall give notice to the Centralising Unit, by delivering to the latter a certificate specifying in sufficient detail the occurrence of the changes in circumstances and, if possible, the estimated amount and the actual amount and the reason(s) for the indemnity payable under this Article.</w:t>
      </w:r>
    </w:p>
    <w:p>
      <w:pPr>
        <w:spacing w:after="0" w:line="196" w:lineRule="exact"/>
        <w:rPr>
          <w:sz w:val="20"/>
          <w:szCs w:val="20"/>
          <w:color w:val="auto"/>
        </w:rPr>
      </w:pPr>
    </w:p>
    <w:p>
      <w:pPr>
        <w:jc w:val="both"/>
        <w:ind w:left="502" w:hanging="502"/>
        <w:spacing w:after="0" w:line="331" w:lineRule="auto"/>
        <w:tabs>
          <w:tab w:leader="none" w:pos="491"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dispute as to the amount of such an indemnity, the Purchaser and the Centralising Unit acting in the name and on behalf of the Sellers, shall work together as soon as possible and in good faith to seek a solution acceptable to the Parties; in the event of a dispute, such indemnity shall nevertheless be paid by the Centralising Unit, acting on its own behalf and on behalf of the Sellers, who shall make the payment of such indemnity forthwith following receipt of the notice sent by the Purchaser.</w:t>
      </w:r>
    </w:p>
    <w:p>
      <w:pPr>
        <w:spacing w:after="0" w:line="196" w:lineRule="exact"/>
        <w:rPr>
          <w:sz w:val="20"/>
          <w:szCs w:val="20"/>
          <w:color w:val="auto"/>
        </w:rPr>
      </w:pPr>
    </w:p>
    <w:p>
      <w:pPr>
        <w:jc w:val="both"/>
        <w:ind w:left="462"/>
        <w:spacing w:after="0" w:line="333" w:lineRule="auto"/>
        <w:rPr>
          <w:sz w:val="20"/>
          <w:szCs w:val="20"/>
          <w:color w:val="auto"/>
        </w:rPr>
      </w:pPr>
      <w:r>
        <w:rPr>
          <w:rFonts w:ascii="Times New Roman" w:cs="Times New Roman" w:eastAsia="Times New Roman" w:hAnsi="Times New Roman"/>
          <w:sz w:val="20"/>
          <w:szCs w:val="20"/>
          <w:color w:val="auto"/>
        </w:rPr>
        <w:t>If no suitable agreement has been reached within thirty (30) calendar days following the coming into force of such event, the Commitment Expiry Date shall be deemed to have occurred on the thirtieth day after such an event. The Parties hereby agree that during the thirty-day period provided in the foregoing sentence, no Remaining Purchasable Receivable or Ongoing Purchasable Receivable shall be sold to the Purchaser on a Funded Settlement Date.</w:t>
      </w:r>
    </w:p>
    <w:p>
      <w:pPr>
        <w:sectPr>
          <w:pgSz w:w="11900" w:h="16838" w:orient="portrait"/>
          <w:cols w:equalWidth="0" w:num="1">
            <w:col w:w="10722"/>
          </w:cols>
          <w:pgMar w:left="838" w:top="1440" w:right="339" w:bottom="1440" w:gutter="0" w:footer="0" w:header="0"/>
        </w:sectPr>
      </w:pPr>
    </w:p>
    <w:bookmarkStart w:id="196" w:name="page197"/>
    <w:bookmarkEnd w:id="196"/>
    <w:p>
      <w:pPr>
        <w:spacing w:after="0" w:line="200" w:lineRule="exact"/>
        <w:rPr>
          <w:sz w:val="20"/>
          <w:szCs w:val="20"/>
          <w:color w:val="auto"/>
        </w:rPr>
      </w:pPr>
    </w:p>
    <w:p>
      <w:pPr>
        <w:spacing w:after="0" w:line="215"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VIII</w:t>
      </w:r>
    </w:p>
    <w:p>
      <w:pPr>
        <w:spacing w:after="0" w:line="81"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ORDER OF PRIORITY - PAYMENTS</w:t>
      </w:r>
    </w:p>
    <w:p>
      <w:pPr>
        <w:spacing w:after="0" w:line="351" w:lineRule="exact"/>
        <w:rPr>
          <w:sz w:val="20"/>
          <w:szCs w:val="20"/>
          <w:color w:val="auto"/>
        </w:rPr>
      </w:pPr>
    </w:p>
    <w:p>
      <w:pPr>
        <w:ind w:left="502" w:hanging="502"/>
        <w:spacing w:after="0"/>
        <w:tabs>
          <w:tab w:leader="none" w:pos="502"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ORDER OF PRIORITY DURING THE AMORTISATION PERIOD</w:t>
      </w:r>
    </w:p>
    <w:p>
      <w:pPr>
        <w:spacing w:after="0" w:line="139" w:lineRule="exact"/>
        <w:rPr>
          <w:sz w:val="20"/>
          <w:szCs w:val="20"/>
          <w:color w:val="auto"/>
        </w:rPr>
      </w:pPr>
    </w:p>
    <w:p>
      <w:pPr>
        <w:ind w:left="502" w:hanging="502"/>
        <w:spacing w:after="0" w:line="352" w:lineRule="auto"/>
        <w:tabs>
          <w:tab w:leader="none" w:pos="491"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Article 14.2, on each Settlement Date during the Amortisation Period, the Purchaser shall apply the Distributed Amounts, in the following order:</w:t>
      </w:r>
    </w:p>
    <w:p>
      <w:pPr>
        <w:ind w:left="902" w:right="20" w:hanging="774"/>
        <w:spacing w:after="0"/>
        <w:tabs>
          <w:tab w:leader="none" w:pos="892"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of the following sums that are due and payable on such date in accordance with the provisions of the Master Senior Deposit Agreement:</w:t>
      </w:r>
    </w:p>
    <w:p>
      <w:pPr>
        <w:spacing w:after="0" w:line="53" w:lineRule="exact"/>
        <w:rPr>
          <w:rFonts w:ascii="Times New Roman" w:cs="Times New Roman" w:eastAsia="Times New Roman" w:hAnsi="Times New Roman"/>
          <w:sz w:val="20"/>
          <w:szCs w:val="20"/>
          <w:color w:val="auto"/>
        </w:rPr>
      </w:pPr>
    </w:p>
    <w:p>
      <w:pPr>
        <w:ind w:left="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19"/>
          <w:szCs w:val="19"/>
          <w:color w:val="auto"/>
        </w:rPr>
        <w:t>the Margin due to ESTER;</w:t>
      </w:r>
    </w:p>
    <w:p>
      <w:pPr>
        <w:spacing w:after="0" w:line="67" w:lineRule="exact"/>
        <w:rPr>
          <w:rFonts w:ascii="Times New Roman" w:cs="Times New Roman" w:eastAsia="Times New Roman" w:hAnsi="Times New Roman"/>
          <w:sz w:val="20"/>
          <w:szCs w:val="20"/>
          <w:color w:val="auto"/>
        </w:rPr>
      </w:pPr>
    </w:p>
    <w:p>
      <w:pPr>
        <w:ind w:left="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19"/>
          <w:szCs w:val="19"/>
          <w:color w:val="auto"/>
        </w:rPr>
        <w:t>the Immobilisation Indemnity due pursuant to article 8.1 of the Master Senior Deposit Agreement;</w:t>
      </w:r>
    </w:p>
    <w:p>
      <w:pPr>
        <w:spacing w:after="0" w:line="80" w:lineRule="exact"/>
        <w:rPr>
          <w:rFonts w:ascii="Times New Roman" w:cs="Times New Roman" w:eastAsia="Times New Roman" w:hAnsi="Times New Roman"/>
          <w:sz w:val="20"/>
          <w:szCs w:val="20"/>
          <w:color w:val="auto"/>
        </w:rPr>
      </w:pPr>
    </w:p>
    <w:p>
      <w:pPr>
        <w:ind w:left="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19"/>
          <w:szCs w:val="19"/>
          <w:color w:val="auto"/>
        </w:rPr>
        <w:t>the Deposit Fee due pursuant to article 8.2 of the Master Senior Deposit Agreement;</w:t>
      </w:r>
    </w:p>
    <w:p>
      <w:pPr>
        <w:spacing w:after="0" w:line="94"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0"/>
          <w:szCs w:val="20"/>
          <w:color w:val="auto"/>
        </w:rPr>
        <w:t>until their full payment;</w:t>
      </w:r>
    </w:p>
    <w:p>
      <w:pPr>
        <w:spacing w:after="0" w:line="216" w:lineRule="exact"/>
        <w:rPr>
          <w:sz w:val="20"/>
          <w:szCs w:val="20"/>
          <w:color w:val="auto"/>
        </w:rPr>
      </w:pPr>
    </w:p>
    <w:p>
      <w:pPr>
        <w:jc w:val="both"/>
        <w:ind w:left="902"/>
        <w:spacing w:after="0" w:line="261" w:lineRule="auto"/>
        <w:rPr>
          <w:sz w:val="20"/>
          <w:szCs w:val="20"/>
          <w:color w:val="auto"/>
        </w:rPr>
      </w:pPr>
      <w:r>
        <w:rPr>
          <w:rFonts w:ascii="Times New Roman" w:cs="Times New Roman" w:eastAsia="Times New Roman" w:hAnsi="Times New Roman"/>
          <w:sz w:val="20"/>
          <w:szCs w:val="20"/>
          <w:color w:val="auto"/>
        </w:rPr>
        <w:t xml:space="preserve">provided that, on each Intermediary Settlement Date the sums referred to in this point 1. to be paid on the next Funded Settlement Date, calculated </w:t>
      </w:r>
      <w:r>
        <w:rPr>
          <w:rFonts w:ascii="Times New Roman" w:cs="Times New Roman" w:eastAsia="Times New Roman" w:hAnsi="Times New Roman"/>
          <w:sz w:val="20"/>
          <w:szCs w:val="20"/>
          <w:i w:val="1"/>
          <w:iCs w:val="1"/>
          <w:color w:val="auto"/>
        </w:rPr>
        <w:t>prorata temporis</w:t>
      </w:r>
      <w:r>
        <w:rPr>
          <w:rFonts w:ascii="Times New Roman" w:cs="Times New Roman" w:eastAsia="Times New Roman" w:hAnsi="Times New Roman"/>
          <w:sz w:val="20"/>
          <w:szCs w:val="20"/>
          <w:color w:val="auto"/>
        </w:rPr>
        <w:t>, shall be excluded from the Distributed Amounts available on such Intermediary Settlement Date and shall be reserved by the Purchaser in order to be paid on such Funded Settlement Date;</w:t>
      </w:r>
    </w:p>
    <w:p>
      <w:pPr>
        <w:spacing w:after="0" w:line="168" w:lineRule="exact"/>
        <w:rPr>
          <w:sz w:val="20"/>
          <w:szCs w:val="20"/>
          <w:color w:val="auto"/>
        </w:rPr>
      </w:pPr>
    </w:p>
    <w:p>
      <w:pPr>
        <w:ind w:left="902" w:hanging="774"/>
        <w:spacing w:after="0"/>
        <w:tabs>
          <w:tab w:leader="none" w:pos="89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 due and payable prior to such date, by the Sellers or the Centralising Unit to the Purchaser under the Transaction Documents and which remains unpaid on such date, until its full repayment;</w:t>
      </w:r>
    </w:p>
    <w:p>
      <w:pPr>
        <w:spacing w:after="0" w:line="39" w:lineRule="exact"/>
        <w:rPr>
          <w:rFonts w:ascii="Times New Roman" w:cs="Times New Roman" w:eastAsia="Times New Roman" w:hAnsi="Times New Roman"/>
          <w:sz w:val="20"/>
          <w:szCs w:val="20"/>
          <w:color w:val="auto"/>
        </w:rPr>
      </w:pPr>
    </w:p>
    <w:p>
      <w:pPr>
        <w:ind w:left="902" w:hanging="774"/>
        <w:spacing w:after="0"/>
        <w:tabs>
          <w:tab w:leader="none" w:pos="89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 due and payable in respect of the Purchaser's Funding, in accordance with the provisions of the Master Senior Deposit Agreement, until its full payment;</w:t>
      </w:r>
    </w:p>
    <w:p>
      <w:pPr>
        <w:spacing w:after="0" w:line="66" w:lineRule="exact"/>
        <w:rPr>
          <w:rFonts w:ascii="Times New Roman" w:cs="Times New Roman" w:eastAsia="Times New Roman" w:hAnsi="Times New Roman"/>
          <w:sz w:val="20"/>
          <w:szCs w:val="20"/>
          <w:color w:val="auto"/>
        </w:rPr>
      </w:pPr>
    </w:p>
    <w:p>
      <w:pPr>
        <w:jc w:val="both"/>
        <w:ind w:left="902"/>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on each Intermediary Settlement Date the sums referred to in this point 3, (as due in respect of the Purchaser's Funding and to be paid on the next Funded Settlement Date) shall be excluded from the Distributed Amounts available on such Intermediary Settlement Date and reserved by the Purchaser in order to be paid on such Funded Settlement Date;</w:t>
      </w:r>
    </w:p>
    <w:p>
      <w:pPr>
        <w:spacing w:after="0" w:line="65" w:lineRule="exact"/>
        <w:rPr>
          <w:rFonts w:ascii="Times New Roman" w:cs="Times New Roman" w:eastAsia="Times New Roman" w:hAnsi="Times New Roman"/>
          <w:sz w:val="20"/>
          <w:szCs w:val="20"/>
          <w:color w:val="auto"/>
        </w:rPr>
      </w:pPr>
    </w:p>
    <w:p>
      <w:pPr>
        <w:ind w:left="902" w:hanging="774"/>
        <w:spacing w:after="0"/>
        <w:tabs>
          <w:tab w:leader="none" w:pos="89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outstanding Initial Purchase Price to be made pursuant to the provisions of each Receivables Purchase Agreement and which has not been made before the Amortisation Period;</w:t>
      </w:r>
    </w:p>
    <w:p>
      <w:pPr>
        <w:spacing w:after="0" w:line="39" w:lineRule="exact"/>
        <w:rPr>
          <w:rFonts w:ascii="Times New Roman" w:cs="Times New Roman" w:eastAsia="Times New Roman" w:hAnsi="Times New Roman"/>
          <w:sz w:val="20"/>
          <w:szCs w:val="20"/>
          <w:color w:val="auto"/>
        </w:rPr>
      </w:pPr>
    </w:p>
    <w:p>
      <w:pPr>
        <w:ind w:left="902" w:hanging="774"/>
        <w:spacing w:after="0"/>
        <w:tabs>
          <w:tab w:leader="none" w:pos="89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outstanding Deferred Purchase Price to be made pursuant to the provisions of each Receivables Purchase Agreement;</w:t>
      </w:r>
    </w:p>
    <w:p>
      <w:pPr>
        <w:spacing w:after="0" w:line="53" w:lineRule="exact"/>
        <w:rPr>
          <w:rFonts w:ascii="Times New Roman" w:cs="Times New Roman" w:eastAsia="Times New Roman" w:hAnsi="Times New Roman"/>
          <w:sz w:val="20"/>
          <w:szCs w:val="20"/>
          <w:color w:val="auto"/>
        </w:rPr>
      </w:pPr>
    </w:p>
    <w:p>
      <w:pPr>
        <w:ind w:left="882" w:hanging="754"/>
        <w:spacing w:after="0"/>
        <w:tabs>
          <w:tab w:leader="none" w:pos="88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repayment of the Subordinated Deposit.</w:t>
      </w:r>
    </w:p>
    <w:p>
      <w:pPr>
        <w:spacing w:after="0" w:line="229"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Settlement Date during the Amortisation Period, if any Seller and/or the Centralising Unit fail(s) to make a payment when due under the Transaction Documents in respect of the Adjusted Collections and, pursuant to the provisions of Article 19.3, the Collection Mandate given to the Sellers has been terminated, the Purchaser shall apply the Distributed Amounts, in the following order:</w:t>
      </w:r>
    </w:p>
    <w:p>
      <w:pPr>
        <w:sectPr>
          <w:pgSz w:w="11900" w:h="16838" w:orient="portrait"/>
          <w:cols w:equalWidth="0" w:num="1">
            <w:col w:w="10722"/>
          </w:cols>
          <w:pgMar w:left="838" w:top="1440" w:right="339" w:bottom="1440" w:gutter="0" w:footer="0" w:header="0"/>
        </w:sectPr>
      </w:pPr>
    </w:p>
    <w:bookmarkStart w:id="197" w:name="page198"/>
    <w:bookmarkEnd w:id="197"/>
    <w:p>
      <w:pPr>
        <w:spacing w:after="0" w:line="41" w:lineRule="exact"/>
        <w:rPr>
          <w:sz w:val="20"/>
          <w:szCs w:val="20"/>
          <w:color w:val="auto"/>
        </w:rPr>
      </w:pPr>
    </w:p>
    <w:p>
      <w:pPr>
        <w:ind w:left="902" w:right="20" w:hanging="774"/>
        <w:spacing w:after="0"/>
        <w:tabs>
          <w:tab w:leader="none" w:pos="89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sums due and payable on such date in respect of the Purchaser's Funding, in accordance with the provisions of the Master Senior Deposit Agreement, as follows:</w:t>
      </w:r>
    </w:p>
    <w:p>
      <w:pPr>
        <w:spacing w:after="0" w:line="39" w:lineRule="exact"/>
        <w:rPr>
          <w:rFonts w:ascii="Times New Roman" w:cs="Times New Roman" w:eastAsia="Times New Roman" w:hAnsi="Times New Roman"/>
          <w:sz w:val="20"/>
          <w:szCs w:val="20"/>
          <w:color w:val="auto"/>
        </w:rPr>
      </w:pPr>
    </w:p>
    <w:p>
      <w:pPr>
        <w:ind w:left="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19"/>
          <w:szCs w:val="19"/>
          <w:color w:val="auto"/>
        </w:rPr>
        <w:t>the Margin due to ESTER;</w:t>
      </w:r>
    </w:p>
    <w:p>
      <w:pPr>
        <w:spacing w:after="0" w:line="80" w:lineRule="exact"/>
        <w:rPr>
          <w:rFonts w:ascii="Times New Roman" w:cs="Times New Roman" w:eastAsia="Times New Roman" w:hAnsi="Times New Roman"/>
          <w:sz w:val="20"/>
          <w:szCs w:val="20"/>
          <w:color w:val="auto"/>
        </w:rPr>
      </w:pPr>
    </w:p>
    <w:p>
      <w:pPr>
        <w:ind w:left="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19"/>
          <w:szCs w:val="19"/>
          <w:color w:val="auto"/>
        </w:rPr>
        <w:t>the Immobilisation Indemnity due pursuant to article 8.1 of the Master Senior Deposit Agreement;</w:t>
      </w:r>
    </w:p>
    <w:p>
      <w:pPr>
        <w:spacing w:after="0" w:line="81" w:lineRule="exact"/>
        <w:rPr>
          <w:sz w:val="20"/>
          <w:szCs w:val="20"/>
          <w:color w:val="auto"/>
        </w:rPr>
      </w:pPr>
    </w:p>
    <w:p>
      <w:pPr>
        <w:ind w:left="1522" w:right="2520" w:hanging="647"/>
        <w:spacing w:after="0" w:line="353" w:lineRule="auto"/>
        <w:tabs>
          <w:tab w:leader="none" w:pos="1501"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the Deposit Fee due pursuant to article 8.2 of the Master Senior Deposit Agreement; until their full payment;</w:t>
      </w:r>
    </w:p>
    <w:p>
      <w:pPr>
        <w:spacing w:after="0" w:line="93" w:lineRule="exact"/>
        <w:rPr>
          <w:sz w:val="20"/>
          <w:szCs w:val="20"/>
          <w:color w:val="auto"/>
        </w:rPr>
      </w:pPr>
    </w:p>
    <w:p>
      <w:pPr>
        <w:jc w:val="both"/>
        <w:ind w:left="1522"/>
        <w:spacing w:after="0" w:line="258" w:lineRule="auto"/>
        <w:rPr>
          <w:sz w:val="20"/>
          <w:szCs w:val="20"/>
          <w:color w:val="auto"/>
        </w:rPr>
      </w:pPr>
      <w:r>
        <w:rPr>
          <w:rFonts w:ascii="Times New Roman" w:cs="Times New Roman" w:eastAsia="Times New Roman" w:hAnsi="Times New Roman"/>
          <w:sz w:val="20"/>
          <w:szCs w:val="20"/>
          <w:color w:val="auto"/>
        </w:rPr>
        <w:t xml:space="preserve">provided that, on each Intermediary Settlement Date the sums referred to in this point 1. to be paid on the next Funded Settlement Date, calculated </w:t>
      </w:r>
      <w:r>
        <w:rPr>
          <w:rFonts w:ascii="Times New Roman" w:cs="Times New Roman" w:eastAsia="Times New Roman" w:hAnsi="Times New Roman"/>
          <w:sz w:val="20"/>
          <w:szCs w:val="20"/>
          <w:i w:val="1"/>
          <w:iCs w:val="1"/>
          <w:color w:val="auto"/>
        </w:rPr>
        <w:t>prorata temporis</w:t>
      </w:r>
      <w:r>
        <w:rPr>
          <w:rFonts w:ascii="Times New Roman" w:cs="Times New Roman" w:eastAsia="Times New Roman" w:hAnsi="Times New Roman"/>
          <w:sz w:val="20"/>
          <w:szCs w:val="20"/>
          <w:color w:val="auto"/>
        </w:rPr>
        <w:t>, shall be excluded from the Distributed Amounts available on such Intermediary Settlement Date and reserved by the Purchaser in order to be paid on such Funded Settlement Date;</w:t>
      </w:r>
    </w:p>
    <w:p>
      <w:pPr>
        <w:spacing w:after="0" w:line="159" w:lineRule="exact"/>
        <w:rPr>
          <w:sz w:val="20"/>
          <w:szCs w:val="20"/>
          <w:color w:val="auto"/>
        </w:rPr>
      </w:pPr>
    </w:p>
    <w:p>
      <w:pPr>
        <w:ind w:left="902" w:hanging="774"/>
        <w:spacing w:after="0"/>
        <w:tabs>
          <w:tab w:leader="none" w:pos="89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 due and payable prior to such date, by the Sellers or the Centralising Unit to the Purchaser under the Transaction Documents and which remains unpaid on such date, until its full repayment;</w:t>
      </w:r>
    </w:p>
    <w:p>
      <w:pPr>
        <w:spacing w:after="0" w:line="53" w:lineRule="exact"/>
        <w:rPr>
          <w:rFonts w:ascii="Times New Roman" w:cs="Times New Roman" w:eastAsia="Times New Roman" w:hAnsi="Times New Roman"/>
          <w:sz w:val="20"/>
          <w:szCs w:val="20"/>
          <w:color w:val="auto"/>
        </w:rPr>
      </w:pPr>
    </w:p>
    <w:p>
      <w:pPr>
        <w:jc w:val="both"/>
        <w:ind w:left="902" w:hanging="774"/>
        <w:spacing w:after="0" w:line="226" w:lineRule="auto"/>
        <w:tabs>
          <w:tab w:leader="none" w:pos="89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 due and payable in respect of the Purchaser's Funding, up to an amount equal to the sum due under the Transaction Documents in respect of the Adjusted Collections and which any Seller and/or the Centralising Unit has failed to pay (the "</w:t>
      </w:r>
      <w:r>
        <w:rPr>
          <w:rFonts w:ascii="Times New Roman" w:cs="Times New Roman" w:eastAsia="Times New Roman" w:hAnsi="Times New Roman"/>
          <w:sz w:val="20"/>
          <w:szCs w:val="20"/>
          <w:b w:val="1"/>
          <w:bCs w:val="1"/>
          <w:color w:val="auto"/>
        </w:rPr>
        <w:t>Priority Amount</w:t>
      </w:r>
      <w:r>
        <w:rPr>
          <w:rFonts w:ascii="Times New Roman" w:cs="Times New Roman" w:eastAsia="Times New Roman" w:hAnsi="Times New Roman"/>
          <w:sz w:val="20"/>
          <w:szCs w:val="20"/>
          <w:color w:val="auto"/>
        </w:rPr>
        <w:t>");</w:t>
      </w:r>
    </w:p>
    <w:p>
      <w:pPr>
        <w:spacing w:after="0" w:line="65" w:lineRule="exact"/>
        <w:rPr>
          <w:rFonts w:ascii="Times New Roman" w:cs="Times New Roman" w:eastAsia="Times New Roman" w:hAnsi="Times New Roman"/>
          <w:sz w:val="20"/>
          <w:szCs w:val="20"/>
          <w:color w:val="auto"/>
        </w:rPr>
      </w:pPr>
    </w:p>
    <w:p>
      <w:pPr>
        <w:jc w:val="both"/>
        <w:ind w:left="902"/>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on each Intermediary Settlement Date the sums referred to in this point 3. to be paid on the next Funded Settlement Date shall be excluded from the Distributed Amounts available on such Intermediary Settlement Date and be reserved by the Purchaser in order to be paid on such Funded Settlement Date;</w:t>
      </w:r>
    </w:p>
    <w:p>
      <w:pPr>
        <w:spacing w:after="0" w:line="46" w:lineRule="exact"/>
        <w:rPr>
          <w:rFonts w:ascii="Times New Roman" w:cs="Times New Roman" w:eastAsia="Times New Roman" w:hAnsi="Times New Roman"/>
          <w:sz w:val="20"/>
          <w:szCs w:val="20"/>
          <w:color w:val="auto"/>
        </w:rPr>
      </w:pPr>
    </w:p>
    <w:p>
      <w:pPr>
        <w:ind w:left="902" w:hanging="774"/>
        <w:spacing w:after="0"/>
        <w:tabs>
          <w:tab w:leader="none" w:pos="89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sum remaining due and payable in respect of the Purchaser's Funding, in accordance with the provisions of the Master Senior Deposit Agreement, until its full payment;</w:t>
      </w:r>
    </w:p>
    <w:p>
      <w:pPr>
        <w:spacing w:after="0" w:line="66" w:lineRule="exact"/>
        <w:rPr>
          <w:rFonts w:ascii="Times New Roman" w:cs="Times New Roman" w:eastAsia="Times New Roman" w:hAnsi="Times New Roman"/>
          <w:sz w:val="20"/>
          <w:szCs w:val="20"/>
          <w:color w:val="auto"/>
        </w:rPr>
      </w:pPr>
    </w:p>
    <w:p>
      <w:pPr>
        <w:jc w:val="both"/>
        <w:ind w:left="902"/>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provided that, on each Intermediary Settlement Date the sums referred to in this point 4 (as due in respect of the Purchaser's Funding and to be paid on the next Funded Settlement Date) shall be excluded from the Distributed Amounts available on such Intermediary Settlement Date and reserved by the Purchaser in order to be paid on such Funded Settlement Date;</w:t>
      </w:r>
    </w:p>
    <w:p>
      <w:pPr>
        <w:spacing w:after="0" w:line="29" w:lineRule="exact"/>
        <w:rPr>
          <w:rFonts w:ascii="Times New Roman" w:cs="Times New Roman" w:eastAsia="Times New Roman" w:hAnsi="Times New Roman"/>
          <w:sz w:val="20"/>
          <w:szCs w:val="20"/>
          <w:color w:val="auto"/>
        </w:rPr>
      </w:pPr>
    </w:p>
    <w:p>
      <w:pPr>
        <w:ind w:left="902" w:hanging="774"/>
        <w:spacing w:after="0"/>
        <w:tabs>
          <w:tab w:leader="none" w:pos="89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outstanding Initial Purchase Price to be made pursuant to the provisions of each Receivables Purchase Agreement and which has not been made before the Amortisation Period;</w:t>
      </w:r>
    </w:p>
    <w:p>
      <w:pPr>
        <w:spacing w:after="0" w:line="53" w:lineRule="exact"/>
        <w:rPr>
          <w:rFonts w:ascii="Times New Roman" w:cs="Times New Roman" w:eastAsia="Times New Roman" w:hAnsi="Times New Roman"/>
          <w:sz w:val="20"/>
          <w:szCs w:val="20"/>
          <w:color w:val="auto"/>
        </w:rPr>
      </w:pPr>
    </w:p>
    <w:p>
      <w:pPr>
        <w:ind w:left="902" w:hanging="774"/>
        <w:spacing w:after="0" w:line="233" w:lineRule="auto"/>
        <w:tabs>
          <w:tab w:leader="none" w:pos="89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payment of any Deferred Purchase Price to be made pursuant with the provisions of each Receivables Purchase Agreement;</w:t>
      </w:r>
    </w:p>
    <w:p>
      <w:pPr>
        <w:spacing w:after="0" w:line="52" w:lineRule="exact"/>
        <w:rPr>
          <w:rFonts w:ascii="Times New Roman" w:cs="Times New Roman" w:eastAsia="Times New Roman" w:hAnsi="Times New Roman"/>
          <w:sz w:val="20"/>
          <w:szCs w:val="20"/>
          <w:color w:val="auto"/>
        </w:rPr>
      </w:pPr>
    </w:p>
    <w:p>
      <w:pPr>
        <w:ind w:left="882" w:hanging="754"/>
        <w:spacing w:after="0"/>
        <w:tabs>
          <w:tab w:leader="none" w:pos="88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repayment of the Subordinated Deposit.</w:t>
      </w:r>
    </w:p>
    <w:p>
      <w:pPr>
        <w:spacing w:after="0" w:line="292"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125" w:lineRule="exact"/>
        <w:rPr>
          <w:sz w:val="20"/>
          <w:szCs w:val="20"/>
          <w:color w:val="auto"/>
        </w:rPr>
      </w:pPr>
    </w:p>
    <w:p>
      <w:pPr>
        <w:jc w:val="both"/>
        <w:ind w:left="502" w:hanging="502"/>
        <w:spacing w:after="0" w:line="345" w:lineRule="auto"/>
        <w:tabs>
          <w:tab w:leader="none" w:pos="491"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the payment of any sum due under this Agreement, the Agent, the Purchaser, each Seller and the Centralising Unit acting, as the case may be, on its own behalf or on behalf of the Sellers, expressly agree to use exclusively the following bank accounts:</w:t>
      </w:r>
    </w:p>
    <w:p>
      <w:pPr>
        <w:spacing w:after="0" w:line="61"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Account;</w:t>
      </w:r>
    </w:p>
    <w:p>
      <w:pPr>
        <w:spacing w:after="0" w:line="188"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Unit's Account;</w:t>
      </w:r>
    </w:p>
    <w:p>
      <w:pPr>
        <w:sectPr>
          <w:pgSz w:w="11900" w:h="16838" w:orient="portrait"/>
          <w:cols w:equalWidth="0" w:num="1">
            <w:col w:w="10722"/>
          </w:cols>
          <w:pgMar w:left="838" w:top="1440" w:right="339" w:bottom="1440" w:gutter="0" w:footer="0" w:header="0"/>
        </w:sectPr>
      </w:pPr>
    </w:p>
    <w:bookmarkStart w:id="198" w:name="page199"/>
    <w:bookmarkEnd w:id="198"/>
    <w:p>
      <w:pPr>
        <w:spacing w:after="0" w:line="95" w:lineRule="exact"/>
        <w:rPr>
          <w:sz w:val="20"/>
          <w:szCs w:val="20"/>
          <w:color w:val="auto"/>
        </w:rPr>
      </w:pPr>
    </w:p>
    <w:p>
      <w:pPr>
        <w:ind w:left="1622" w:hanging="346"/>
        <w:spacing w:after="0"/>
        <w:tabs>
          <w:tab w:leader="none" w:pos="162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Collection Accounts;</w:t>
      </w:r>
    </w:p>
    <w:p>
      <w:pPr>
        <w:spacing w:after="0" w:line="188"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Collection Accounts; and</w:t>
      </w:r>
    </w:p>
    <w:p>
      <w:pPr>
        <w:spacing w:after="0" w:line="188"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Account.</w:t>
      </w:r>
    </w:p>
    <w:p>
      <w:pPr>
        <w:spacing w:after="0" w:line="310" w:lineRule="exact"/>
        <w:rPr>
          <w:sz w:val="20"/>
          <w:szCs w:val="20"/>
          <w:color w:val="auto"/>
        </w:rPr>
      </w:pPr>
    </w:p>
    <w:p>
      <w:pPr>
        <w:ind w:left="542"/>
        <w:spacing w:after="0" w:line="353" w:lineRule="auto"/>
        <w:rPr>
          <w:sz w:val="20"/>
          <w:szCs w:val="20"/>
          <w:color w:val="auto"/>
        </w:rPr>
      </w:pPr>
      <w:r>
        <w:rPr>
          <w:rFonts w:ascii="Times New Roman" w:cs="Times New Roman" w:eastAsia="Times New Roman" w:hAnsi="Times New Roman"/>
          <w:sz w:val="20"/>
          <w:szCs w:val="20"/>
          <w:color w:val="auto"/>
        </w:rPr>
        <w:t>The Parties acknowledge that such accounts shall be used exclusively for the purposes and in accordance with the terms of this Agreement.</w:t>
      </w:r>
    </w:p>
    <w:p>
      <w:pPr>
        <w:spacing w:after="0" w:line="160" w:lineRule="exact"/>
        <w:rPr>
          <w:sz w:val="20"/>
          <w:szCs w:val="20"/>
          <w:color w:val="auto"/>
        </w:rPr>
      </w:pPr>
    </w:p>
    <w:p>
      <w:pPr>
        <w:ind w:left="502" w:hanging="502"/>
        <w:spacing w:after="0"/>
        <w:tabs>
          <w:tab w:leader="none" w:pos="50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 is the currency of payment for each and every sum due at any time under the Transaction Documents.</w:t>
      </w:r>
    </w:p>
    <w:p>
      <w:pPr>
        <w:spacing w:after="0" w:line="296"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other provisions of the Transactions Documents related to set-off, the Purchaser shall be entitled to set-off</w:t>
      </w:r>
    </w:p>
    <w:p>
      <w:pPr>
        <w:spacing w:after="0" w:line="80" w:lineRule="exact"/>
        <w:rPr>
          <w:rFonts w:ascii="Times New Roman" w:cs="Times New Roman" w:eastAsia="Times New Roman" w:hAnsi="Times New Roman"/>
          <w:sz w:val="20"/>
          <w:szCs w:val="20"/>
          <w:color w:val="auto"/>
        </w:rPr>
      </w:pPr>
    </w:p>
    <w:p>
      <w:pPr>
        <w:jc w:val="both"/>
        <w:ind w:left="502" w:firstLine="9"/>
        <w:spacing w:after="0" w:line="345" w:lineRule="auto"/>
        <w:tabs>
          <w:tab w:leader="none" w:pos="760"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due and payable by the Purchaser to the Centralising Unit on its behalf or on behalf of the Sellers under the Transaction Documents and (ii) any amount due and payable by the Centralising Unit on its behalf or on behalf of the Sellers to the Purchaser under the Transaction Documents.</w:t>
      </w:r>
    </w:p>
    <w:p>
      <w:pPr>
        <w:spacing w:after="0" w:line="169" w:lineRule="exact"/>
        <w:rPr>
          <w:sz w:val="20"/>
          <w:szCs w:val="20"/>
          <w:color w:val="auto"/>
        </w:rPr>
      </w:pPr>
    </w:p>
    <w:p>
      <w:pPr>
        <w:jc w:val="both"/>
        <w:ind w:left="542"/>
        <w:spacing w:after="0" w:line="333" w:lineRule="auto"/>
        <w:rPr>
          <w:sz w:val="20"/>
          <w:szCs w:val="20"/>
          <w:color w:val="auto"/>
        </w:rPr>
      </w:pPr>
      <w:r>
        <w:rPr>
          <w:rFonts w:ascii="Times New Roman" w:cs="Times New Roman" w:eastAsia="Times New Roman" w:hAnsi="Times New Roman"/>
          <w:sz w:val="20"/>
          <w:szCs w:val="20"/>
          <w:color w:val="auto"/>
        </w:rPr>
        <w:t>Without prejudice to other provisions of the Transactions Documents related to set-off, the Centralising Unit, acting on its behalf or on behalf of the Sellers, shall be entitled to set-off (i) any amount due and payable by the Purchaser to the Centralising Unit on its behalf or on behalf of the Sellers under the Transaction Documents and (ii) any amount due and payable by the Centralising Unit on its behalf or on behalf of the Sellers to the Purchaser under the Transaction Documents.</w:t>
      </w:r>
    </w:p>
    <w:p>
      <w:pPr>
        <w:spacing w:after="0" w:line="182" w:lineRule="exact"/>
        <w:rPr>
          <w:sz w:val="20"/>
          <w:szCs w:val="20"/>
          <w:color w:val="auto"/>
        </w:rPr>
      </w:pPr>
    </w:p>
    <w:p>
      <w:pPr>
        <w:ind w:left="502" w:hanging="502"/>
        <w:spacing w:after="0" w:line="367" w:lineRule="auto"/>
        <w:tabs>
          <w:tab w:leader="none" w:pos="491"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 any payments falling due on a day which is not a Business Day shall instead fall due on the following Business Day.</w:t>
      </w:r>
    </w:p>
    <w:p>
      <w:pPr>
        <w:spacing w:after="0" w:line="147" w:lineRule="exact"/>
        <w:rPr>
          <w:rFonts w:ascii="Times New Roman" w:cs="Times New Roman" w:eastAsia="Times New Roman" w:hAnsi="Times New Roman"/>
          <w:sz w:val="20"/>
          <w:szCs w:val="20"/>
          <w:color w:val="auto"/>
        </w:rPr>
      </w:pPr>
    </w:p>
    <w:p>
      <w:pPr>
        <w:jc w:val="both"/>
        <w:ind w:left="502" w:hanging="502"/>
        <w:spacing w:after="0" w:line="334" w:lineRule="auto"/>
        <w:tabs>
          <w:tab w:leader="none" w:pos="491"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acting, as the case may be, on its own behalf or on behalf of any Seller, shall give to its bank before 12:00 (noon) on the Business Day following each Calculation Date, an irrevocable instruction to transfer (</w:t>
      </w:r>
      <w:r>
        <w:rPr>
          <w:rFonts w:ascii="Times New Roman" w:cs="Times New Roman" w:eastAsia="Times New Roman" w:hAnsi="Times New Roman"/>
          <w:sz w:val="20"/>
          <w:szCs w:val="20"/>
          <w:i w:val="1"/>
          <w:iCs w:val="1"/>
          <w:color w:val="auto"/>
        </w:rPr>
        <w:t>ordre de virement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irrévocable</w:t>
      </w:r>
      <w:r>
        <w:rPr>
          <w:rFonts w:ascii="Times New Roman" w:cs="Times New Roman" w:eastAsia="Times New Roman" w:hAnsi="Times New Roman"/>
          <w:sz w:val="20"/>
          <w:szCs w:val="20"/>
          <w:color w:val="auto"/>
        </w:rPr>
        <w:t>), from the Centralising Unit's Account to the Purchaser's Account, any amount due to the Purchaser on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Settlement Date in accordance with the Transaction Documents, to be credited with immediately available funds, before 12:00 (noon), on the said Settlement Date.</w:t>
      </w:r>
    </w:p>
    <w:p>
      <w:pPr>
        <w:spacing w:after="0" w:line="74" w:lineRule="exact"/>
        <w:rPr>
          <w:sz w:val="20"/>
          <w:szCs w:val="20"/>
          <w:color w:val="auto"/>
        </w:rPr>
      </w:pPr>
    </w:p>
    <w:p>
      <w:pPr>
        <w:jc w:val="both"/>
        <w:ind w:left="462"/>
        <w:spacing w:after="0" w:line="333" w:lineRule="auto"/>
        <w:rPr>
          <w:sz w:val="20"/>
          <w:szCs w:val="20"/>
          <w:color w:val="auto"/>
        </w:rPr>
      </w:pPr>
      <w:r>
        <w:rPr>
          <w:rFonts w:ascii="Times New Roman" w:cs="Times New Roman" w:eastAsia="Times New Roman" w:hAnsi="Times New Roman"/>
          <w:sz w:val="20"/>
          <w:szCs w:val="20"/>
          <w:color w:val="auto"/>
        </w:rPr>
        <w:t>The Purchaser shall give to its bank one (1) Business Day before any Settlement Date, before 10:00 a.m., an irrevocable instruction to transfer (</w:t>
      </w:r>
      <w:r>
        <w:rPr>
          <w:rFonts w:ascii="Times New Roman" w:cs="Times New Roman" w:eastAsia="Times New Roman" w:hAnsi="Times New Roman"/>
          <w:sz w:val="20"/>
          <w:szCs w:val="20"/>
          <w:i w:val="1"/>
          <w:iCs w:val="1"/>
          <w:color w:val="auto"/>
        </w:rPr>
        <w:t>ordre de virement irrévocable</w:t>
      </w:r>
      <w:r>
        <w:rPr>
          <w:rFonts w:ascii="Times New Roman" w:cs="Times New Roman" w:eastAsia="Times New Roman" w:hAnsi="Times New Roman"/>
          <w:sz w:val="20"/>
          <w:szCs w:val="20"/>
          <w:color w:val="auto"/>
        </w:rPr>
        <w:t>), from the Purchaser's Account to the Centralising Unit's Account, any amount due, as the case may be, to the Centralising Unit on such Settlement Date, in accordance with the Transaction Documents, to be credited with immediately available funds, before 12:00 (noon), on the said Settlement Date.</w:t>
      </w:r>
    </w:p>
    <w:p>
      <w:pPr>
        <w:sectPr>
          <w:pgSz w:w="11900" w:h="16838" w:orient="portrait"/>
          <w:cols w:equalWidth="0" w:num="1">
            <w:col w:w="10722"/>
          </w:cols>
          <w:pgMar w:left="838" w:top="1440" w:right="339" w:bottom="1440" w:gutter="0" w:footer="0" w:header="0"/>
        </w:sectPr>
      </w:pPr>
    </w:p>
    <w:bookmarkStart w:id="199" w:name="page200"/>
    <w:bookmarkEnd w:id="199"/>
    <w:p>
      <w:pPr>
        <w:spacing w:after="0" w:line="203" w:lineRule="exact"/>
        <w:rPr>
          <w:sz w:val="20"/>
          <w:szCs w:val="20"/>
          <w:color w:val="auto"/>
        </w:rPr>
      </w:pPr>
    </w:p>
    <w:p>
      <w:pPr>
        <w:jc w:val="both"/>
        <w:ind w:left="502" w:hanging="502"/>
        <w:spacing w:after="0" w:line="334" w:lineRule="auto"/>
        <w:tabs>
          <w:tab w:leader="none" w:pos="491"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by the Centralising Unit acting, as the case may be, on its own behalf or on behalf of any Seller, in the fulfilment of its payment obligations under this Agreement shall automatically entitle the Purchaser, without having to give prior notice, to receive interest on any amounts payable and remaining unpaid (excluded), calculated from the date when such payment was due (included) until the date of actual payment, at a rate of EURIBOR 1 month + 2% per annum payable on the date of actual payment (excluded).</w:t>
      </w:r>
    </w:p>
    <w:p>
      <w:pPr>
        <w:spacing w:after="0" w:line="394"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CHAPTER IX</w:t>
      </w:r>
    </w:p>
    <w:p>
      <w:pPr>
        <w:spacing w:after="0" w:line="81"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19"/>
          <w:szCs w:val="19"/>
          <w:b w:val="1"/>
          <w:bCs w:val="1"/>
          <w:color w:val="auto"/>
        </w:rPr>
        <w:t>PURCHASE OF ONGOING PURCHASABLE RECEIVABLES AND REMAINING PURCHASABLE RECEIVABLES</w:t>
      </w:r>
    </w:p>
    <w:p>
      <w:pPr>
        <w:spacing w:after="0" w:line="362" w:lineRule="exact"/>
        <w:rPr>
          <w:sz w:val="20"/>
          <w:szCs w:val="20"/>
          <w:color w:val="auto"/>
        </w:rPr>
      </w:pPr>
    </w:p>
    <w:p>
      <w:pPr>
        <w:ind w:left="502" w:hanging="502"/>
        <w:spacing w:after="0" w:line="245" w:lineRule="auto"/>
        <w:tabs>
          <w:tab w:leader="none" w:pos="495"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IN RELATION TO ANY PURCHASE OF ONGOING PURCHASABLE RECEIVABLES AND REMAINING PURCHASABLE RECEIVABLES</w:t>
      </w:r>
    </w:p>
    <w:p>
      <w:pPr>
        <w:spacing w:after="0" w:line="205" w:lineRule="exact"/>
        <w:rPr>
          <w:sz w:val="20"/>
          <w:szCs w:val="20"/>
          <w:color w:val="auto"/>
        </w:rPr>
      </w:pPr>
    </w:p>
    <w:p>
      <w:pPr>
        <w:ind w:left="502" w:hanging="502"/>
        <w:spacing w:after="0" w:line="357" w:lineRule="auto"/>
        <w:tabs>
          <w:tab w:leader="none" w:pos="491"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 in relation to any purchase of Ongoing Purchasable Receivables and Remaining Purchasable Receivables</w:t>
      </w:r>
    </w:p>
    <w:p>
      <w:pPr>
        <w:spacing w:after="0" w:line="49" w:lineRule="exact"/>
        <w:rPr>
          <w:sz w:val="20"/>
          <w:szCs w:val="20"/>
          <w:color w:val="auto"/>
        </w:rPr>
      </w:pPr>
    </w:p>
    <w:p>
      <w:pPr>
        <w:jc w:val="both"/>
        <w:ind w:left="142"/>
        <w:spacing w:after="0" w:line="338" w:lineRule="auto"/>
        <w:rPr>
          <w:sz w:val="20"/>
          <w:szCs w:val="20"/>
          <w:color w:val="auto"/>
        </w:rPr>
      </w:pPr>
      <w:r>
        <w:rPr>
          <w:rFonts w:ascii="Times New Roman" w:cs="Times New Roman" w:eastAsia="Times New Roman" w:hAnsi="Times New Roman"/>
          <w:sz w:val="20"/>
          <w:szCs w:val="20"/>
          <w:color w:val="auto"/>
        </w:rPr>
        <w:t>The Purchaser shall not be obliged on any Funded Settlement Date during the Replenishment Period, to purchase from any Seller, Ongoing Purchasable Receivables and/or Remaining Purchasable Receivables unless each of the following conditions have been fulfilled on such Funded Settlement Date:</w:t>
      </w:r>
    </w:p>
    <w:p>
      <w:pPr>
        <w:spacing w:after="0" w:line="68" w:lineRule="exact"/>
        <w:rPr>
          <w:sz w:val="20"/>
          <w:szCs w:val="20"/>
          <w:color w:val="auto"/>
        </w:rPr>
      </w:pPr>
    </w:p>
    <w:p>
      <w:pPr>
        <w:ind w:left="1642" w:right="20" w:hanging="366"/>
        <w:spacing w:after="0" w:line="367" w:lineRule="auto"/>
        <w:tabs>
          <w:tab w:leader="none" w:pos="163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made by the Seller and the Centralising Unit referred to in Article 9 (</w:t>
      </w:r>
      <w:r>
        <w:rPr>
          <w:rFonts w:ascii="Times New Roman" w:cs="Times New Roman" w:eastAsia="Times New Roman" w:hAnsi="Times New Roman"/>
          <w:sz w:val="20"/>
          <w:szCs w:val="20"/>
          <w:i w:val="1"/>
          <w:iCs w:val="1"/>
          <w:color w:val="auto"/>
        </w:rPr>
        <w:t>Representations and Warranties</w:t>
      </w:r>
      <w:r>
        <w:rPr>
          <w:rFonts w:ascii="Times New Roman" w:cs="Times New Roman" w:eastAsia="Times New Roman" w:hAnsi="Times New Roman"/>
          <w:sz w:val="20"/>
          <w:szCs w:val="20"/>
          <w:color w:val="auto"/>
        </w:rPr>
        <w:t>) remain valid and accurate on such Funded Settlement Date;</w:t>
      </w:r>
    </w:p>
    <w:p>
      <w:pPr>
        <w:spacing w:after="0" w:line="39" w:lineRule="exact"/>
        <w:rPr>
          <w:rFonts w:ascii="Times New Roman" w:cs="Times New Roman" w:eastAsia="Times New Roman" w:hAnsi="Times New Roman"/>
          <w:sz w:val="20"/>
          <w:szCs w:val="20"/>
          <w:color w:val="auto"/>
        </w:rPr>
      </w:pPr>
    </w:p>
    <w:p>
      <w:pPr>
        <w:jc w:val="both"/>
        <w:ind w:left="1642" w:hanging="366"/>
        <w:spacing w:after="0" w:line="333" w:lineRule="auto"/>
        <w:tabs>
          <w:tab w:leader="none" w:pos="163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has transmitted the Assessment Report to the Agent and delivered the List of Purchasable Receivables to the Purchaser on the Information Date immediately preceding such Funded Settlement Date and on the Information Date immediately preceding the precedent Intermediary Settlement Date (if such Information Date and Intermediary Settlement Date fall during a Bi-monthly Management Period);</w:t>
      </w:r>
    </w:p>
    <w:p>
      <w:pPr>
        <w:spacing w:after="0" w:line="73" w:lineRule="exact"/>
        <w:rPr>
          <w:rFonts w:ascii="Times New Roman" w:cs="Times New Roman" w:eastAsia="Times New Roman" w:hAnsi="Times New Roman"/>
          <w:sz w:val="20"/>
          <w:szCs w:val="20"/>
          <w:color w:val="auto"/>
        </w:rPr>
      </w:pPr>
    </w:p>
    <w:p>
      <w:pPr>
        <w:jc w:val="both"/>
        <w:ind w:left="1642" w:hanging="366"/>
        <w:spacing w:after="0" w:line="345" w:lineRule="auto"/>
        <w:tabs>
          <w:tab w:leader="none" w:pos="163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Subordinated Deposit and any Increase in the Subordinated Deposit applicable on such Funded Settlement Date and on the preceding Intermediary Settlement Date (if such Intermediary Settlement Date falls during a Bi-monthly Management Period), has been recorded on the debit balance of the Current Account;</w:t>
      </w:r>
    </w:p>
    <w:p>
      <w:pPr>
        <w:spacing w:after="0" w:line="61"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to be made and the Transfer Deeds to be delivered pursuant hereto do not violate any law or regulation in force on such Funded Settlement Date;</w:t>
      </w:r>
    </w:p>
    <w:p>
      <w:pPr>
        <w:sectPr>
          <w:pgSz w:w="11900" w:h="16838" w:orient="portrait"/>
          <w:cols w:equalWidth="0" w:num="1">
            <w:col w:w="10722"/>
          </w:cols>
          <w:pgMar w:left="838" w:top="1440" w:right="339" w:bottom="1440" w:gutter="0" w:footer="0" w:header="0"/>
        </w:sectPr>
      </w:pPr>
    </w:p>
    <w:bookmarkStart w:id="200" w:name="page201"/>
    <w:bookmarkEnd w:id="200"/>
    <w:p>
      <w:pPr>
        <w:spacing w:after="0" w:line="95" w:lineRule="exact"/>
        <w:rPr>
          <w:sz w:val="20"/>
          <w:szCs w:val="20"/>
          <w:color w:val="auto"/>
        </w:rPr>
      </w:pPr>
    </w:p>
    <w:p>
      <w:pPr>
        <w:ind w:left="1622" w:hanging="346"/>
        <w:spacing w:after="0"/>
        <w:tabs>
          <w:tab w:leader="none" w:pos="1622"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Funded Settlement Date is not later than the Commitment Expiry Date;</w:t>
      </w:r>
    </w:p>
    <w:p>
      <w:pPr>
        <w:spacing w:after="0" w:line="188"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has received to its satisfaction, on or before such Funded Settlement Date, a Solvency Certificate in relation to the Centralising Unit and in relation to each of the Sellers not older than six (6) calendar months;</w:t>
      </w:r>
    </w:p>
    <w:p>
      <w:pPr>
        <w:spacing w:after="0" w:line="65"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Early Amortisation Event has occurred on such date;</w:t>
      </w:r>
    </w:p>
    <w:p>
      <w:pPr>
        <w:spacing w:after="0" w:line="188"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selection of the Remaining Purchasable Receivables and the Refinanced Remaining Purchasable Receivables, in each case on such Funded Settlement Date, has been carried out in accordance with the selection procedure set forth in Article 10.3.1; and</w:t>
      </w:r>
    </w:p>
    <w:p>
      <w:pPr>
        <w:spacing w:after="0" w:line="67"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acting on behalf of the Sellers, has transferred the Adjusted Collections to the Purchaser, to the extent required by Article 21 (</w:t>
      </w:r>
      <w:r>
        <w:rPr>
          <w:rFonts w:ascii="Times New Roman" w:cs="Times New Roman" w:eastAsia="Times New Roman" w:hAnsi="Times New Roman"/>
          <w:sz w:val="20"/>
          <w:szCs w:val="20"/>
          <w:i w:val="1"/>
          <w:iCs w:val="1"/>
          <w:color w:val="auto"/>
        </w:rPr>
        <w:t>Application of payments and payments of collections</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502" w:hanging="502"/>
        <w:spacing w:after="0" w:line="357" w:lineRule="auto"/>
        <w:tabs>
          <w:tab w:leader="none" w:pos="491" w:val="left"/>
        </w:tabs>
        <w:numPr>
          <w:ilvl w:val="0"/>
          <w:numId w:val="2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subsequent to any Purchase of Ongoing Purchasable Receivables and Remaining Purchasable Receivables on a Funded Settlement Date during the Replenishment Period</w:t>
      </w:r>
    </w:p>
    <w:p>
      <w:pPr>
        <w:spacing w:after="0" w:line="49"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In the event that any of the following conditions have not been fulfilled on any Funded Settlement Date during the Replenishment Period, such a failure shall constitute an automatic and immediate termination (</w:t>
      </w:r>
      <w:r>
        <w:rPr>
          <w:rFonts w:ascii="Times New Roman" w:cs="Times New Roman" w:eastAsia="Times New Roman" w:hAnsi="Times New Roman"/>
          <w:sz w:val="20"/>
          <w:szCs w:val="20"/>
          <w:i w:val="1"/>
          <w:iCs w:val="1"/>
          <w:color w:val="auto"/>
        </w:rPr>
        <w:t>condition résolutoire de plein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droit</w:t>
      </w:r>
      <w:r>
        <w:rPr>
          <w:rFonts w:ascii="Times New Roman" w:cs="Times New Roman" w:eastAsia="Times New Roman" w:hAnsi="Times New Roman"/>
          <w:sz w:val="20"/>
          <w:szCs w:val="20"/>
          <w:color w:val="auto"/>
        </w:rPr>
        <w:t>) of the assignment by the Sellers to the Purchaser of the Sold Receivables sold on such Funded Settlement Date:</w:t>
      </w:r>
    </w:p>
    <w:p>
      <w:pPr>
        <w:spacing w:after="0" w:line="68" w:lineRule="exact"/>
        <w:rPr>
          <w:sz w:val="20"/>
          <w:szCs w:val="20"/>
          <w:color w:val="auto"/>
        </w:rPr>
      </w:pPr>
    </w:p>
    <w:p>
      <w:pPr>
        <w:ind w:left="1642" w:hanging="366"/>
        <w:spacing w:after="0" w:line="367" w:lineRule="auto"/>
        <w:tabs>
          <w:tab w:leader="none" w:pos="163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has not credited the Purchaser's Account for an amount equal to any debit balance of the Current Account in accordance with the provisions of Article 5.3.3 on such date before 12:00 (noon);</w:t>
      </w:r>
    </w:p>
    <w:p>
      <w:pPr>
        <w:spacing w:after="0" w:line="39" w:lineRule="exact"/>
        <w:rPr>
          <w:rFonts w:ascii="Times New Roman" w:cs="Times New Roman" w:eastAsia="Times New Roman" w:hAnsi="Times New Roman"/>
          <w:sz w:val="20"/>
          <w:szCs w:val="20"/>
          <w:color w:val="auto"/>
        </w:rPr>
      </w:pPr>
    </w:p>
    <w:p>
      <w:pPr>
        <w:ind w:left="1642" w:hanging="366"/>
        <w:spacing w:after="0" w:line="353" w:lineRule="auto"/>
        <w:tabs>
          <w:tab w:leader="none" w:pos="163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Depositor has not duly made or increased the Senior Deposit in respect of its commitment to effect a Senior Deposit in accordance with and subject to the terms of the Master Senior Deposit Agreement;</w:t>
      </w:r>
    </w:p>
    <w:p>
      <w:pPr>
        <w:spacing w:after="0" w:line="52" w:lineRule="exact"/>
        <w:rPr>
          <w:rFonts w:ascii="Times New Roman" w:cs="Times New Roman" w:eastAsia="Times New Roman" w:hAnsi="Times New Roman"/>
          <w:sz w:val="20"/>
          <w:szCs w:val="20"/>
          <w:color w:val="auto"/>
        </w:rPr>
      </w:pPr>
    </w:p>
    <w:p>
      <w:pPr>
        <w:jc w:val="both"/>
        <w:ind w:left="1642" w:hanging="366"/>
        <w:spacing w:after="0" w:line="345" w:lineRule="auto"/>
        <w:tabs>
          <w:tab w:leader="none" w:pos="163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has not received from the Italian Issuer any Refinanced Received Net Amount to be paid by the Italian Issuer to the Purchaser on such Funded Settlement Date, in accordance with the terms and conditions of the Italian Subscription Agreement.</w:t>
      </w:r>
    </w:p>
    <w:p>
      <w:pPr>
        <w:spacing w:after="0" w:line="219" w:lineRule="exact"/>
        <w:rPr>
          <w:rFonts w:ascii="Times New Roman" w:cs="Times New Roman" w:eastAsia="Times New Roman" w:hAnsi="Times New Roman"/>
          <w:sz w:val="20"/>
          <w:szCs w:val="20"/>
          <w:color w:val="auto"/>
        </w:rPr>
      </w:pPr>
    </w:p>
    <w:p>
      <w:pPr>
        <w:ind w:left="502" w:hanging="502"/>
        <w:spacing w:after="0" w:line="235" w:lineRule="auto"/>
        <w:tabs>
          <w:tab w:leader="none" w:pos="495"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CONFORMITY WARRANTIES FOR ONGOING PURCHASABLE RECEIVABLES AND REMAINING PURCHASABLE RECEIVABLES</w:t>
      </w:r>
    </w:p>
    <w:p>
      <w:pPr>
        <w:spacing w:after="0" w:line="215" w:lineRule="exact"/>
        <w:rPr>
          <w:sz w:val="20"/>
          <w:szCs w:val="20"/>
          <w:color w:val="auto"/>
        </w:rPr>
      </w:pPr>
    </w:p>
    <w:p>
      <w:pPr>
        <w:ind w:left="502" w:hanging="502"/>
        <w:spacing w:after="0"/>
        <w:tabs>
          <w:tab w:leader="none" w:pos="502"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represents and warrants to the Purchaser that:</w:t>
      </w:r>
    </w:p>
    <w:p>
      <w:pPr>
        <w:sectPr>
          <w:pgSz w:w="11900" w:h="16838" w:orient="portrait"/>
          <w:cols w:equalWidth="0" w:num="1">
            <w:col w:w="10722"/>
          </w:cols>
          <w:pgMar w:left="838" w:top="1440" w:right="339" w:bottom="1440" w:gutter="0" w:footer="0" w:header="0"/>
        </w:sectPr>
      </w:pPr>
    </w:p>
    <w:bookmarkStart w:id="201" w:name="page202"/>
    <w:bookmarkEnd w:id="201"/>
    <w:p>
      <w:pPr>
        <w:spacing w:after="0" w:line="95" w:lineRule="exact"/>
        <w:rPr>
          <w:sz w:val="20"/>
          <w:szCs w:val="20"/>
          <w:color w:val="auto"/>
        </w:rPr>
      </w:pPr>
    </w:p>
    <w:p>
      <w:pPr>
        <w:jc w:val="both"/>
        <w:ind w:left="1520" w:hanging="366"/>
        <w:spacing w:after="0" w:line="330" w:lineRule="auto"/>
        <w:tabs>
          <w:tab w:leader="none" w:pos="151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Assessment Date preceding the Funded Settlement Date on which a Remaining Purchasable Receivable shall be sold (the "</w:t>
      </w:r>
      <w:r>
        <w:rPr>
          <w:rFonts w:ascii="Times New Roman" w:cs="Times New Roman" w:eastAsia="Times New Roman" w:hAnsi="Times New Roman"/>
          <w:sz w:val="20"/>
          <w:szCs w:val="20"/>
          <w:b w:val="1"/>
          <w:bCs w:val="1"/>
          <w:color w:val="auto"/>
        </w:rPr>
        <w:t>Reference Funded Settlement Date</w:t>
      </w:r>
      <w:r>
        <w:rPr>
          <w:rFonts w:ascii="Times New Roman" w:cs="Times New Roman" w:eastAsia="Times New Roman" w:hAnsi="Times New Roman"/>
          <w:sz w:val="20"/>
          <w:szCs w:val="20"/>
          <w:color w:val="auto"/>
        </w:rPr>
        <w:t>"), such Remaining Purchasable Receivable (other than a Net Miscellaneous Receivable or with respect to the Initial Settlement Date a Defaulted Receivable) shall exist, and, to its knowledge, except as specifically identified on the Assessment Report preceding such Reference Funded Settlement Date (it being provided that even if such Remaining Purchasable Receivables are so identified, this shall be without prejudice to the rights of the Purchaser to exercise any recourse against the relevant Seller as provided for under this Agreement and, in particular, shall not prevent the Purchaser from exercising any recourse in connection with Article 26) shall conform with the description as it appears on the Transfer Deed and the electronic support relating to such Transfer Deed and with the applicable characteristics specified in SCHEDULE 11; and</w:t>
      </w:r>
    </w:p>
    <w:p>
      <w:pPr>
        <w:spacing w:after="0" w:line="77" w:lineRule="exact"/>
        <w:rPr>
          <w:rFonts w:ascii="Times New Roman" w:cs="Times New Roman" w:eastAsia="Times New Roman" w:hAnsi="Times New Roman"/>
          <w:sz w:val="20"/>
          <w:szCs w:val="20"/>
          <w:color w:val="auto"/>
        </w:rPr>
      </w:pPr>
    </w:p>
    <w:p>
      <w:pPr>
        <w:jc w:val="both"/>
        <w:ind w:left="1520" w:hanging="366"/>
        <w:spacing w:after="0" w:line="329" w:lineRule="auto"/>
        <w:tabs>
          <w:tab w:leader="none" w:pos="151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day on which title to an Ongoing Purchasable Receivable shall pass and shall be transferred to the Purchaser in accordance with any Receivables Purchase Agreement, such Ongoing Purchasable Receivable shall, to its knowledge and except as specifically identified on the last Assessment Report drawn up on the Information Date following such Assessment Date (it being provided that even if such Ongoing Purchasable Receivables are so identified, this shall be without prejudice to the rights of the Purchaser to exercise any recourse against the relevant Seller as provided for under this Agreement and, in particular, shall not prevent the Purchaser from exercising any recourse in connection with Article 26), shall conform with the description as it appears on the Transfer Deed and, when originated, with the applicable characteristics specified for Remaining Purchasable Receivables in SCHEDULE 11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Seller and the Purchaser agree that the Conformity Warranties set out in this Article:</w:t>
      </w:r>
    </w:p>
    <w:p>
      <w:pPr>
        <w:spacing w:after="0" w:line="202" w:lineRule="exact"/>
        <w:rPr>
          <w:sz w:val="20"/>
          <w:szCs w:val="20"/>
          <w:color w:val="auto"/>
        </w:rPr>
      </w:pPr>
    </w:p>
    <w:p>
      <w:pPr>
        <w:jc w:val="both"/>
        <w:ind w:left="780" w:hanging="765"/>
        <w:spacing w:after="0" w:line="353" w:lineRule="auto"/>
        <w:rPr>
          <w:sz w:val="20"/>
          <w:szCs w:val="20"/>
          <w:color w:val="auto"/>
        </w:rPr>
      </w:pPr>
      <w:r>
        <w:rPr>
          <w:rFonts w:ascii="Times New Roman" w:cs="Times New Roman" w:eastAsia="Times New Roman" w:hAnsi="Times New Roman"/>
          <w:sz w:val="20"/>
          <w:szCs w:val="20"/>
          <w:color w:val="auto"/>
        </w:rPr>
        <w:t>shall be given by each Seller to the Purchaser and shall apply to all of its Ongoing Purchasable Receivables and Remaining Purchasable Receivables designated on any Transfer Deed and the related support;</w:t>
      </w:r>
    </w:p>
    <w:p>
      <w:pPr>
        <w:spacing w:after="0" w:line="52" w:lineRule="exact"/>
        <w:rPr>
          <w:sz w:val="20"/>
          <w:szCs w:val="20"/>
          <w:color w:val="auto"/>
        </w:rPr>
      </w:pPr>
    </w:p>
    <w:p>
      <w:pPr>
        <w:jc w:val="both"/>
        <w:ind w:left="780" w:hanging="765"/>
        <w:spacing w:after="0" w:line="353" w:lineRule="auto"/>
        <w:rPr>
          <w:sz w:val="20"/>
          <w:szCs w:val="20"/>
          <w:color w:val="auto"/>
        </w:rPr>
      </w:pPr>
      <w:r>
        <w:rPr>
          <w:rFonts w:ascii="Times New Roman" w:cs="Times New Roman" w:eastAsia="Times New Roman" w:hAnsi="Times New Roman"/>
          <w:sz w:val="20"/>
          <w:szCs w:val="20"/>
          <w:color w:val="auto"/>
        </w:rPr>
        <w:t>shall take effect upon the mere transfer by each Seller or the Centralising Unit to the Purchaser of a Transfer Deed and the related supports, in accordance with and subject to the relevant Receivables Purchase Agreement;</w:t>
      </w:r>
    </w:p>
    <w:p>
      <w:pPr>
        <w:spacing w:after="0" w:line="52" w:lineRule="exact"/>
        <w:rPr>
          <w:sz w:val="20"/>
          <w:szCs w:val="20"/>
          <w:color w:val="auto"/>
        </w:rPr>
      </w:pPr>
    </w:p>
    <w:p>
      <w:pPr>
        <w:jc w:val="both"/>
        <w:ind w:left="780" w:hanging="765"/>
        <w:spacing w:after="0" w:line="345" w:lineRule="auto"/>
        <w:rPr>
          <w:sz w:val="20"/>
          <w:szCs w:val="20"/>
          <w:color w:val="auto"/>
        </w:rPr>
      </w:pPr>
      <w:r>
        <w:rPr>
          <w:rFonts w:ascii="Times New Roman" w:cs="Times New Roman" w:eastAsia="Times New Roman" w:hAnsi="Times New Roman"/>
          <w:sz w:val="20"/>
          <w:szCs w:val="20"/>
          <w:color w:val="auto"/>
        </w:rPr>
        <w:t>shall be valid (x) for any Ongoing Purchasable Receivable on the Information Date following the date on which title to such Ongoing Purchasable Receivable shall pass to the Purchaser in accordance with any Receivables Purchase Agreement and (y) for any</w:t>
      </w:r>
    </w:p>
    <w:p>
      <w:pPr>
        <w:sectPr>
          <w:pgSz w:w="11900" w:h="16838" w:orient="portrait"/>
          <w:cols w:equalWidth="0" w:num="1">
            <w:col w:w="10600"/>
          </w:cols>
          <w:pgMar w:left="960" w:top="1440" w:right="339" w:bottom="1440" w:gutter="0" w:footer="0" w:header="0"/>
        </w:sectPr>
      </w:pPr>
    </w:p>
    <w:bookmarkStart w:id="202" w:name="page203"/>
    <w:bookmarkEnd w:id="202"/>
    <w:p>
      <w:pPr>
        <w:spacing w:after="0" w:line="95" w:lineRule="exact"/>
        <w:rPr>
          <w:sz w:val="20"/>
          <w:szCs w:val="20"/>
          <w:color w:val="auto"/>
        </w:rPr>
      </w:pPr>
    </w:p>
    <w:p>
      <w:pPr>
        <w:ind w:left="902" w:right="20"/>
        <w:spacing w:after="0" w:line="353" w:lineRule="auto"/>
        <w:rPr>
          <w:sz w:val="20"/>
          <w:szCs w:val="20"/>
          <w:color w:val="auto"/>
        </w:rPr>
      </w:pPr>
      <w:r>
        <w:rPr>
          <w:rFonts w:ascii="Times New Roman" w:cs="Times New Roman" w:eastAsia="Times New Roman" w:hAnsi="Times New Roman"/>
          <w:sz w:val="20"/>
          <w:szCs w:val="20"/>
          <w:color w:val="auto"/>
        </w:rPr>
        <w:t>Remaining Purchasable Receivable on the Information Date preceding the Funded Settlement Date on which such Remaining Purchasable Receivable shall be sold;</w:t>
      </w:r>
    </w:p>
    <w:p>
      <w:pPr>
        <w:spacing w:after="0" w:line="52" w:lineRule="exact"/>
        <w:rPr>
          <w:sz w:val="20"/>
          <w:szCs w:val="20"/>
          <w:color w:val="auto"/>
        </w:rPr>
      </w:pPr>
    </w:p>
    <w:p>
      <w:pPr>
        <w:ind w:left="122"/>
        <w:spacing w:after="0"/>
        <w:rPr>
          <w:sz w:val="20"/>
          <w:szCs w:val="20"/>
          <w:color w:val="auto"/>
        </w:rPr>
      </w:pPr>
      <w:r>
        <w:rPr>
          <w:rFonts w:ascii="Times New Roman" w:cs="Times New Roman" w:eastAsia="Times New Roman" w:hAnsi="Times New Roman"/>
          <w:sz w:val="20"/>
          <w:szCs w:val="20"/>
          <w:color w:val="auto"/>
        </w:rPr>
        <w:t>shall remain in force until the Purchaser's Funding has been repaid in full.</w:t>
      </w:r>
    </w:p>
    <w:p>
      <w:pPr>
        <w:spacing w:after="0" w:line="310" w:lineRule="exact"/>
        <w:rPr>
          <w:sz w:val="20"/>
          <w:szCs w:val="20"/>
          <w:color w:val="auto"/>
        </w:rPr>
      </w:pPr>
    </w:p>
    <w:p>
      <w:pPr>
        <w:jc w:val="both"/>
        <w:ind w:left="502" w:hanging="502"/>
        <w:spacing w:after="0" w:line="330" w:lineRule="auto"/>
        <w:tabs>
          <w:tab w:leader="none" w:pos="491"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notwithstanding any other provision of the Transaction Documents, no term of this Agreement, and more generally of any other Transaction Document, shall oblige any Seller to sell or assign to the Purchaser any receivable or contract providing for any prohibition or restriction in respect of the sale or assignment of such receivable or contract to the Purchaser (to the extent such prohibition or restriction has not been waived or otherwise amended in order to permit such sale or assignment) it being understood that pursuant to § 354a subsection 1 of the German Commercial Code (</w:t>
      </w:r>
      <w:r>
        <w:rPr>
          <w:rFonts w:ascii="Times New Roman" w:cs="Times New Roman" w:eastAsia="Times New Roman" w:hAnsi="Times New Roman"/>
          <w:sz w:val="20"/>
          <w:szCs w:val="20"/>
          <w:i w:val="1"/>
          <w:iCs w:val="1"/>
          <w:color w:val="auto"/>
        </w:rPr>
        <w:t>Handelsgesetzbuch</w:t>
      </w:r>
      <w:r>
        <w:rPr>
          <w:rFonts w:ascii="Times New Roman" w:cs="Times New Roman" w:eastAsia="Times New Roman" w:hAnsi="Times New Roman"/>
          <w:sz w:val="20"/>
          <w:szCs w:val="20"/>
          <w:color w:val="auto"/>
        </w:rPr>
        <w:t>) the assignment of a German law governed receivable arising from a mutual commercial transaction (</w:t>
      </w:r>
      <w:r>
        <w:rPr>
          <w:rFonts w:ascii="Times New Roman" w:cs="Times New Roman" w:eastAsia="Times New Roman" w:hAnsi="Times New Roman"/>
          <w:sz w:val="20"/>
          <w:szCs w:val="20"/>
          <w:i w:val="1"/>
          <w:iCs w:val="1"/>
          <w:color w:val="auto"/>
        </w:rPr>
        <w:t>beiderseitiges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Handelsgeschäft</w:t>
      </w:r>
      <w:r>
        <w:rPr>
          <w:rFonts w:ascii="Times New Roman" w:cs="Times New Roman" w:eastAsia="Times New Roman" w:hAnsi="Times New Roman"/>
          <w:sz w:val="20"/>
          <w:szCs w:val="20"/>
          <w:color w:val="auto"/>
        </w:rPr>
        <w:t>) will be valid notwithstanding any contractual prohibition to assign said receivables pursuant to § 399 German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left="502" w:hanging="502"/>
        <w:spacing w:after="0" w:line="245" w:lineRule="auto"/>
        <w:tabs>
          <w:tab w:leader="none" w:pos="495"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IDENTIFICATION OF THE CONTRACTUAL DOCUMENTATION FOR THE SOLD RECEIVABLES - ACCESS TO DOCUMENTS</w:t>
      </w:r>
    </w:p>
    <w:p>
      <w:pPr>
        <w:spacing w:after="0" w:line="88" w:lineRule="exact"/>
        <w:rPr>
          <w:sz w:val="20"/>
          <w:szCs w:val="20"/>
          <w:color w:val="auto"/>
        </w:rPr>
      </w:pPr>
    </w:p>
    <w:p>
      <w:pPr>
        <w:jc w:val="both"/>
        <w:ind w:left="142"/>
        <w:spacing w:after="0" w:line="330" w:lineRule="auto"/>
        <w:rPr>
          <w:sz w:val="20"/>
          <w:szCs w:val="20"/>
          <w:color w:val="auto"/>
        </w:rPr>
      </w:pPr>
      <w:r>
        <w:rPr>
          <w:rFonts w:ascii="Times New Roman" w:cs="Times New Roman" w:eastAsia="Times New Roman" w:hAnsi="Times New Roman"/>
          <w:sz w:val="20"/>
          <w:szCs w:val="20"/>
          <w:color w:val="auto"/>
        </w:rPr>
        <w:t>The Parties irrevocably agree that each purchase of Sold Receivables carried out pursuant to this Agreement and the relevant Receivables Purchase Agreement shall entitle the Purchaser or any other agent appointed in a discretionary way by the same, solely in order to protect and/or to enforce its right in connection with the Securitisation Transaction, to access the original copies of the contractual documentation or the computer or paper information underlying the Sold Receivables and, the support listing the Sold Receivables and to make duplicate copies of such documents; provided that the Purchaser or its agent shall have the right to obtain the original copies of such documents to the extent required to enforce their rights under the Transaction Documents and, in respect of the Protected Debtors, subject to the provisions of the Data Escrow Agreement and the Data Protection Laws (as defined in SCHEDULE 19).</w:t>
      </w:r>
    </w:p>
    <w:p>
      <w:pPr>
        <w:spacing w:after="0" w:line="89" w:lineRule="exact"/>
        <w:rPr>
          <w:sz w:val="20"/>
          <w:szCs w:val="20"/>
          <w:color w:val="auto"/>
        </w:rPr>
      </w:pPr>
    </w:p>
    <w:p>
      <w:pPr>
        <w:jc w:val="both"/>
        <w:ind w:left="142"/>
        <w:spacing w:after="0" w:line="331" w:lineRule="auto"/>
        <w:rPr>
          <w:sz w:val="20"/>
          <w:szCs w:val="20"/>
          <w:color w:val="auto"/>
        </w:rPr>
      </w:pPr>
      <w:r>
        <w:rPr>
          <w:rFonts w:ascii="Times New Roman" w:cs="Times New Roman" w:eastAsia="Times New Roman" w:hAnsi="Times New Roman"/>
          <w:sz w:val="20"/>
          <w:szCs w:val="20"/>
          <w:color w:val="auto"/>
        </w:rPr>
        <w:t>Each Seller irrevocably agrees to allow the Purchaser or any other person appointed by it unrestricted access to the said documents provided that (i) such Seller has been given two (2) Business Days prior notice thereof, (ii) the Purchaser or any other person, whom the Purchaser appoints undertakes not to disclose any confidential information except where permitted in the circumstances provided for by Article 29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and (iii) in respect of the Protected Debtors, subject to the provisions of the Data Escrow Agreement and the Data Protection Laws (as defined in SCHEDULE 19).</w:t>
      </w:r>
    </w:p>
    <w:p>
      <w:pPr>
        <w:spacing w:after="0" w:line="88" w:lineRule="exact"/>
        <w:rPr>
          <w:sz w:val="20"/>
          <w:szCs w:val="20"/>
          <w:color w:val="auto"/>
        </w:rPr>
      </w:pPr>
    </w:p>
    <w:p>
      <w:pPr>
        <w:jc w:val="both"/>
        <w:ind w:left="142"/>
        <w:spacing w:after="0" w:line="333" w:lineRule="auto"/>
        <w:rPr>
          <w:sz w:val="20"/>
          <w:szCs w:val="20"/>
          <w:color w:val="auto"/>
        </w:rPr>
      </w:pPr>
      <w:r>
        <w:rPr>
          <w:rFonts w:ascii="Times New Roman" w:cs="Times New Roman" w:eastAsia="Times New Roman" w:hAnsi="Times New Roman"/>
          <w:sz w:val="20"/>
          <w:szCs w:val="20"/>
          <w:color w:val="auto"/>
        </w:rPr>
        <w:t>The Purchaser or any other person, whom the Purchaser appoints, shall in no way be obliged to reimburse the Centralising Unit or the Sellers, for any expense incurred by the Centralising Unit or the Sellers when allowing access to use the relevant documents, nor to compensate the Centralising Unit or the Sellers for any loss which such access or use might cause, other than any loss resulting from the gross negligence (</w:t>
      </w:r>
      <w:r>
        <w:rPr>
          <w:rFonts w:ascii="Times New Roman" w:cs="Times New Roman" w:eastAsia="Times New Roman" w:hAnsi="Times New Roman"/>
          <w:sz w:val="20"/>
          <w:szCs w:val="20"/>
          <w:i w:val="1"/>
          <w:iCs w:val="1"/>
          <w:color w:val="auto"/>
        </w:rPr>
        <w:t>faute lourde)</w:t>
      </w:r>
      <w:r>
        <w:rPr>
          <w:rFonts w:ascii="Times New Roman" w:cs="Times New Roman" w:eastAsia="Times New Roman" w:hAnsi="Times New Roman"/>
          <w:sz w:val="20"/>
          <w:szCs w:val="20"/>
          <w:color w:val="auto"/>
        </w:rPr>
        <w:t xml:space="preserve"> or willfull misconduct (</w:t>
      </w:r>
      <w:r>
        <w:rPr>
          <w:rFonts w:ascii="Times New Roman" w:cs="Times New Roman" w:eastAsia="Times New Roman" w:hAnsi="Times New Roman"/>
          <w:sz w:val="20"/>
          <w:szCs w:val="20"/>
          <w:i w:val="1"/>
          <w:iCs w:val="1"/>
          <w:color w:val="auto"/>
        </w:rPr>
        <w:t>dol</w:t>
      </w:r>
      <w:r>
        <w:rPr>
          <w:rFonts w:ascii="Times New Roman" w:cs="Times New Roman" w:eastAsia="Times New Roman" w:hAnsi="Times New Roman"/>
          <w:sz w:val="20"/>
          <w:szCs w:val="20"/>
          <w:color w:val="auto"/>
        </w:rPr>
        <w:t>) of the</w:t>
      </w:r>
    </w:p>
    <w:p>
      <w:pPr>
        <w:sectPr>
          <w:pgSz w:w="11900" w:h="16838" w:orient="portrait"/>
          <w:cols w:equalWidth="0" w:num="1">
            <w:col w:w="10722"/>
          </w:cols>
          <w:pgMar w:left="838" w:top="1440" w:right="339" w:bottom="1440" w:gutter="0" w:footer="0" w:header="0"/>
        </w:sectPr>
      </w:pPr>
    </w:p>
    <w:bookmarkStart w:id="203" w:name="page204"/>
    <w:bookmarkEnd w:id="203"/>
    <w:p>
      <w:pPr>
        <w:spacing w:after="0" w:line="95"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Purchaser or such other person or the breach by the Purchaser of its material obligations under the Transaction Documents.</w:t>
      </w:r>
    </w:p>
    <w:p>
      <w:pPr>
        <w:spacing w:after="0" w:line="200" w:lineRule="exact"/>
        <w:rPr>
          <w:sz w:val="20"/>
          <w:szCs w:val="20"/>
          <w:color w:val="auto"/>
        </w:rPr>
      </w:pPr>
    </w:p>
    <w:p>
      <w:pPr>
        <w:spacing w:after="0" w:line="309"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X</w:t>
      </w:r>
    </w:p>
    <w:p>
      <w:pPr>
        <w:spacing w:after="0" w:line="81"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COLLECTION OF SOLD RECEIVABLES</w:t>
      </w:r>
    </w:p>
    <w:p>
      <w:pPr>
        <w:spacing w:after="0" w:line="364" w:lineRule="exact"/>
        <w:rPr>
          <w:sz w:val="20"/>
          <w:szCs w:val="20"/>
          <w:color w:val="auto"/>
        </w:rPr>
      </w:pPr>
    </w:p>
    <w:p>
      <w:pPr>
        <w:ind w:left="502" w:hanging="502"/>
        <w:spacing w:after="0"/>
        <w:tabs>
          <w:tab w:leader="none" w:pos="502"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COLLECTION OF SOLD RECEIVABLES</w:t>
      </w:r>
    </w:p>
    <w:p>
      <w:pPr>
        <w:spacing w:after="0" w:line="121" w:lineRule="exact"/>
        <w:rPr>
          <w:sz w:val="20"/>
          <w:szCs w:val="20"/>
          <w:color w:val="auto"/>
        </w:rPr>
      </w:pPr>
    </w:p>
    <w:p>
      <w:pPr>
        <w:ind w:left="502" w:hanging="502"/>
        <w:spacing w:after="0"/>
        <w:tabs>
          <w:tab w:leader="none" w:pos="502"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 Collection Mandate</w:t>
      </w:r>
    </w:p>
    <w:p>
      <w:pPr>
        <w:spacing w:after="0" w:line="193" w:lineRule="exact"/>
        <w:rPr>
          <w:sz w:val="20"/>
          <w:szCs w:val="20"/>
          <w:color w:val="auto"/>
        </w:rPr>
      </w:pPr>
    </w:p>
    <w:p>
      <w:pPr>
        <w:jc w:val="both"/>
        <w:ind w:left="142"/>
        <w:spacing w:after="0" w:line="338" w:lineRule="auto"/>
        <w:rPr>
          <w:sz w:val="20"/>
          <w:szCs w:val="20"/>
          <w:color w:val="auto"/>
        </w:rPr>
      </w:pPr>
      <w:r>
        <w:rPr>
          <w:rFonts w:ascii="Times New Roman" w:cs="Times New Roman" w:eastAsia="Times New Roman" w:hAnsi="Times New Roman"/>
          <w:sz w:val="20"/>
          <w:szCs w:val="20"/>
          <w:color w:val="auto"/>
        </w:rPr>
        <w:t>The Purchaser hereby appoints each Seller, who accepts, to act as the collection agent for the purposes of the collection of Sold Receivables under a Collection Mandate in accordance with the terms and subject to the conditions of this Agreement and the relevant Receivables Purchase Agreement. Each Seller hereby irrevocably renounces resigning from its role as collection agent for the duration of this Agreement.</w:t>
      </w:r>
    </w:p>
    <w:p>
      <w:pPr>
        <w:spacing w:after="0" w:line="68" w:lineRule="exact"/>
        <w:rPr>
          <w:sz w:val="20"/>
          <w:szCs w:val="20"/>
          <w:color w:val="auto"/>
        </w:rPr>
      </w:pPr>
    </w:p>
    <w:p>
      <w:pPr>
        <w:jc w:val="both"/>
        <w:ind w:left="142" w:right="20"/>
        <w:spacing w:after="0" w:line="353" w:lineRule="auto"/>
        <w:rPr>
          <w:sz w:val="20"/>
          <w:szCs w:val="20"/>
          <w:color w:val="auto"/>
        </w:rPr>
      </w:pPr>
      <w:r>
        <w:rPr>
          <w:rFonts w:ascii="Times New Roman" w:cs="Times New Roman" w:eastAsia="Times New Roman" w:hAnsi="Times New Roman"/>
          <w:sz w:val="20"/>
          <w:szCs w:val="20"/>
          <w:color w:val="auto"/>
        </w:rPr>
        <w:t>In addition, the Purchaser hereby appoints the Sellers, who hereby accept to act on its behalf for the purposes of Articles 22 and 23 or where expressly provided for in this Agreement or any of the Receivables Purchase Agreements.</w:t>
      </w:r>
    </w:p>
    <w:p>
      <w:pPr>
        <w:spacing w:after="0" w:line="52" w:lineRule="exact"/>
        <w:rPr>
          <w:sz w:val="20"/>
          <w:szCs w:val="20"/>
          <w:color w:val="auto"/>
        </w:rPr>
      </w:pPr>
    </w:p>
    <w:p>
      <w:pPr>
        <w:jc w:val="both"/>
        <w:ind w:left="142"/>
        <w:spacing w:after="0" w:line="367" w:lineRule="auto"/>
        <w:rPr>
          <w:sz w:val="20"/>
          <w:szCs w:val="20"/>
          <w:color w:val="auto"/>
        </w:rPr>
      </w:pPr>
      <w:r>
        <w:rPr>
          <w:rFonts w:ascii="Times New Roman" w:cs="Times New Roman" w:eastAsia="Times New Roman" w:hAnsi="Times New Roman"/>
          <w:sz w:val="20"/>
          <w:szCs w:val="20"/>
          <w:color w:val="auto"/>
        </w:rPr>
        <w:t>No Seller shall have any authority to act on behalf of the Purchaser except as provided in this Agreement or the Receivables Purchase Agreements.</w:t>
      </w:r>
    </w:p>
    <w:p>
      <w:pPr>
        <w:spacing w:after="0" w:line="143" w:lineRule="exact"/>
        <w:rPr>
          <w:sz w:val="20"/>
          <w:szCs w:val="20"/>
          <w:color w:val="auto"/>
        </w:rPr>
      </w:pPr>
    </w:p>
    <w:p>
      <w:pPr>
        <w:ind w:left="502" w:hanging="502"/>
        <w:spacing w:after="0"/>
        <w:tabs>
          <w:tab w:leader="none" w:pos="502"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Collection Support</w:t>
      </w:r>
    </w:p>
    <w:p>
      <w:pPr>
        <w:spacing w:after="0" w:line="193" w:lineRule="exact"/>
        <w:rPr>
          <w:sz w:val="20"/>
          <w:szCs w:val="20"/>
          <w:color w:val="auto"/>
        </w:rPr>
      </w:pPr>
    </w:p>
    <w:p>
      <w:pPr>
        <w:jc w:val="both"/>
        <w:ind w:left="142"/>
        <w:spacing w:after="0" w:line="332" w:lineRule="auto"/>
        <w:rPr>
          <w:sz w:val="20"/>
          <w:szCs w:val="20"/>
          <w:color w:val="auto"/>
        </w:rPr>
      </w:pPr>
      <w:r>
        <w:rPr>
          <w:rFonts w:ascii="Times New Roman" w:cs="Times New Roman" w:eastAsia="Times New Roman" w:hAnsi="Times New Roman"/>
          <w:sz w:val="20"/>
          <w:szCs w:val="20"/>
          <w:color w:val="auto"/>
        </w:rPr>
        <w:t>Upon the occurrence of a Collection Rating Trigger Event, the Purchaser may request any Stand-by Servicer(s) to provide the relevant Sellers with logistic support to carry out the collection of Sold Receivables with greater efficiency, provided that the Stand-by Servicer(s) shall not be obliged to provide such logistic support. If the Centralising Unit, acting in the name and on behalf of the Sellers, accepts such offer and the relevant Stand-by Servicer(s) accept(s) to provide such logistic support, the Centralising Unit shall reimburse the Stand-by Servicer(s) with any duly documented costs incurred in connection with the setting up of such logistic support.</w:t>
      </w:r>
    </w:p>
    <w:p>
      <w:pPr>
        <w:spacing w:after="0" w:line="180" w:lineRule="exact"/>
        <w:rPr>
          <w:sz w:val="20"/>
          <w:szCs w:val="20"/>
          <w:color w:val="auto"/>
        </w:rPr>
      </w:pPr>
    </w:p>
    <w:p>
      <w:pPr>
        <w:ind w:left="502" w:hanging="502"/>
        <w:spacing w:after="0"/>
        <w:tabs>
          <w:tab w:leader="none" w:pos="502" w:val="left"/>
        </w:tabs>
        <w:numPr>
          <w:ilvl w:val="0"/>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the Collection Mandate</w:t>
      </w:r>
    </w:p>
    <w:p>
      <w:pPr>
        <w:spacing w:after="0" w:line="300" w:lineRule="exact"/>
        <w:rPr>
          <w:rFonts w:ascii="Times New Roman" w:cs="Times New Roman" w:eastAsia="Times New Roman" w:hAnsi="Times New Roman"/>
          <w:sz w:val="20"/>
          <w:szCs w:val="20"/>
          <w:b w:val="1"/>
          <w:bCs w:val="1"/>
          <w:color w:val="auto"/>
        </w:rPr>
      </w:pPr>
    </w:p>
    <w:p>
      <w:pPr>
        <w:ind w:left="1002" w:hanging="491"/>
        <w:spacing w:after="0"/>
        <w:tabs>
          <w:tab w:leader="none" w:pos="1002"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the event of:</w:t>
      </w:r>
    </w:p>
    <w:p>
      <w:pPr>
        <w:spacing w:after="0" w:line="188" w:lineRule="exact"/>
        <w:rPr>
          <w:rFonts w:ascii="Times New Roman" w:cs="Times New Roman" w:eastAsia="Times New Roman" w:hAnsi="Times New Roman"/>
          <w:sz w:val="20"/>
          <w:szCs w:val="20"/>
          <w:color w:val="auto"/>
        </w:rPr>
      </w:pPr>
    </w:p>
    <w:p>
      <w:pPr>
        <w:ind w:left="1622" w:hanging="346"/>
        <w:spacing w:after="0"/>
        <w:tabs>
          <w:tab w:leader="none" w:pos="1622" w:val="left"/>
        </w:tabs>
        <w:numPr>
          <w:ilvl w:val="2"/>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Early Amortisation Event under Article 11.3(xv);</w:t>
      </w:r>
    </w:p>
    <w:p>
      <w:pPr>
        <w:spacing w:after="0" w:line="202" w:lineRule="exact"/>
        <w:rPr>
          <w:rFonts w:ascii="Times New Roman" w:cs="Times New Roman" w:eastAsia="Times New Roman" w:hAnsi="Times New Roman"/>
          <w:sz w:val="20"/>
          <w:szCs w:val="20"/>
          <w:color w:val="auto"/>
        </w:rPr>
      </w:pPr>
    </w:p>
    <w:p>
      <w:pPr>
        <w:jc w:val="both"/>
        <w:ind w:left="1642" w:hanging="366"/>
        <w:spacing w:after="0" w:line="338" w:lineRule="auto"/>
        <w:tabs>
          <w:tab w:leader="none" w:pos="1636" w:val="left"/>
        </w:tabs>
        <w:numPr>
          <w:ilvl w:val="2"/>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of any of the Sellers to comply with their respective obligations under Article 10.1.2(vi), which is not remedied within fifteen (15) Business Days after written notice received from the Purchaser, or, if earlier, after a Responsible Officer becoming aware;</w:t>
      </w:r>
    </w:p>
    <w:p>
      <w:pPr>
        <w:sectPr>
          <w:pgSz w:w="11900" w:h="16838" w:orient="portrait"/>
          <w:cols w:equalWidth="0" w:num="1">
            <w:col w:w="10722"/>
          </w:cols>
          <w:pgMar w:left="838" w:top="1440" w:right="339" w:bottom="1440" w:gutter="0" w:footer="0" w:header="0"/>
        </w:sectPr>
      </w:pPr>
    </w:p>
    <w:bookmarkStart w:id="204" w:name="page205"/>
    <w:bookmarkEnd w:id="204"/>
    <w:p>
      <w:pPr>
        <w:spacing w:after="0" w:line="95" w:lineRule="exact"/>
        <w:rPr>
          <w:sz w:val="20"/>
          <w:szCs w:val="20"/>
          <w:color w:val="auto"/>
        </w:rPr>
      </w:pPr>
    </w:p>
    <w:p>
      <w:pPr>
        <w:ind w:left="1520" w:hanging="366"/>
        <w:spacing w:after="0" w:line="353" w:lineRule="auto"/>
        <w:tabs>
          <w:tab w:leader="none" w:pos="151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of any Seller, the Centralising Unit, GOODYEAR EUROPE BV, GOODYEAR or any Material Subsidiary into Insolvency Proceedings;</w:t>
      </w:r>
    </w:p>
    <w:p>
      <w:pPr>
        <w:spacing w:after="0" w:line="52" w:lineRule="exact"/>
        <w:rPr>
          <w:rFonts w:ascii="Times New Roman" w:cs="Times New Roman" w:eastAsia="Times New Roman" w:hAnsi="Times New Roman"/>
          <w:sz w:val="20"/>
          <w:szCs w:val="20"/>
          <w:color w:val="auto"/>
        </w:rPr>
      </w:pPr>
    </w:p>
    <w:p>
      <w:pPr>
        <w:ind w:left="1520" w:right="20" w:hanging="366"/>
        <w:spacing w:after="0" w:line="367" w:lineRule="auto"/>
        <w:tabs>
          <w:tab w:leader="none" w:pos="151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Seller or the Centralising Unit or GOODYEAR EUROPE BV to make a payment (including any deposit or transfer of Adjusted Collections to the Purchaser) when due under the Transaction Documents:</w:t>
      </w:r>
    </w:p>
    <w:p>
      <w:pPr>
        <w:spacing w:after="0" w:line="147" w:lineRule="exact"/>
        <w:rPr>
          <w:sz w:val="20"/>
          <w:szCs w:val="20"/>
          <w:color w:val="auto"/>
        </w:rPr>
      </w:pPr>
    </w:p>
    <w:p>
      <w:pPr>
        <w:jc w:val="both"/>
        <w:ind w:left="2200" w:hanging="764"/>
        <w:spacing w:after="0" w:line="338" w:lineRule="auto"/>
        <w:rPr>
          <w:sz w:val="20"/>
          <w:szCs w:val="20"/>
          <w:color w:val="auto"/>
        </w:rPr>
      </w:pPr>
      <w:r>
        <w:rPr>
          <w:rFonts w:ascii="Times New Roman" w:cs="Times New Roman" w:eastAsia="Times New Roman" w:hAnsi="Times New Roman"/>
          <w:sz w:val="20"/>
          <w:szCs w:val="20"/>
          <w:color w:val="auto"/>
        </w:rPr>
        <w:t>which is not remedied within two (2) Business Days, provided that such failure is due to a technical reason which affects the means of payment in the banking system used by such Seller or by the Centralising Unit and is not otherwise covered by clause (c) below;</w:t>
      </w:r>
    </w:p>
    <w:p>
      <w:pPr>
        <w:spacing w:after="0" w:line="176" w:lineRule="exact"/>
        <w:rPr>
          <w:sz w:val="20"/>
          <w:szCs w:val="20"/>
          <w:color w:val="auto"/>
        </w:rPr>
      </w:pPr>
    </w:p>
    <w:p>
      <w:pPr>
        <w:ind w:left="1400" w:right="20" w:hanging="501"/>
        <w:spacing w:after="0" w:line="353" w:lineRule="auto"/>
        <w:tabs>
          <w:tab w:leader="none" w:pos="138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remedied within four (4) Business Days, where such failure arises in relation to the payment of the Management Fee or the Stand-by Fee;</w:t>
      </w:r>
    </w:p>
    <w:p>
      <w:pPr>
        <w:spacing w:after="0" w:line="173" w:lineRule="exact"/>
        <w:rPr>
          <w:rFonts w:ascii="Times New Roman" w:cs="Times New Roman" w:eastAsia="Times New Roman" w:hAnsi="Times New Roman"/>
          <w:sz w:val="20"/>
          <w:szCs w:val="20"/>
          <w:color w:val="auto"/>
        </w:rPr>
      </w:pPr>
    </w:p>
    <w:p>
      <w:pPr>
        <w:jc w:val="both"/>
        <w:ind w:left="1400" w:hanging="501"/>
        <w:spacing w:after="0" w:line="338" w:lineRule="auto"/>
        <w:tabs>
          <w:tab w:leader="none" w:pos="138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 scheduled payment under the Transaction Documents and which is not remedied within two (2) Business Days after written notice received from the Purchaser or, if earlier, after a Responsible Officer becoming aware thereof;</w:t>
      </w:r>
    </w:p>
    <w:p>
      <w:pPr>
        <w:spacing w:after="0" w:line="175" w:lineRule="exact"/>
        <w:rPr>
          <w:rFonts w:ascii="Times New Roman" w:cs="Times New Roman" w:eastAsia="Times New Roman" w:hAnsi="Times New Roman"/>
          <w:sz w:val="20"/>
          <w:szCs w:val="20"/>
          <w:color w:val="auto"/>
        </w:rPr>
      </w:pPr>
    </w:p>
    <w:p>
      <w:pPr>
        <w:ind w:left="1400" w:hanging="501"/>
        <w:spacing w:after="0" w:line="353" w:lineRule="auto"/>
        <w:tabs>
          <w:tab w:leader="none" w:pos="138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scheduled payment (including a payment due pursuant to Article 5.3.2) and is not otherwise covered by clause (a) or (b) above;</w:t>
      </w:r>
    </w:p>
    <w:p>
      <w:pPr>
        <w:spacing w:after="0" w:line="52" w:lineRule="exact"/>
        <w:rPr>
          <w:sz w:val="20"/>
          <w:szCs w:val="20"/>
          <w:color w:val="auto"/>
        </w:rPr>
      </w:pPr>
    </w:p>
    <w:p>
      <w:pPr>
        <w:jc w:val="both"/>
        <w:ind w:left="660" w:hanging="647"/>
        <w:spacing w:after="0" w:line="334" w:lineRule="auto"/>
        <w:rPr>
          <w:sz w:val="20"/>
          <w:szCs w:val="20"/>
          <w:color w:val="auto"/>
        </w:rPr>
      </w:pPr>
      <w:r>
        <w:rPr>
          <w:rFonts w:ascii="Times New Roman" w:cs="Times New Roman" w:eastAsia="Times New Roman" w:hAnsi="Times New Roman"/>
          <w:sz w:val="20"/>
          <w:szCs w:val="20"/>
          <w:color w:val="auto"/>
        </w:rPr>
        <w:t>any restructuring of (a) a Seller leading to GOODYEAR ceasing to hold directly or indirectly more than 50% in the share capital and voting rights of such a Seller, or (b) GOODYEAR EUROPE BV leading to GOODYEAR ceasing to hold directly or indirectly more than 50% in the share capital and voting rights of GOODYEAR EUROPE BV, or (c) the Centralising Unit leading to GOODYEAR ceasing to hold directly or indirectly 100% in the share capital and voting rights of the Centralising Unit;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660" w:hanging="647"/>
        <w:spacing w:after="0" w:line="333" w:lineRule="auto"/>
        <w:rPr>
          <w:sz w:val="20"/>
          <w:szCs w:val="20"/>
          <w:color w:val="auto"/>
        </w:rPr>
      </w:pPr>
      <w:r>
        <w:rPr>
          <w:rFonts w:ascii="Times New Roman" w:cs="Times New Roman" w:eastAsia="Times New Roman" w:hAnsi="Times New Roman"/>
          <w:sz w:val="20"/>
          <w:szCs w:val="20"/>
          <w:color w:val="auto"/>
        </w:rPr>
        <w:t>any failure by any Seller or the Centralising Unit to deliver a Solvency Certificate, with respect to such Seller complying with the relevant form attached as SCHEDULE 5, as provided for under Article 10.1.1(xii) and 10.2.1(vi), which is not remedied within ten (10) Business Days after written notice received from the Purchaser or, if earlier, after a Responsible Officer becoming aware thereof;</w:t>
      </w:r>
    </w:p>
    <w:p>
      <w:pPr>
        <w:spacing w:after="0" w:line="74" w:lineRule="exact"/>
        <w:rPr>
          <w:sz w:val="20"/>
          <w:szCs w:val="20"/>
          <w:color w:val="auto"/>
        </w:rPr>
      </w:pPr>
    </w:p>
    <w:p>
      <w:pPr>
        <w:ind w:left="660" w:hanging="654"/>
        <w:spacing w:after="0" w:line="338" w:lineRule="auto"/>
        <w:tabs>
          <w:tab w:leader="none" w:pos="572"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Indebtedness of GOODYEAR EUROPE BV or any of its subsidiaries, or GOODYEAR (a) has not been paid or repaid when due (after giving effect to any applicable grace period) or (b) has become due and payable before its stated date of payment as a result of a declared default and after the expiry of any applicable grace period, provided that, in each case, such default has not been waived pursuant to the terms of the relevant agreement;</w:t>
      </w:r>
    </w:p>
    <w:p>
      <w:pPr>
        <w:sectPr>
          <w:pgSz w:w="11900" w:h="16838" w:orient="portrait"/>
          <w:cols w:equalWidth="0" w:num="1">
            <w:col w:w="10600"/>
          </w:cols>
          <w:pgMar w:left="960" w:top="1440" w:right="339" w:bottom="1440" w:gutter="0" w:footer="0" w:header="0"/>
        </w:sectPr>
      </w:pPr>
    </w:p>
    <w:bookmarkStart w:id="205" w:name="page206"/>
    <w:bookmarkEnd w:id="205"/>
    <w:p>
      <w:pPr>
        <w:spacing w:after="0" w:line="95" w:lineRule="exact"/>
        <w:rPr>
          <w:sz w:val="20"/>
          <w:szCs w:val="20"/>
          <w:color w:val="auto"/>
        </w:rPr>
      </w:pPr>
    </w:p>
    <w:p>
      <w:pPr>
        <w:ind w:left="654" w:hanging="654"/>
        <w:spacing w:after="0" w:line="353" w:lineRule="auto"/>
        <w:tabs>
          <w:tab w:leader="none" w:pos="69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any kind, in any Seller's or Centralising Unit's articles of association, business or assets, which would be reasonably likely to result in a Material Adverse Effect;</w:t>
      </w:r>
    </w:p>
    <w:p>
      <w:pPr>
        <w:spacing w:after="0" w:line="52" w:lineRule="exact"/>
        <w:rPr>
          <w:rFonts w:ascii="Times New Roman" w:cs="Times New Roman" w:eastAsia="Times New Roman" w:hAnsi="Times New Roman"/>
          <w:sz w:val="20"/>
          <w:szCs w:val="20"/>
          <w:color w:val="auto"/>
        </w:rPr>
      </w:pPr>
    </w:p>
    <w:p>
      <w:pPr>
        <w:jc w:val="both"/>
        <w:ind w:left="654" w:hanging="654"/>
        <w:spacing w:after="0" w:line="344" w:lineRule="auto"/>
        <w:tabs>
          <w:tab w:leader="none" w:pos="676"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and warranty made by any Seller, the Centralising Unit or GOODYEAR EUROPE BV under the Transaction Documents (other than under Article 17), or any information contained in any document delivered by any Seller or the Centralising Unit or GOODYEAR EUROPE BV to the Purchaser pursuant thereto, is found to have been inaccurate on the date on which it was made or delivered, if such inaccuracy (a) is not remedied or waived accordingly within thirty (30) days after written notice received from the Purchaser or, if earlier, after a Responsible Officer becoming aware thereof, and</w:t>
      </w:r>
    </w:p>
    <w:p>
      <w:pPr>
        <w:ind w:left="934" w:hanging="286"/>
        <w:spacing w:after="0"/>
        <w:tabs>
          <w:tab w:leader="none" w:pos="934"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reasonably likely to result in a Material Adverse Effect;</w:t>
      </w:r>
    </w:p>
    <w:p>
      <w:pPr>
        <w:spacing w:after="0" w:line="184" w:lineRule="exact"/>
        <w:rPr>
          <w:rFonts w:ascii="Times New Roman" w:cs="Times New Roman" w:eastAsia="Times New Roman" w:hAnsi="Times New Roman"/>
          <w:sz w:val="20"/>
          <w:szCs w:val="20"/>
          <w:color w:val="auto"/>
        </w:rPr>
      </w:pPr>
    </w:p>
    <w:p>
      <w:pPr>
        <w:ind w:left="654" w:hanging="654"/>
        <w:spacing w:after="0" w:line="335" w:lineRule="auto"/>
        <w:tabs>
          <w:tab w:leader="none" w:pos="44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 attachment, freezing or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order against all or any material part of the property, assets or revenues of the Centralising Unit or any of the Sellers or GOODYEAR EUROPE BV or in the event that either the Centralising Unit or any of the Sellers or GOODYEAR EUROPE BV has become subject at any time to any court order or other court process having similar effect and such attachment,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court order or court process remains in effect and is not discharged during a period of forty-five (45) calendar days following the date on which it was served;</w:t>
      </w:r>
    </w:p>
    <w:p>
      <w:pPr>
        <w:spacing w:after="0" w:line="72" w:lineRule="exact"/>
        <w:rPr>
          <w:rFonts w:ascii="Times New Roman" w:cs="Times New Roman" w:eastAsia="Times New Roman" w:hAnsi="Times New Roman"/>
          <w:sz w:val="20"/>
          <w:szCs w:val="20"/>
          <w:color w:val="auto"/>
        </w:rPr>
      </w:pPr>
    </w:p>
    <w:p>
      <w:pPr>
        <w:ind w:left="654" w:hanging="654"/>
        <w:spacing w:after="0" w:line="345" w:lineRule="auto"/>
        <w:tabs>
          <w:tab w:leader="none" w:pos="53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of the Transaction Documents or a Transfer Deed issued pursuant to the Receivables Purchase Agreement or any Payment hereunder or thereunder is successfully challenged by any enforcement order issued or judgment obtained as a result of proceedings before any court (including arbitration proceedings);</w:t>
      </w:r>
    </w:p>
    <w:p>
      <w:pPr>
        <w:spacing w:after="0" w:line="61" w:lineRule="exact"/>
        <w:rPr>
          <w:rFonts w:ascii="Times New Roman" w:cs="Times New Roman" w:eastAsia="Times New Roman" w:hAnsi="Times New Roman"/>
          <w:sz w:val="20"/>
          <w:szCs w:val="20"/>
          <w:color w:val="auto"/>
        </w:rPr>
      </w:pPr>
    </w:p>
    <w:p>
      <w:pPr>
        <w:jc w:val="both"/>
        <w:ind w:left="654" w:hanging="654"/>
        <w:spacing w:after="0" w:line="338" w:lineRule="auto"/>
        <w:tabs>
          <w:tab w:leader="none" w:pos="70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Transaction Documents becomes illegal or, cannot, for any reason whatsoever, be performed pursuant to their respective terms, and such illegality or inability to be performed is reasonably expected to prejudice the rights of the Purchaser in any material respect;</w:t>
      </w:r>
    </w:p>
    <w:p>
      <w:pPr>
        <w:spacing w:after="0" w:line="67" w:lineRule="exact"/>
        <w:rPr>
          <w:rFonts w:ascii="Times New Roman" w:cs="Times New Roman" w:eastAsia="Times New Roman" w:hAnsi="Times New Roman"/>
          <w:sz w:val="20"/>
          <w:szCs w:val="20"/>
          <w:color w:val="auto"/>
        </w:rPr>
      </w:pPr>
    </w:p>
    <w:p>
      <w:pPr>
        <w:ind w:left="654" w:right="20" w:hanging="654"/>
        <w:spacing w:after="0" w:line="367" w:lineRule="auto"/>
        <w:tabs>
          <w:tab w:leader="none" w:pos="65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Deed becomes illegal or, cannot, for any reason whatsoever, be performed pursuant to its terms, and such illegality or inability to be performed is reasonably expected to prejudice the rights of the Purchaser;</w:t>
      </w:r>
    </w:p>
    <w:p>
      <w:pPr>
        <w:spacing w:after="0" w:line="39" w:lineRule="exact"/>
        <w:rPr>
          <w:rFonts w:ascii="Times New Roman" w:cs="Times New Roman" w:eastAsia="Times New Roman" w:hAnsi="Times New Roman"/>
          <w:sz w:val="20"/>
          <w:szCs w:val="20"/>
          <w:color w:val="auto"/>
        </w:rPr>
      </w:pPr>
    </w:p>
    <w:p>
      <w:pPr>
        <w:jc w:val="both"/>
        <w:ind w:left="654" w:hanging="654"/>
        <w:spacing w:after="0" w:line="333" w:lineRule="auto"/>
        <w:tabs>
          <w:tab w:leader="none" w:pos="59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Collection Account Agreement is terminated for whatever reason and such Collection Account Agreement is not replaced by (a) a then existing Collection Account Agreement or (b) an equivalent collection account agreement that has been approved by the Purchaser, the Agent, the Issuers, the Liquidity Banks and the Fund Subscribers (such consent not to be unreasonably withheld or delayed); and</w:t>
      </w:r>
    </w:p>
    <w:p>
      <w:pPr>
        <w:spacing w:after="0" w:line="73" w:lineRule="exact"/>
        <w:rPr>
          <w:rFonts w:ascii="Times New Roman" w:cs="Times New Roman" w:eastAsia="Times New Roman" w:hAnsi="Times New Roman"/>
          <w:sz w:val="20"/>
          <w:szCs w:val="20"/>
          <w:color w:val="auto"/>
        </w:rPr>
      </w:pPr>
    </w:p>
    <w:p>
      <w:pPr>
        <w:ind w:left="534" w:hanging="534"/>
        <w:spacing w:after="0"/>
        <w:tabs>
          <w:tab w:leader="none" w:pos="53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the Centralising Unit and/or GOODYEAR EUROPE BV becomes, directly or indirectly, a Sanctioned Person;</w:t>
      </w:r>
    </w:p>
    <w:p>
      <w:pPr>
        <w:sectPr>
          <w:pgSz w:w="11900" w:h="16838" w:orient="portrait"/>
          <w:cols w:equalWidth="0" w:num="1">
            <w:col w:w="10594"/>
          </w:cols>
          <w:pgMar w:left="966" w:top="1440" w:right="339" w:bottom="1440" w:gutter="0" w:footer="0" w:header="0"/>
        </w:sectPr>
      </w:pPr>
    </w:p>
    <w:bookmarkStart w:id="206" w:name="page207"/>
    <w:bookmarkEnd w:id="206"/>
    <w:p>
      <w:pPr>
        <w:spacing w:after="0" w:line="95" w:lineRule="exact"/>
        <w:rPr>
          <w:sz w:val="20"/>
          <w:szCs w:val="20"/>
          <w:color w:val="auto"/>
        </w:rPr>
      </w:pPr>
    </w:p>
    <w:p>
      <w:pPr>
        <w:jc w:val="both"/>
        <w:ind w:left="251"/>
        <w:spacing w:after="0" w:line="338" w:lineRule="auto"/>
        <w:rPr>
          <w:sz w:val="20"/>
          <w:szCs w:val="20"/>
          <w:color w:val="auto"/>
        </w:rPr>
      </w:pPr>
      <w:r>
        <w:rPr>
          <w:rFonts w:ascii="Times New Roman" w:cs="Times New Roman" w:eastAsia="Times New Roman" w:hAnsi="Times New Roman"/>
          <w:sz w:val="20"/>
          <w:szCs w:val="20"/>
          <w:color w:val="auto"/>
        </w:rPr>
        <w:t>then the Purchaser may or, if all the Liquidity Banks and the Fund Subscribers (which shall be consulted by the Purchaser upon the occurrence of such an event) instruct the Purchaser to do so, the Purchaser shall terminate the appointment of each Seller for collection of the Sold Receivables by issuing or causing any other entity it has appointed for such purpose to issue to this effect:</w:t>
      </w:r>
    </w:p>
    <w:p>
      <w:pPr>
        <w:spacing w:after="0" w:line="68" w:lineRule="exact"/>
        <w:rPr>
          <w:sz w:val="20"/>
          <w:szCs w:val="20"/>
          <w:color w:val="auto"/>
        </w:rPr>
      </w:pPr>
    </w:p>
    <w:p>
      <w:pPr>
        <w:ind w:left="731" w:hanging="476"/>
        <w:spacing w:after="0"/>
        <w:tabs>
          <w:tab w:leader="none" w:pos="731"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letter sent by registered mail with acknowledgement of receipt to each Seller; and</w:t>
      </w:r>
    </w:p>
    <w:p>
      <w:pPr>
        <w:spacing w:after="0" w:line="188" w:lineRule="exact"/>
        <w:rPr>
          <w:rFonts w:ascii="Times New Roman" w:cs="Times New Roman" w:eastAsia="Times New Roman" w:hAnsi="Times New Roman"/>
          <w:sz w:val="20"/>
          <w:szCs w:val="20"/>
          <w:color w:val="auto"/>
        </w:rPr>
      </w:pPr>
    </w:p>
    <w:p>
      <w:pPr>
        <w:jc w:val="both"/>
        <w:ind w:left="911" w:hanging="656"/>
        <w:spacing w:after="0" w:line="338" w:lineRule="auto"/>
        <w:tabs>
          <w:tab w:leader="none" w:pos="889"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subsequently, a Notice of Transfer to each of the Debtors, in accordance with the relevant Receivables Purchase Agreement, provided that the cost of delivery of a Notice of Transfer is borne exclusively by the Centralising Unit, acting in the name and on behalf of the Sellers and shall be reasonable and duly documented.</w:t>
      </w:r>
    </w:p>
    <w:p>
      <w:pPr>
        <w:spacing w:after="0" w:line="68" w:lineRule="exact"/>
        <w:rPr>
          <w:sz w:val="20"/>
          <w:szCs w:val="20"/>
          <w:color w:val="auto"/>
        </w:rPr>
      </w:pPr>
    </w:p>
    <w:p>
      <w:pPr>
        <w:jc w:val="both"/>
        <w:ind w:left="251"/>
        <w:spacing w:after="0" w:line="332" w:lineRule="auto"/>
        <w:rPr>
          <w:sz w:val="20"/>
          <w:szCs w:val="20"/>
          <w:color w:val="auto"/>
        </w:rPr>
      </w:pPr>
      <w:r>
        <w:rPr>
          <w:rFonts w:ascii="Times New Roman" w:cs="Times New Roman" w:eastAsia="Times New Roman" w:hAnsi="Times New Roman"/>
          <w:sz w:val="20"/>
          <w:szCs w:val="20"/>
          <w:color w:val="auto"/>
        </w:rPr>
        <w:t>The appointment of any Seller for the purpose of the collection of any Sold Receivable shall terminate automatically on the date of receipt by the Centralising Unit, acting in the name and on behalf of the relevant Seller, of the letter referred to under point (a) above. As of such date, the Seller shall forthwith transfer to the credit of the relevant Purchaser's Collection Account any amount received from the relevant Debtors relating to the Sold Receivables, in accordance with the provisions of the Collection Account Agreements (without prejudice to the rights of the Purchaser to collect sums directly from any Collection Account(s), in accordance with the relevant provisions of the Collection Account Agreement(s)).</w:t>
      </w:r>
    </w:p>
    <w:p>
      <w:pPr>
        <w:spacing w:after="0" w:line="76" w:lineRule="exact"/>
        <w:rPr>
          <w:sz w:val="20"/>
          <w:szCs w:val="20"/>
          <w:color w:val="auto"/>
        </w:rPr>
      </w:pPr>
    </w:p>
    <w:p>
      <w:pPr>
        <w:jc w:val="both"/>
        <w:ind w:left="251"/>
        <w:spacing w:after="0" w:line="334" w:lineRule="auto"/>
        <w:rPr>
          <w:sz w:val="20"/>
          <w:szCs w:val="20"/>
          <w:color w:val="auto"/>
        </w:rPr>
      </w:pPr>
      <w:r>
        <w:rPr>
          <w:rFonts w:ascii="Times New Roman" w:cs="Times New Roman" w:eastAsia="Times New Roman" w:hAnsi="Times New Roman"/>
          <w:sz w:val="20"/>
          <w:szCs w:val="20"/>
          <w:color w:val="auto"/>
        </w:rPr>
        <w:t>The termination of the appointment of a Seller as collection agent shall not affect the obligations of such Seller under this Agreement or the relevant Receivables Purchase Agreement, with the exception of those relating to the collection of the Sold Receivables. Notwithstanding any other provisions of this Agreement, neither the Purchaser nor any of its agents shall, at any time other than following the termination of the Collection Mandate of the Sellers pursuant to this Article 19.3.1, contact or communicate with any Debtor in respect of any Sold Receivable or the Securitisation Transaction.</w:t>
      </w:r>
    </w:p>
    <w:p>
      <w:pPr>
        <w:spacing w:after="0" w:line="182" w:lineRule="exact"/>
        <w:rPr>
          <w:sz w:val="20"/>
          <w:szCs w:val="20"/>
          <w:color w:val="auto"/>
        </w:rPr>
      </w:pPr>
    </w:p>
    <w:p>
      <w:pPr>
        <w:jc w:val="both"/>
        <w:ind w:left="511" w:hanging="511"/>
        <w:spacing w:after="0" w:line="345" w:lineRule="auto"/>
        <w:tabs>
          <w:tab w:leader="none" w:pos="50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Purchaser shall be entitled to appoint a (or several) Back-Up Servicer(s) for the collection of all or part of the Sold Receivables for which a Notice of Transfer has been delivered to the relevant Debtors in accordance with Article 19.3.1 above.</w:t>
      </w:r>
    </w:p>
    <w:p>
      <w:pPr>
        <w:spacing w:after="0" w:line="61" w:lineRule="exact"/>
        <w:rPr>
          <w:rFonts w:ascii="Times New Roman" w:cs="Times New Roman" w:eastAsia="Times New Roman" w:hAnsi="Times New Roman"/>
          <w:sz w:val="20"/>
          <w:szCs w:val="20"/>
          <w:color w:val="auto"/>
        </w:rPr>
      </w:pPr>
    </w:p>
    <w:p>
      <w:pPr>
        <w:ind w:left="511"/>
        <w:spacing w:after="0" w:line="3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confirms that, as a condition precedent to its(their) appointment(s), the Back-Up Servicer(s) has (have) (or will have) agreed with the Purchaser to comply with the provisions of this Agreement.</w:t>
      </w:r>
    </w:p>
    <w:p>
      <w:pPr>
        <w:sectPr>
          <w:pgSz w:w="11900" w:h="16838" w:orient="portrait"/>
          <w:cols w:equalWidth="0" w:num="1">
            <w:col w:w="10211"/>
          </w:cols>
          <w:pgMar w:left="1349" w:top="1440" w:right="339" w:bottom="1440" w:gutter="0" w:footer="0" w:header="0"/>
        </w:sectPr>
      </w:pPr>
    </w:p>
    <w:bookmarkStart w:id="207" w:name="page208"/>
    <w:bookmarkEnd w:id="207"/>
    <w:p>
      <w:pPr>
        <w:spacing w:after="0" w:line="95"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20"/>
          <w:szCs w:val="20"/>
          <w:color w:val="auto"/>
        </w:rPr>
        <w:t>Each Seller, upon being notified of the exercise of such a right by the Purchaser undertakes:</w:t>
      </w:r>
    </w:p>
    <w:p>
      <w:pPr>
        <w:spacing w:after="0" w:line="189" w:lineRule="exact"/>
        <w:rPr>
          <w:sz w:val="20"/>
          <w:szCs w:val="20"/>
          <w:color w:val="auto"/>
        </w:rPr>
      </w:pPr>
    </w:p>
    <w:p>
      <w:pPr>
        <w:ind w:left="752" w:hanging="752"/>
        <w:spacing w:after="0"/>
        <w:tabs>
          <w:tab w:leader="none" w:pos="75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all steps and do all things to enable the Back-Up Servicer(s) to take over the Seller's undertakings as collection agent(s);</w:t>
      </w:r>
    </w:p>
    <w:p>
      <w:pPr>
        <w:spacing w:after="0" w:line="184" w:lineRule="exact"/>
        <w:rPr>
          <w:rFonts w:ascii="Times New Roman" w:cs="Times New Roman" w:eastAsia="Times New Roman" w:hAnsi="Times New Roman"/>
          <w:sz w:val="20"/>
          <w:szCs w:val="20"/>
          <w:color w:val="auto"/>
        </w:rPr>
      </w:pPr>
    </w:p>
    <w:p>
      <w:pPr>
        <w:jc w:val="both"/>
        <w:ind w:left="772" w:hanging="772"/>
        <w:spacing w:after="0" w:line="339" w:lineRule="auto"/>
        <w:tabs>
          <w:tab w:leader="none" w:pos="76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in accordance with the provisions of Article 18 (</w:t>
      </w:r>
      <w:r>
        <w:rPr>
          <w:rFonts w:ascii="Times New Roman" w:cs="Times New Roman" w:eastAsia="Times New Roman" w:hAnsi="Times New Roman"/>
          <w:sz w:val="20"/>
          <w:szCs w:val="20"/>
          <w:i w:val="1"/>
          <w:iCs w:val="1"/>
          <w:color w:val="auto"/>
        </w:rPr>
        <w:t>Identification of the contractual documentation for the Sold Receivables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Access to documents</w:t>
      </w:r>
      <w:r>
        <w:rPr>
          <w:rFonts w:ascii="Times New Roman" w:cs="Times New Roman" w:eastAsia="Times New Roman" w:hAnsi="Times New Roman"/>
          <w:sz w:val="20"/>
          <w:szCs w:val="20"/>
          <w:color w:val="auto"/>
        </w:rPr>
        <w:t>) and Article 29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to the Back-Up Servicer(s) any and all original copies of the contractual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documentation or the computer information concerning the Sold Receivables as well as any other document as might be reasonably requested by the Back-Up Servicer(s) in order to perform its(their) obligations as servicer(s);</w:t>
      </w:r>
    </w:p>
    <w:p>
      <w:pPr>
        <w:spacing w:after="0" w:line="68" w:lineRule="exact"/>
        <w:rPr>
          <w:rFonts w:ascii="Times New Roman" w:cs="Times New Roman" w:eastAsia="Times New Roman" w:hAnsi="Times New Roman"/>
          <w:sz w:val="20"/>
          <w:szCs w:val="20"/>
          <w:color w:val="auto"/>
        </w:rPr>
      </w:pPr>
    </w:p>
    <w:p>
      <w:pPr>
        <w:ind w:left="772" w:hanging="772"/>
        <w:spacing w:after="0" w:line="353" w:lineRule="auto"/>
        <w:tabs>
          <w:tab w:leader="none" w:pos="763"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transfer forthwith to the credit of the relevant Purchaser's Collection Account, any Actual Collections relating to Sold Receivables it may directly receive from any Debtor;</w:t>
      </w:r>
    </w:p>
    <w:p>
      <w:pPr>
        <w:spacing w:after="0" w:line="52" w:lineRule="exact"/>
        <w:rPr>
          <w:rFonts w:ascii="Times New Roman" w:cs="Times New Roman" w:eastAsia="Times New Roman" w:hAnsi="Times New Roman"/>
          <w:sz w:val="20"/>
          <w:szCs w:val="20"/>
          <w:color w:val="auto"/>
        </w:rPr>
      </w:pPr>
    </w:p>
    <w:p>
      <w:pPr>
        <w:ind w:left="772" w:hanging="772"/>
        <w:spacing w:after="0" w:line="367" w:lineRule="auto"/>
        <w:tabs>
          <w:tab w:leader="none" w:pos="76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forthwith the Purchaser, for any reasonable costs and expenses duly evidenced and incurred by the latter in relation to the Notice of Transfer; and</w:t>
      </w:r>
    </w:p>
    <w:p>
      <w:pPr>
        <w:spacing w:after="0" w:line="39" w:lineRule="exact"/>
        <w:rPr>
          <w:rFonts w:ascii="Times New Roman" w:cs="Times New Roman" w:eastAsia="Times New Roman" w:hAnsi="Times New Roman"/>
          <w:sz w:val="20"/>
          <w:szCs w:val="20"/>
          <w:color w:val="auto"/>
        </w:rPr>
      </w:pPr>
    </w:p>
    <w:p>
      <w:pPr>
        <w:jc w:val="both"/>
        <w:ind w:left="772" w:hanging="772"/>
        <w:spacing w:after="0" w:line="338" w:lineRule="auto"/>
        <w:tabs>
          <w:tab w:leader="none" w:pos="76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forthwith the Purchaser, for any reasonable costs incurred by the latter due to the appointment of the Back-Up Servicer(s) to act as collection agent(s), provided that the Back-Up Servicer(s) furnishes(furnish) any documents evidencing such costs within the limits set forth in Article 25.3.</w:t>
      </w:r>
    </w:p>
    <w:p>
      <w:pPr>
        <w:spacing w:after="0" w:line="68" w:lineRule="exact"/>
        <w:rPr>
          <w:sz w:val="20"/>
          <w:szCs w:val="20"/>
          <w:color w:val="auto"/>
        </w:rPr>
      </w:pPr>
    </w:p>
    <w:p>
      <w:pPr>
        <w:jc w:val="both"/>
        <w:ind w:left="1532"/>
        <w:spacing w:after="0" w:line="338" w:lineRule="auto"/>
        <w:rPr>
          <w:sz w:val="20"/>
          <w:szCs w:val="20"/>
          <w:color w:val="auto"/>
        </w:rPr>
      </w:pPr>
      <w:r>
        <w:rPr>
          <w:rFonts w:ascii="Times New Roman" w:cs="Times New Roman" w:eastAsia="Times New Roman" w:hAnsi="Times New Roman"/>
          <w:sz w:val="20"/>
          <w:szCs w:val="20"/>
          <w:color w:val="auto"/>
        </w:rPr>
        <w:t>The Purchaser shall, immediately upon payment by the Centralising Unit, acting on its own behalf and on behalf of the Sellers, of all amounts owed to the Purchaser, (i) take all steps necessary to terminate any rights it may have with respect to any Collection Accounts, and (ii) if the Sellers' Collection Mandate has been terminated pursuant to the terms of this Article, revoke any collection mandate granted to the Back-Up Servicers or any other agent of the Purchaser.</w:t>
      </w:r>
    </w:p>
    <w:p>
      <w:pPr>
        <w:spacing w:after="0" w:line="176" w:lineRule="exact"/>
        <w:rPr>
          <w:sz w:val="20"/>
          <w:szCs w:val="20"/>
          <w:color w:val="auto"/>
        </w:rPr>
      </w:pPr>
    </w:p>
    <w:p>
      <w:pPr>
        <w:jc w:val="both"/>
        <w:ind w:left="1532" w:hanging="511"/>
        <w:spacing w:after="0" w:line="334" w:lineRule="auto"/>
        <w:tabs>
          <w:tab w:leader="none" w:pos="1521"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Sellers hereby irrevocably renounces resigning from its role under the Collection Mandate referred to in this Article 19 for the duration of this Agreement. Such Collection Mandate may only be terminated in the circumstances and in accordance with the procedures provided for in the present Article or, with respect to a particular Seller, if it has ceased to be a party to this Agreement in accordance with the provisions herein, when all Sold Receivables originated by such Seller have been collected, repurchased in accordance with this Agreement or determined to be uncollectible.</w:t>
      </w:r>
    </w:p>
    <w:p>
      <w:pPr>
        <w:spacing w:after="0" w:line="177" w:lineRule="exact"/>
        <w:rPr>
          <w:rFonts w:ascii="Times New Roman" w:cs="Times New Roman" w:eastAsia="Times New Roman" w:hAnsi="Times New Roman"/>
          <w:sz w:val="20"/>
          <w:szCs w:val="20"/>
          <w:color w:val="auto"/>
        </w:rPr>
      </w:pPr>
    </w:p>
    <w:p>
      <w:pPr>
        <w:ind w:left="1012" w:hanging="502"/>
        <w:spacing w:after="0"/>
        <w:tabs>
          <w:tab w:leader="none" w:pos="1012"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Currency Exchange Rate</w:t>
      </w:r>
    </w:p>
    <w:p>
      <w:pPr>
        <w:spacing w:after="0" w:line="193" w:lineRule="exact"/>
        <w:rPr>
          <w:sz w:val="20"/>
          <w:szCs w:val="20"/>
          <w:color w:val="auto"/>
        </w:rPr>
      </w:pPr>
    </w:p>
    <w:p>
      <w:pPr>
        <w:jc w:val="both"/>
        <w:ind w:left="1052" w:right="20"/>
        <w:spacing w:after="0" w:line="338" w:lineRule="auto"/>
        <w:rPr>
          <w:sz w:val="20"/>
          <w:szCs w:val="20"/>
          <w:color w:val="auto"/>
        </w:rPr>
      </w:pPr>
      <w:r>
        <w:rPr>
          <w:rFonts w:ascii="Times New Roman" w:cs="Times New Roman" w:eastAsia="Times New Roman" w:hAnsi="Times New Roman"/>
          <w:sz w:val="20"/>
          <w:szCs w:val="20"/>
          <w:color w:val="auto"/>
        </w:rPr>
        <w:t>The German Seller and the UK Seller shall, each for the purposes of its role as collection agent pursuant to the Collection Mandate, transfer collections of the Sold Receivables received from English Debtors to the Purchaser and the Agent shall convert such</w:t>
      </w:r>
    </w:p>
    <w:p>
      <w:pPr>
        <w:sectPr>
          <w:pgSz w:w="11900" w:h="16838" w:orient="portrait"/>
          <w:cols w:equalWidth="0" w:num="1">
            <w:col w:w="11232"/>
          </w:cols>
          <w:pgMar w:left="328" w:top="1440" w:right="339" w:bottom="1440" w:gutter="0" w:footer="0" w:header="0"/>
        </w:sectPr>
      </w:pPr>
    </w:p>
    <w:bookmarkStart w:id="208" w:name="page209"/>
    <w:bookmarkEnd w:id="208"/>
    <w:p>
      <w:pPr>
        <w:spacing w:after="0" w:line="95" w:lineRule="exact"/>
        <w:rPr>
          <w:sz w:val="20"/>
          <w:szCs w:val="20"/>
          <w:color w:val="auto"/>
        </w:rPr>
      </w:pPr>
    </w:p>
    <w:p>
      <w:pPr>
        <w:ind w:left="542"/>
        <w:spacing w:after="0" w:line="353" w:lineRule="auto"/>
        <w:rPr>
          <w:sz w:val="20"/>
          <w:szCs w:val="20"/>
          <w:color w:val="auto"/>
        </w:rPr>
      </w:pPr>
      <w:r>
        <w:rPr>
          <w:rFonts w:ascii="Times New Roman" w:cs="Times New Roman" w:eastAsia="Times New Roman" w:hAnsi="Times New Roman"/>
          <w:sz w:val="20"/>
          <w:szCs w:val="20"/>
          <w:color w:val="auto"/>
        </w:rPr>
        <w:t>collections in Euro at the Exchange Rate applicable at close of business on the Business Day preceding the last Assessment Date prior to such collections.</w:t>
      </w:r>
    </w:p>
    <w:p>
      <w:pPr>
        <w:spacing w:after="0" w:line="156" w:lineRule="exact"/>
        <w:rPr>
          <w:sz w:val="20"/>
          <w:szCs w:val="20"/>
          <w:color w:val="auto"/>
        </w:rPr>
      </w:pPr>
    </w:p>
    <w:p>
      <w:pPr>
        <w:ind w:left="502" w:hanging="502"/>
        <w:spacing w:after="0"/>
        <w:tabs>
          <w:tab w:leader="none" w:pos="502" w:val="left"/>
        </w:tabs>
        <w:numPr>
          <w:ilvl w:val="0"/>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Protection</w:t>
      </w:r>
    </w:p>
    <w:p>
      <w:pPr>
        <w:spacing w:after="0" w:line="314" w:lineRule="exact"/>
        <w:rPr>
          <w:rFonts w:ascii="Times New Roman" w:cs="Times New Roman" w:eastAsia="Times New Roman" w:hAnsi="Times New Roman"/>
          <w:sz w:val="20"/>
          <w:szCs w:val="20"/>
          <w:b w:val="1"/>
          <w:bCs w:val="1"/>
          <w:color w:val="auto"/>
        </w:rPr>
      </w:pPr>
    </w:p>
    <w:p>
      <w:pPr>
        <w:ind w:left="1022" w:hanging="511"/>
        <w:spacing w:after="0" w:line="353" w:lineRule="auto"/>
        <w:tabs>
          <w:tab w:leader="none" w:pos="1011"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19.5.2 below, when Personal Data (as defined in SCHEDULE 19 (Data Processing)) are processed by it under this Agreement, each Seller shall:</w:t>
      </w:r>
    </w:p>
    <w:p>
      <w:pPr>
        <w:spacing w:after="0" w:line="52" w:lineRule="exact"/>
        <w:rPr>
          <w:rFonts w:ascii="Times New Roman" w:cs="Times New Roman" w:eastAsia="Times New Roman" w:hAnsi="Times New Roman"/>
          <w:sz w:val="20"/>
          <w:szCs w:val="20"/>
          <w:color w:val="auto"/>
        </w:rPr>
      </w:pPr>
    </w:p>
    <w:p>
      <w:pPr>
        <w:ind w:left="3382" w:right="20" w:hanging="4"/>
        <w:spacing w:after="0" w:line="353" w:lineRule="auto"/>
        <w:tabs>
          <w:tab w:leader="none" w:pos="4027"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applicable Data Protection Laws (as defined in SCHEDULE 19 (Data Processing));</w:t>
      </w:r>
    </w:p>
    <w:p>
      <w:pPr>
        <w:spacing w:after="0" w:line="52" w:lineRule="exact"/>
        <w:rPr>
          <w:rFonts w:ascii="Times New Roman" w:cs="Times New Roman" w:eastAsia="Times New Roman" w:hAnsi="Times New Roman"/>
          <w:sz w:val="20"/>
          <w:szCs w:val="20"/>
          <w:color w:val="auto"/>
        </w:rPr>
      </w:pPr>
    </w:p>
    <w:p>
      <w:pPr>
        <w:ind w:left="3382" w:right="20" w:hanging="4"/>
        <w:spacing w:after="0" w:line="353" w:lineRule="auto"/>
        <w:tabs>
          <w:tab w:leader="none" w:pos="4028"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written records of all categories of processing activities carried out on behalf of the Purchaser; and</w:t>
      </w:r>
    </w:p>
    <w:p>
      <w:pPr>
        <w:spacing w:after="0" w:line="65" w:lineRule="exact"/>
        <w:rPr>
          <w:rFonts w:ascii="Times New Roman" w:cs="Times New Roman" w:eastAsia="Times New Roman" w:hAnsi="Times New Roman"/>
          <w:sz w:val="20"/>
          <w:szCs w:val="20"/>
          <w:color w:val="auto"/>
        </w:rPr>
      </w:pPr>
    </w:p>
    <w:p>
      <w:pPr>
        <w:ind w:left="3382" w:right="20" w:hanging="4"/>
        <w:spacing w:after="0" w:line="353" w:lineRule="auto"/>
        <w:tabs>
          <w:tab w:leader="none" w:pos="4029"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provisions of the Data Escrow Agreement, comply with the provisions of SCHEDULE 19 (Data Processing).</w:t>
      </w:r>
    </w:p>
    <w:p>
      <w:pPr>
        <w:spacing w:after="0" w:line="160" w:lineRule="exact"/>
        <w:rPr>
          <w:rFonts w:ascii="Times New Roman" w:cs="Times New Roman" w:eastAsia="Times New Roman" w:hAnsi="Times New Roman"/>
          <w:sz w:val="20"/>
          <w:szCs w:val="20"/>
          <w:color w:val="auto"/>
        </w:rPr>
      </w:pPr>
    </w:p>
    <w:p>
      <w:pPr>
        <w:jc w:val="both"/>
        <w:ind w:left="1022" w:hanging="511"/>
        <w:spacing w:after="0" w:line="338" w:lineRule="auto"/>
        <w:tabs>
          <w:tab w:leader="none" w:pos="1011"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Article 19.5.1 insofar as they relate to requirements identified under the Data Escrow Agreement and/or the provisions of SCHEDULE 19 (Data Processing) solely apply to the Luxembourg Seller as from the entry into force of its obligations under the Data Escrow Agreement.</w:t>
      </w:r>
    </w:p>
    <w:p>
      <w:pPr>
        <w:spacing w:after="0" w:line="226" w:lineRule="exact"/>
        <w:rPr>
          <w:sz w:val="20"/>
          <w:szCs w:val="20"/>
          <w:color w:val="auto"/>
        </w:rPr>
      </w:pPr>
    </w:p>
    <w:p>
      <w:pPr>
        <w:ind w:left="502" w:hanging="502"/>
        <w:spacing w:after="0"/>
        <w:tabs>
          <w:tab w:leader="none" w:pos="502"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ASSESSMENT REPORT AND BACK-UP SERVICER REPORT</w:t>
      </w:r>
    </w:p>
    <w:p>
      <w:pPr>
        <w:spacing w:after="0" w:line="139" w:lineRule="exact"/>
        <w:rPr>
          <w:sz w:val="20"/>
          <w:szCs w:val="20"/>
          <w:color w:val="auto"/>
        </w:rPr>
      </w:pPr>
    </w:p>
    <w:p>
      <w:pPr>
        <w:jc w:val="both"/>
        <w:ind w:left="502" w:hanging="502"/>
        <w:spacing w:after="0" w:line="338" w:lineRule="auto"/>
        <w:tabs>
          <w:tab w:leader="none" w:pos="491"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long as a Seller acts as collection agent in respect of any Sold Receivable, such Seller shall draw up or cause to be drawn up, an Assessment Report in the form set out in SCHEDULE 3, which shall be delivered by the Centralising Unit acting in the name and on behalf of the Sellers to the Agent on each Information Date.</w:t>
      </w:r>
    </w:p>
    <w:p>
      <w:pPr>
        <w:spacing w:after="0" w:line="189" w:lineRule="exact"/>
        <w:rPr>
          <w:rFonts w:ascii="Times New Roman" w:cs="Times New Roman" w:eastAsia="Times New Roman" w:hAnsi="Times New Roman"/>
          <w:sz w:val="20"/>
          <w:szCs w:val="20"/>
          <w:color w:val="auto"/>
        </w:rPr>
      </w:pPr>
    </w:p>
    <w:p>
      <w:pPr>
        <w:ind w:left="502" w:right="20" w:hanging="502"/>
        <w:spacing w:after="0" w:line="353" w:lineRule="auto"/>
        <w:tabs>
          <w:tab w:leader="none" w:pos="491"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termination of the Collection Mandate, in accordance with the provisions of Article 19.3, the Purchaser or, as the case may be, the Back-Up Servicers shall draw up a Back-Up Servicer Report on each Information Date.</w:t>
      </w:r>
    </w:p>
    <w:p>
      <w:pPr>
        <w:spacing w:after="0" w:line="210" w:lineRule="exact"/>
        <w:rPr>
          <w:sz w:val="20"/>
          <w:szCs w:val="20"/>
          <w:color w:val="auto"/>
        </w:rPr>
      </w:pPr>
    </w:p>
    <w:p>
      <w:pPr>
        <w:ind w:left="502" w:hanging="502"/>
        <w:spacing w:after="0"/>
        <w:tabs>
          <w:tab w:leader="none" w:pos="502"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APPLICATION OF PAYMENTS AND PAYMENTS OF COLLECTIONS</w:t>
      </w:r>
    </w:p>
    <w:p>
      <w:pPr>
        <w:spacing w:after="0" w:line="243" w:lineRule="exact"/>
        <w:rPr>
          <w:sz w:val="20"/>
          <w:szCs w:val="20"/>
          <w:color w:val="auto"/>
        </w:rPr>
      </w:pPr>
    </w:p>
    <w:p>
      <w:pPr>
        <w:ind w:left="502" w:hanging="502"/>
        <w:spacing w:after="0"/>
        <w:tabs>
          <w:tab w:leader="none" w:pos="502"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Application of Payments</w:t>
      </w:r>
    </w:p>
    <w:p>
      <w:pPr>
        <w:spacing w:after="0" w:line="193" w:lineRule="exact"/>
        <w:rPr>
          <w:sz w:val="20"/>
          <w:szCs w:val="20"/>
          <w:color w:val="auto"/>
        </w:rPr>
      </w:pPr>
    </w:p>
    <w:p>
      <w:pPr>
        <w:jc w:val="both"/>
        <w:ind w:left="122"/>
        <w:spacing w:after="0" w:line="338" w:lineRule="auto"/>
        <w:rPr>
          <w:sz w:val="20"/>
          <w:szCs w:val="20"/>
          <w:color w:val="auto"/>
        </w:rPr>
      </w:pPr>
      <w:r>
        <w:rPr>
          <w:rFonts w:ascii="Times New Roman" w:cs="Times New Roman" w:eastAsia="Times New Roman" w:hAnsi="Times New Roman"/>
          <w:sz w:val="20"/>
          <w:szCs w:val="20"/>
          <w:color w:val="auto"/>
        </w:rPr>
        <w:t>Subject to any applicable laws and to the provisions of the Collection Account Agreements, any payment received by a Seller from any of its Debtors shall be applied first to Sold Receivables (before being applied to other obligations of such Debtor), unless the said Debtor has given express instruction otherwise.</w:t>
      </w:r>
    </w:p>
    <w:p>
      <w:pPr>
        <w:spacing w:after="0" w:line="172" w:lineRule="exact"/>
        <w:rPr>
          <w:sz w:val="20"/>
          <w:szCs w:val="20"/>
          <w:color w:val="auto"/>
        </w:rPr>
      </w:pPr>
    </w:p>
    <w:p>
      <w:pPr>
        <w:ind w:left="502" w:hanging="502"/>
        <w:spacing w:after="0"/>
        <w:tabs>
          <w:tab w:leader="none" w:pos="50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of collections</w:t>
      </w:r>
    </w:p>
    <w:p>
      <w:pPr>
        <w:sectPr>
          <w:pgSz w:w="11900" w:h="16838" w:orient="portrait"/>
          <w:cols w:equalWidth="0" w:num="1">
            <w:col w:w="10722"/>
          </w:cols>
          <w:pgMar w:left="838" w:top="1440" w:right="339" w:bottom="1440" w:gutter="0" w:footer="0" w:header="0"/>
        </w:sectPr>
      </w:pPr>
    </w:p>
    <w:bookmarkStart w:id="209" w:name="page210"/>
    <w:bookmarkEnd w:id="209"/>
    <w:p>
      <w:pPr>
        <w:spacing w:after="0" w:line="203" w:lineRule="exact"/>
        <w:rPr>
          <w:sz w:val="20"/>
          <w:szCs w:val="20"/>
          <w:color w:val="auto"/>
        </w:rPr>
      </w:pPr>
    </w:p>
    <w:p>
      <w:pPr>
        <w:ind w:left="1002" w:hanging="491"/>
        <w:spacing w:after="0"/>
        <w:tabs>
          <w:tab w:leader="none" w:pos="1002"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so far as a Seller acts as collection agent in respect of any Sold Receivable, the Parties agree that:</w:t>
      </w:r>
    </w:p>
    <w:p>
      <w:pPr>
        <w:spacing w:after="0" w:line="188" w:lineRule="exact"/>
        <w:rPr>
          <w:rFonts w:ascii="Times New Roman" w:cs="Times New Roman" w:eastAsia="Times New Roman" w:hAnsi="Times New Roman"/>
          <w:sz w:val="20"/>
          <w:szCs w:val="20"/>
          <w:color w:val="auto"/>
        </w:rPr>
      </w:pPr>
    </w:p>
    <w:p>
      <w:pPr>
        <w:ind w:left="1602" w:hanging="654"/>
        <w:spacing w:after="0" w:line="353" w:lineRule="auto"/>
        <w:tabs>
          <w:tab w:leader="none" w:pos="1599"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Replenishment Period, on each Settlement Date, Adjusted Collections shall be recorded and applied in the manner provided for in Article 5 (</w:t>
      </w:r>
      <w:r>
        <w:rPr>
          <w:rFonts w:ascii="Times New Roman" w:cs="Times New Roman" w:eastAsia="Times New Roman" w:hAnsi="Times New Roman"/>
          <w:sz w:val="20"/>
          <w:szCs w:val="20"/>
          <w:i w:val="1"/>
          <w:iCs w:val="1"/>
          <w:color w:val="auto"/>
        </w:rPr>
        <w:t>Current Account</w:t>
      </w:r>
      <w:r>
        <w:rPr>
          <w:rFonts w:ascii="Times New Roman" w:cs="Times New Roman" w:eastAsia="Times New Roman" w:hAnsi="Times New Roman"/>
          <w:sz w:val="20"/>
          <w:szCs w:val="20"/>
          <w:color w:val="auto"/>
        </w:rPr>
        <w:t>);</w:t>
      </w:r>
    </w:p>
    <w:p>
      <w:pPr>
        <w:spacing w:after="0" w:line="65" w:lineRule="exact"/>
        <w:rPr>
          <w:rFonts w:ascii="Times New Roman" w:cs="Times New Roman" w:eastAsia="Times New Roman" w:hAnsi="Times New Roman"/>
          <w:sz w:val="20"/>
          <w:szCs w:val="20"/>
          <w:color w:val="auto"/>
        </w:rPr>
      </w:pPr>
    </w:p>
    <w:p>
      <w:pPr>
        <w:ind w:left="1602" w:hanging="654"/>
        <w:spacing w:after="0" w:line="353" w:lineRule="auto"/>
        <w:tabs>
          <w:tab w:leader="none" w:pos="16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Replenishment Period, on each Funded Settlement Date, the Cash Collections Advance shall be transferred by the Centralising Unit to the Purchaser's Account before 12:00 (noon) on such Settlement Date;</w:t>
      </w:r>
    </w:p>
    <w:p>
      <w:pPr>
        <w:spacing w:after="0" w:line="52" w:lineRule="exact"/>
        <w:rPr>
          <w:rFonts w:ascii="Times New Roman" w:cs="Times New Roman" w:eastAsia="Times New Roman" w:hAnsi="Times New Roman"/>
          <w:sz w:val="20"/>
          <w:szCs w:val="20"/>
          <w:color w:val="auto"/>
        </w:rPr>
      </w:pPr>
    </w:p>
    <w:p>
      <w:pPr>
        <w:ind w:left="1602" w:hanging="654"/>
        <w:spacing w:after="0" w:line="353" w:lineRule="auto"/>
        <w:tabs>
          <w:tab w:leader="none" w:pos="1601"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Business Day during the Amortisation Period, the Centralising Unit shall transfer to the Purchaser's Account the Actual Collections collected on such day.</w:t>
      </w:r>
    </w:p>
    <w:p>
      <w:pPr>
        <w:spacing w:after="0" w:line="52" w:lineRule="exact"/>
        <w:rPr>
          <w:sz w:val="20"/>
          <w:szCs w:val="20"/>
          <w:color w:val="auto"/>
        </w:rPr>
      </w:pPr>
    </w:p>
    <w:p>
      <w:pPr>
        <w:jc w:val="both"/>
        <w:ind w:left="862"/>
        <w:spacing w:after="0" w:line="334" w:lineRule="auto"/>
        <w:rPr>
          <w:sz w:val="20"/>
          <w:szCs w:val="20"/>
          <w:color w:val="auto"/>
        </w:rPr>
      </w:pPr>
      <w:r>
        <w:rPr>
          <w:rFonts w:ascii="Times New Roman" w:cs="Times New Roman" w:eastAsia="Times New Roman" w:hAnsi="Times New Roman"/>
          <w:sz w:val="20"/>
          <w:szCs w:val="20"/>
          <w:color w:val="auto"/>
        </w:rPr>
        <w:t>If a Seller no longer acts as collection agent in respect of any Sold Receivable, the Parties agree that the relevant Back-Up Servicer shall transfer to each relevant Purchaser's Collection Account the Actual Collections made in relation to the Sold Receivables purchased from such Seller. Such Actual Collections shall be applied to the payments in the manner provided for in Article 5 (</w:t>
      </w:r>
      <w:r>
        <w:rPr>
          <w:rFonts w:ascii="Times New Roman" w:cs="Times New Roman" w:eastAsia="Times New Roman" w:hAnsi="Times New Roman"/>
          <w:sz w:val="20"/>
          <w:szCs w:val="20"/>
          <w:i w:val="1"/>
          <w:iCs w:val="1"/>
          <w:color w:val="auto"/>
        </w:rPr>
        <w:t>Current</w:t>
      </w:r>
      <w:r>
        <w:rPr>
          <w:rFonts w:ascii="Times New Roman" w:cs="Times New Roman" w:eastAsia="Times New Roman" w:hAnsi="Times New Roman"/>
          <w:sz w:val="20"/>
          <w:szCs w:val="20"/>
          <w:color w:val="auto"/>
        </w:rPr>
        <w:t xml:space="preserve"> Account) until the Commitment Expiry Date, and thereafter, as provided for in Article 14 (</w:t>
      </w:r>
      <w:r>
        <w:rPr>
          <w:rFonts w:ascii="Times New Roman" w:cs="Times New Roman" w:eastAsia="Times New Roman" w:hAnsi="Times New Roman"/>
          <w:sz w:val="20"/>
          <w:szCs w:val="20"/>
          <w:i w:val="1"/>
          <w:iCs w:val="1"/>
          <w:color w:val="auto"/>
        </w:rPr>
        <w:t>Order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Priority during the Amortisation Period</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1022" w:hanging="511"/>
        <w:spacing w:after="0" w:line="353" w:lineRule="auto"/>
        <w:tabs>
          <w:tab w:leader="none" w:pos="1011"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for in Article 21.2.1, the Sellers and the Centralising Unit shall not be required to transfer any collections to the Purchaser.</w:t>
      </w:r>
    </w:p>
    <w:p>
      <w:pPr>
        <w:spacing w:after="0" w:line="156"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Collection Accounts</w:t>
      </w:r>
    </w:p>
    <w:p>
      <w:pPr>
        <w:spacing w:after="0" w:line="206" w:lineRule="exact"/>
        <w:rPr>
          <w:sz w:val="20"/>
          <w:szCs w:val="20"/>
          <w:color w:val="auto"/>
        </w:rPr>
      </w:pPr>
    </w:p>
    <w:p>
      <w:pPr>
        <w:jc w:val="both"/>
        <w:ind w:left="542"/>
        <w:spacing w:after="0" w:line="332" w:lineRule="auto"/>
        <w:rPr>
          <w:sz w:val="20"/>
          <w:szCs w:val="20"/>
          <w:color w:val="auto"/>
        </w:rPr>
      </w:pPr>
      <w:r>
        <w:rPr>
          <w:rFonts w:ascii="Times New Roman" w:cs="Times New Roman" w:eastAsia="Times New Roman" w:hAnsi="Times New Roman"/>
          <w:sz w:val="20"/>
          <w:szCs w:val="20"/>
          <w:color w:val="auto"/>
        </w:rPr>
        <w:t>The Sellers and the Purchaser have agreed to put in place Collection Accounts in each jurisdiction in which a Seller is located in order to segregate any cash received by the Sellers, when acting in their capacity as collection agent under the foregoing provisions and the relevant Receivables Purchase Agreement. A list of the Collection Accounts as of the 2025 Amendment Date is attached in SCHEDULE 18 (</w:t>
      </w:r>
      <w:r>
        <w:rPr>
          <w:rFonts w:ascii="Times New Roman" w:cs="Times New Roman" w:eastAsia="Times New Roman" w:hAnsi="Times New Roman"/>
          <w:sz w:val="20"/>
          <w:szCs w:val="20"/>
          <w:i w:val="1"/>
          <w:iCs w:val="1"/>
          <w:color w:val="auto"/>
        </w:rPr>
        <w:t>List of the Collection Accounts (as of the 2025 Amendment Date)</w:t>
      </w:r>
      <w:r>
        <w:rPr>
          <w:rFonts w:ascii="Times New Roman" w:cs="Times New Roman" w:eastAsia="Times New Roman" w:hAnsi="Times New Roman"/>
          <w:sz w:val="20"/>
          <w:szCs w:val="20"/>
          <w:color w:val="auto"/>
        </w:rPr>
        <w:t>). Without prejudice and subject to the provisions of any Collection Account Agreement, the Centralising Unit shall inform the Purchaser as soon as possible of any intent to change any existing Collection Account.</w:t>
      </w:r>
    </w:p>
    <w:p>
      <w:pPr>
        <w:spacing w:after="0" w:line="76" w:lineRule="exact"/>
        <w:rPr>
          <w:sz w:val="20"/>
          <w:szCs w:val="20"/>
          <w:color w:val="auto"/>
        </w:rPr>
      </w:pPr>
    </w:p>
    <w:p>
      <w:pPr>
        <w:jc w:val="both"/>
        <w:ind w:left="542"/>
        <w:spacing w:after="0" w:line="362" w:lineRule="auto"/>
        <w:rPr>
          <w:sz w:val="20"/>
          <w:szCs w:val="20"/>
          <w:color w:val="auto"/>
        </w:rPr>
      </w:pPr>
      <w:r>
        <w:rPr>
          <w:rFonts w:ascii="Times New Roman" w:cs="Times New Roman" w:eastAsia="Times New Roman" w:hAnsi="Times New Roman"/>
          <w:sz w:val="19"/>
          <w:szCs w:val="19"/>
          <w:color w:val="auto"/>
        </w:rPr>
        <w:t>A Collection Account Agreement shall be concluded in relation to each Collection Account. Further, from the 2014 Amendment Date, all Collection Accounts used by the French Seller for the purposes of the Securitisation Transaction shall be subject to the New Collection Account Agreement or any agreement substantially in the form of the New Collection Account Agreement.</w:t>
      </w:r>
    </w:p>
    <w:p>
      <w:pPr>
        <w:sectPr>
          <w:pgSz w:w="11900" w:h="16838" w:orient="portrait"/>
          <w:cols w:equalWidth="0" w:num="1">
            <w:col w:w="10722"/>
          </w:cols>
          <w:pgMar w:left="838" w:top="1440" w:right="339" w:bottom="1440" w:gutter="0" w:footer="0" w:header="0"/>
        </w:sectPr>
      </w:pPr>
    </w:p>
    <w:bookmarkStart w:id="210" w:name="page211"/>
    <w:bookmarkEnd w:id="210"/>
    <w:p>
      <w:pPr>
        <w:spacing w:after="0" w:line="95"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Notwithstanding the provisions of Article 21.1 hereof and of the Collection Account Agreements, the Purchaser agrees that, in the event that the Centralising Unit provides reasonably satisfactory evidence that a payment made to any Collection Account does not relate to Sold Receivables or Retransferred Receivables, the Purchaser shall promptly authorise the return of such payment to the Centralising Unit, within the limit of the credit balance of the relevant Collection Account.</w:t>
      </w:r>
    </w:p>
    <w:p>
      <w:pPr>
        <w:spacing w:after="0" w:line="226" w:lineRule="exact"/>
        <w:rPr>
          <w:sz w:val="20"/>
          <w:szCs w:val="20"/>
          <w:color w:val="auto"/>
        </w:rPr>
      </w:pPr>
    </w:p>
    <w:p>
      <w:pPr>
        <w:ind w:left="502" w:hanging="502"/>
        <w:spacing w:after="0"/>
        <w:tabs>
          <w:tab w:leader="none" w:pos="502" w:val="left"/>
        </w:tabs>
        <w:numPr>
          <w:ilvl w:val="0"/>
          <w:numId w:val="2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RENEGOTIATION</w:t>
      </w:r>
    </w:p>
    <w:p>
      <w:pPr>
        <w:spacing w:after="0" w:line="121" w:lineRule="exact"/>
        <w:rPr>
          <w:sz w:val="20"/>
          <w:szCs w:val="20"/>
          <w:color w:val="auto"/>
        </w:rPr>
      </w:pPr>
    </w:p>
    <w:p>
      <w:pPr>
        <w:ind w:left="502" w:hanging="502"/>
        <w:spacing w:after="0"/>
        <w:tabs>
          <w:tab w:leader="none" w:pos="502" w:val="left"/>
        </w:tabs>
        <w:numPr>
          <w:ilvl w:val="0"/>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Authorisation to renegotiate in Insolvency Proceedings</w:t>
      </w:r>
    </w:p>
    <w:p>
      <w:pPr>
        <w:spacing w:after="0" w:line="206"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Each Seller acting on behalf of the Purchaser may, in the context of Insolvency Proceedings relating to any Debtor (if Insolvency Proceedings apply to such Debtor), participate in the setting up of a voluntary rescheduling and may make proposals for that purpose, provided that:</w:t>
      </w:r>
    </w:p>
    <w:p>
      <w:pPr>
        <w:spacing w:after="0" w:line="64" w:lineRule="exact"/>
        <w:rPr>
          <w:sz w:val="20"/>
          <w:szCs w:val="20"/>
          <w:color w:val="auto"/>
        </w:rPr>
      </w:pPr>
    </w:p>
    <w:p>
      <w:pPr>
        <w:ind w:left="1182" w:hanging="639"/>
        <w:spacing w:after="0"/>
        <w:tabs>
          <w:tab w:leader="none" w:pos="1182"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complies with its obligations under Article 24 (</w:t>
      </w:r>
      <w:r>
        <w:rPr>
          <w:rFonts w:ascii="Times New Roman" w:cs="Times New Roman" w:eastAsia="Times New Roman" w:hAnsi="Times New Roman"/>
          <w:sz w:val="20"/>
          <w:szCs w:val="20"/>
          <w:i w:val="1"/>
          <w:iCs w:val="1"/>
          <w:color w:val="auto"/>
        </w:rPr>
        <w:t>Obligations of care</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left="1182" w:hanging="639"/>
        <w:spacing w:after="0" w:line="353" w:lineRule="auto"/>
        <w:tabs>
          <w:tab w:leader="none" w:pos="11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Outstanding Amount of the Sold Receivables subject to such renegotiation exceeds € 1,500,000, it has obtained the prior written consent of the Purchaser to renegotiate,</w:t>
      </w:r>
    </w:p>
    <w:p>
      <w:pPr>
        <w:spacing w:after="0" w:line="25"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0"/>
          <w:szCs w:val="20"/>
          <w:color w:val="auto"/>
        </w:rPr>
        <w:t>in any event, in accordance with the Credit and Collection Policies.</w:t>
      </w:r>
    </w:p>
    <w:p>
      <w:pPr>
        <w:spacing w:after="0" w:line="252" w:lineRule="exact"/>
        <w:rPr>
          <w:sz w:val="20"/>
          <w:szCs w:val="20"/>
          <w:color w:val="auto"/>
        </w:rPr>
      </w:pPr>
    </w:p>
    <w:p>
      <w:pPr>
        <w:ind w:left="502" w:hanging="502"/>
        <w:spacing w:after="0"/>
        <w:tabs>
          <w:tab w:leader="none" w:pos="502"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Renegotiations as to amount and Maturity Date</w:t>
      </w:r>
    </w:p>
    <w:p>
      <w:pPr>
        <w:spacing w:after="0" w:line="193"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The Purchaser agrees that each Seller, acting on behalf of the Purchaser, may issue Credit Notes, Year End Rebates or Commercial Discounts in accordance with the Credit and Collection Policies and accordingly modify the amount and Maturity Date of the Sold Receivables for which such Credit Notes, Year End Rebates or Commercial Discounts have been issued, provided that the Seller performs its obligations set forth under Article 26 (</w:t>
      </w:r>
      <w:r>
        <w:rPr>
          <w:rFonts w:ascii="Times New Roman" w:cs="Times New Roman" w:eastAsia="Times New Roman" w:hAnsi="Times New Roman"/>
          <w:sz w:val="20"/>
          <w:szCs w:val="20"/>
          <w:i w:val="1"/>
          <w:iCs w:val="1"/>
          <w:color w:val="auto"/>
        </w:rPr>
        <w:t>Deemed collections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502" w:hanging="502"/>
        <w:spacing w:after="0"/>
        <w:tabs>
          <w:tab w:leader="none" w:pos="502"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renegotiations</w:t>
      </w:r>
    </w:p>
    <w:p>
      <w:pPr>
        <w:spacing w:after="0" w:line="193"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19"/>
          <w:szCs w:val="19"/>
          <w:color w:val="auto"/>
        </w:rPr>
        <w:t>Subject to the provisions of Articles 22.1 and 22.2, the Purchaser authorises each Seller, acting in the name and on behalf of the</w:t>
      </w:r>
    </w:p>
    <w:p>
      <w:pPr>
        <w:spacing w:after="0" w:line="92"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0"/>
          <w:szCs w:val="20"/>
          <w:color w:val="auto"/>
        </w:rPr>
        <w:t>Purchaser, to agree to new terms in relation to any Sold Receivable:</w:t>
      </w:r>
    </w:p>
    <w:p>
      <w:pPr>
        <w:spacing w:after="0" w:line="310" w:lineRule="exact"/>
        <w:rPr>
          <w:sz w:val="20"/>
          <w:szCs w:val="20"/>
          <w:color w:val="auto"/>
        </w:rPr>
      </w:pPr>
    </w:p>
    <w:p>
      <w:pPr>
        <w:ind w:left="1522" w:hanging="501"/>
        <w:spacing w:after="0"/>
        <w:tabs>
          <w:tab w:leader="none" w:pos="1522"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Purchaser expressly consents in writing;</w:t>
      </w:r>
    </w:p>
    <w:p>
      <w:pPr>
        <w:spacing w:after="0" w:line="296" w:lineRule="exact"/>
        <w:rPr>
          <w:rFonts w:ascii="Times New Roman" w:cs="Times New Roman" w:eastAsia="Times New Roman" w:hAnsi="Times New Roman"/>
          <w:sz w:val="20"/>
          <w:szCs w:val="20"/>
          <w:color w:val="auto"/>
        </w:rPr>
      </w:pPr>
    </w:p>
    <w:p>
      <w:pPr>
        <w:ind w:left="1522" w:hanging="501"/>
        <w:spacing w:after="0"/>
        <w:tabs>
          <w:tab w:leader="none" w:pos="1522"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prior notification to or consent of the Purchaser, provided that such renegotiation:</w:t>
      </w:r>
    </w:p>
    <w:p>
      <w:pPr>
        <w:spacing w:after="0" w:line="130" w:lineRule="exact"/>
        <w:rPr>
          <w:rFonts w:ascii="Times New Roman" w:cs="Times New Roman" w:eastAsia="Times New Roman" w:hAnsi="Times New Roman"/>
          <w:sz w:val="20"/>
          <w:szCs w:val="20"/>
          <w:color w:val="auto"/>
        </w:rPr>
      </w:pPr>
    </w:p>
    <w:p>
      <w:pPr>
        <w:ind w:left="1782" w:hanging="761"/>
        <w:spacing w:after="0"/>
        <w:tabs>
          <w:tab w:leader="none" w:pos="1782"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its obligations under Article 24 (</w:t>
      </w:r>
      <w:r>
        <w:rPr>
          <w:rFonts w:ascii="Times New Roman" w:cs="Times New Roman" w:eastAsia="Times New Roman" w:hAnsi="Times New Roman"/>
          <w:sz w:val="20"/>
          <w:szCs w:val="20"/>
          <w:i w:val="1"/>
          <w:iCs w:val="1"/>
          <w:color w:val="auto"/>
        </w:rPr>
        <w:t>Obligations of care</w:t>
      </w:r>
      <w:r>
        <w:rPr>
          <w:rFonts w:ascii="Times New Roman" w:cs="Times New Roman" w:eastAsia="Times New Roman" w:hAnsi="Times New Roman"/>
          <w:sz w:val="20"/>
          <w:szCs w:val="20"/>
          <w:color w:val="auto"/>
        </w:rPr>
        <w:t>); and</w:t>
      </w:r>
    </w:p>
    <w:p>
      <w:pPr>
        <w:spacing w:after="0" w:line="84" w:lineRule="exact"/>
        <w:rPr>
          <w:rFonts w:ascii="Times New Roman" w:cs="Times New Roman" w:eastAsia="Times New Roman" w:hAnsi="Times New Roman"/>
          <w:sz w:val="20"/>
          <w:szCs w:val="20"/>
          <w:color w:val="auto"/>
        </w:rPr>
      </w:pPr>
    </w:p>
    <w:p>
      <w:pPr>
        <w:ind w:left="1782" w:hanging="761"/>
        <w:spacing w:after="0" w:line="233" w:lineRule="auto"/>
        <w:tabs>
          <w:tab w:leader="none" w:pos="1771"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adversely affect the rights of the Purchaser under such Sold Receivables, including any security interests, privileges and ancillary rights attached thereto; or</w:t>
      </w:r>
    </w:p>
    <w:p>
      <w:pPr>
        <w:sectPr>
          <w:pgSz w:w="11900" w:h="16838" w:orient="portrait"/>
          <w:cols w:equalWidth="0" w:num="1">
            <w:col w:w="10722"/>
          </w:cols>
          <w:pgMar w:left="838" w:top="1440" w:right="339" w:bottom="1440" w:gutter="0" w:footer="0" w:header="0"/>
        </w:sectPr>
      </w:pPr>
    </w:p>
    <w:bookmarkStart w:id="211" w:name="page212"/>
    <w:bookmarkEnd w:id="211"/>
    <w:p>
      <w:pPr>
        <w:spacing w:after="0" w:line="203" w:lineRule="exact"/>
        <w:rPr>
          <w:sz w:val="20"/>
          <w:szCs w:val="20"/>
          <w:color w:val="auto"/>
        </w:rPr>
      </w:pPr>
    </w:p>
    <w:p>
      <w:pPr>
        <w:ind w:left="1022" w:right="700" w:hanging="1"/>
        <w:spacing w:after="0" w:line="575" w:lineRule="auto"/>
        <w:tabs>
          <w:tab w:leader="none" w:pos="1513"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prior notification to or consent of the Purchaser, if such Sold Receivable is a Defaulted Receivable, in any event, in accordance with the Credit and Collection Policies.</w:t>
      </w:r>
    </w:p>
    <w:p>
      <w:pPr>
        <w:spacing w:after="0" w:line="1"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 MANDATE</w:t>
      </w:r>
    </w:p>
    <w:p>
      <w:pPr>
        <w:spacing w:after="0" w:line="139" w:lineRule="exact"/>
        <w:rPr>
          <w:sz w:val="20"/>
          <w:szCs w:val="20"/>
          <w:color w:val="auto"/>
        </w:rPr>
      </w:pPr>
    </w:p>
    <w:p>
      <w:pPr>
        <w:jc w:val="both"/>
        <w:ind w:left="542"/>
        <w:spacing w:after="0" w:line="332" w:lineRule="auto"/>
        <w:rPr>
          <w:sz w:val="20"/>
          <w:szCs w:val="20"/>
          <w:color w:val="auto"/>
        </w:rPr>
      </w:pPr>
      <w:r>
        <w:rPr>
          <w:rFonts w:ascii="Times New Roman" w:cs="Times New Roman" w:eastAsia="Times New Roman" w:hAnsi="Times New Roman"/>
          <w:sz w:val="20"/>
          <w:szCs w:val="20"/>
          <w:color w:val="auto"/>
        </w:rPr>
        <w:t>The Purchaser hereby appoints each Seller as its agent to undertake and to conduct, in the name and on behalf of the Purchaser, all proceedings in court or out of court as are necessary for the collection of the Sold Receivables, including those deeds and formalities required for such proceedings, subject to compliance with its obligations set out in Article 24 (</w:t>
      </w:r>
      <w:r>
        <w:rPr>
          <w:rFonts w:ascii="Times New Roman" w:cs="Times New Roman" w:eastAsia="Times New Roman" w:hAnsi="Times New Roman"/>
          <w:sz w:val="20"/>
          <w:szCs w:val="20"/>
          <w:i w:val="1"/>
          <w:iCs w:val="1"/>
          <w:color w:val="auto"/>
        </w:rPr>
        <w:t>Obligations of care</w:t>
      </w:r>
      <w:r>
        <w:rPr>
          <w:rFonts w:ascii="Times New Roman" w:cs="Times New Roman" w:eastAsia="Times New Roman" w:hAnsi="Times New Roman"/>
          <w:sz w:val="20"/>
          <w:szCs w:val="20"/>
          <w:color w:val="auto"/>
        </w:rPr>
        <w:t>). In particular, each Seller shall freely issue and conduct, in the name and on behalf of the Purchaser, all writs, pleadings, arguments, enforcement proceedings, interventions by agreement or order, defences, defences to third party proceedings, and appeals, as may be necessary in its opinion to recover the sums due under the Sold Receivables.</w:t>
      </w:r>
    </w:p>
    <w:p>
      <w:pPr>
        <w:spacing w:after="0" w:line="76"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The Purchaser agrees that it shall intervene in any claims or proceedings initiated upon such Seller's request to assist such Seller in any claims or proceedings initiated by the latter, in the event that such Seller deems it necessary or whenever required by the applicable statutory or regulatory provisions.</w:t>
      </w:r>
    </w:p>
    <w:p>
      <w:pPr>
        <w:spacing w:after="0" w:line="81" w:lineRule="exact"/>
        <w:rPr>
          <w:sz w:val="20"/>
          <w:szCs w:val="20"/>
          <w:color w:val="auto"/>
        </w:rPr>
      </w:pPr>
    </w:p>
    <w:p>
      <w:pPr>
        <w:jc w:val="both"/>
        <w:ind w:left="542"/>
        <w:spacing w:after="0" w:line="329" w:lineRule="auto"/>
        <w:rPr>
          <w:sz w:val="20"/>
          <w:szCs w:val="20"/>
          <w:color w:val="auto"/>
        </w:rPr>
      </w:pPr>
      <w:r>
        <w:rPr>
          <w:rFonts w:ascii="Times New Roman" w:cs="Times New Roman" w:eastAsia="Times New Roman" w:hAnsi="Times New Roman"/>
          <w:sz w:val="20"/>
          <w:szCs w:val="20"/>
          <w:color w:val="auto"/>
        </w:rPr>
        <w:t>Each Seller agrees that it shall intervene in any claim or proceedings initiated upon the Purchaser's request to assist the Purchaser in any claims or proceedings initiated by the Purchaser, in the event that the Purchaser deems it necessary or whenever required by the applicable statutory or regulatory provisions, provided that the Purchaser shall only be entitled to initiate any such claim or proceeding in the event that (i) the collection mandate of the Sellers has been terminated pursuant to the provisions of Article 19.3 or (ii) after the Program Expiry Date, any amount remains due to the Purchaser under any of the Transaction Documents.</w:t>
      </w:r>
    </w:p>
    <w:p>
      <w:pPr>
        <w:spacing w:after="0" w:line="93" w:lineRule="exact"/>
        <w:rPr>
          <w:sz w:val="20"/>
          <w:szCs w:val="20"/>
          <w:color w:val="auto"/>
        </w:rPr>
      </w:pPr>
    </w:p>
    <w:p>
      <w:pPr>
        <w:jc w:val="both"/>
        <w:ind w:left="542" w:right="20"/>
        <w:spacing w:after="0" w:line="353" w:lineRule="auto"/>
        <w:rPr>
          <w:sz w:val="20"/>
          <w:szCs w:val="20"/>
          <w:color w:val="auto"/>
        </w:rPr>
      </w:pPr>
      <w:r>
        <w:rPr>
          <w:rFonts w:ascii="Times New Roman" w:cs="Times New Roman" w:eastAsia="Times New Roman" w:hAnsi="Times New Roman"/>
          <w:sz w:val="20"/>
          <w:szCs w:val="20"/>
          <w:color w:val="auto"/>
        </w:rPr>
        <w:t>Furthermore, the Purchaser authorises each Seller to issue, as appropriate, a subrogation receipt to any third party in return for any full and irrevocable payment made by that third party in substitution for any Debtor.</w:t>
      </w:r>
    </w:p>
    <w:p>
      <w:pPr>
        <w:spacing w:after="0" w:line="52"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0"/>
          <w:szCs w:val="20"/>
          <w:color w:val="auto"/>
        </w:rPr>
        <w:t>Any expenses incurred by each Seller in carrying out its mandate shall be borne exclusively by such Seller.</w:t>
      </w:r>
    </w:p>
    <w:p>
      <w:pPr>
        <w:spacing w:after="0" w:line="347" w:lineRule="exact"/>
        <w:rPr>
          <w:sz w:val="20"/>
          <w:szCs w:val="20"/>
          <w:color w:val="auto"/>
        </w:rPr>
      </w:pPr>
    </w:p>
    <w:p>
      <w:pPr>
        <w:ind w:left="502" w:hanging="502"/>
        <w:spacing w:after="0"/>
        <w:tabs>
          <w:tab w:leader="none" w:pos="502" w:val="left"/>
        </w:tabs>
        <w:numPr>
          <w:ilvl w:val="0"/>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OBLIGATIONS OF CARE</w:t>
      </w:r>
    </w:p>
    <w:p>
      <w:pPr>
        <w:spacing w:after="0" w:line="139"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Each Seller undertakes to act in the collection of the sums due under the Sold Receivables in accordance with the standards of a prudent and informed businessman, and to be no less diligent than it would be in collecting sums due under its own receivables, and in particular:</w:t>
      </w:r>
    </w:p>
    <w:p>
      <w:pPr>
        <w:sectPr>
          <w:pgSz w:w="11900" w:h="16838" w:orient="portrait"/>
          <w:cols w:equalWidth="0" w:num="1">
            <w:col w:w="10722"/>
          </w:cols>
          <w:pgMar w:left="838" w:top="1440" w:right="339" w:bottom="1440" w:gutter="0" w:footer="0" w:header="0"/>
        </w:sectPr>
      </w:pPr>
    </w:p>
    <w:bookmarkStart w:id="212" w:name="page213"/>
    <w:bookmarkEnd w:id="212"/>
    <w:p>
      <w:pPr>
        <w:spacing w:after="0" w:line="95" w:lineRule="exact"/>
        <w:rPr>
          <w:sz w:val="20"/>
          <w:szCs w:val="20"/>
          <w:color w:val="auto"/>
        </w:rPr>
      </w:pPr>
    </w:p>
    <w:p>
      <w:pPr>
        <w:ind w:left="782" w:hanging="654"/>
        <w:spacing w:after="0" w:line="353" w:lineRule="auto"/>
        <w:tabs>
          <w:tab w:leader="none" w:pos="78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apply to the collection of the sums due under the Sold Receivables, procedures that comply in all material respects with all applicable laws and regulations and the contracts underlying the Sold Receivables;</w:t>
      </w:r>
    </w:p>
    <w:p>
      <w:pPr>
        <w:spacing w:after="0" w:line="52" w:lineRule="exact"/>
        <w:rPr>
          <w:rFonts w:ascii="Times New Roman" w:cs="Times New Roman" w:eastAsia="Times New Roman" w:hAnsi="Times New Roman"/>
          <w:sz w:val="20"/>
          <w:szCs w:val="20"/>
          <w:color w:val="auto"/>
        </w:rPr>
      </w:pPr>
    </w:p>
    <w:p>
      <w:pPr>
        <w:ind w:left="782" w:hanging="654"/>
        <w:spacing w:after="0" w:line="367" w:lineRule="auto"/>
        <w:tabs>
          <w:tab w:leader="none" w:pos="78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such measures as may reasonably be required to ensure that all Liens, rights, claims, privileges and other benefits (</w:t>
      </w:r>
      <w:r>
        <w:rPr>
          <w:rFonts w:ascii="Times New Roman" w:cs="Times New Roman" w:eastAsia="Times New Roman" w:hAnsi="Times New Roman"/>
          <w:sz w:val="20"/>
          <w:szCs w:val="20"/>
          <w:i w:val="1"/>
          <w:iCs w:val="1"/>
          <w:color w:val="auto"/>
        </w:rPr>
        <w:t>droits accessoires</w:t>
      </w:r>
      <w:r>
        <w:rPr>
          <w:rFonts w:ascii="Times New Roman" w:cs="Times New Roman" w:eastAsia="Times New Roman" w:hAnsi="Times New Roman"/>
          <w:sz w:val="20"/>
          <w:szCs w:val="20"/>
          <w:color w:val="auto"/>
        </w:rPr>
        <w:t>) attached to the Sold Receivables, remain in force and are exercised in a timely fashion;</w:t>
      </w:r>
    </w:p>
    <w:p>
      <w:pPr>
        <w:spacing w:after="0" w:line="39" w:lineRule="exact"/>
        <w:rPr>
          <w:rFonts w:ascii="Times New Roman" w:cs="Times New Roman" w:eastAsia="Times New Roman" w:hAnsi="Times New Roman"/>
          <w:sz w:val="20"/>
          <w:szCs w:val="20"/>
          <w:color w:val="auto"/>
        </w:rPr>
      </w:pPr>
    </w:p>
    <w:p>
      <w:pPr>
        <w:ind w:left="782" w:right="20" w:hanging="654"/>
        <w:spacing w:after="0" w:line="353" w:lineRule="auto"/>
        <w:tabs>
          <w:tab w:leader="none" w:pos="781"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such steps as are reasonably necessary to oppose any claim challenging the existence, validity, amount or maturity of the Sold Receivables or the Liens, rights, claims, privileges and other benefits attached thereto, if any;</w:t>
      </w:r>
    </w:p>
    <w:p>
      <w:pPr>
        <w:spacing w:after="0" w:line="52" w:lineRule="exact"/>
        <w:rPr>
          <w:rFonts w:ascii="Times New Roman" w:cs="Times New Roman" w:eastAsia="Times New Roman" w:hAnsi="Times New Roman"/>
          <w:sz w:val="20"/>
          <w:szCs w:val="20"/>
          <w:color w:val="auto"/>
        </w:rPr>
      </w:pPr>
    </w:p>
    <w:p>
      <w:pPr>
        <w:ind w:left="782" w:right="20" w:hanging="654"/>
        <w:spacing w:after="0" w:line="353" w:lineRule="auto"/>
        <w:tabs>
          <w:tab w:leader="none" w:pos="77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such steps, including without limitation any legal actions such as proceedings in court, as may be reasonably necessary and appropriate for the collection of the sums due under the Sold Receivables; and</w:t>
      </w:r>
    </w:p>
    <w:p>
      <w:pPr>
        <w:spacing w:after="0" w:line="48" w:lineRule="exact"/>
        <w:rPr>
          <w:rFonts w:ascii="Times New Roman" w:cs="Times New Roman" w:eastAsia="Times New Roman" w:hAnsi="Times New Roman"/>
          <w:sz w:val="20"/>
          <w:szCs w:val="20"/>
          <w:color w:val="auto"/>
        </w:rPr>
      </w:pPr>
    </w:p>
    <w:p>
      <w:pPr>
        <w:jc w:val="both"/>
        <w:ind w:left="782" w:hanging="654"/>
        <w:spacing w:after="0" w:line="347" w:lineRule="auto"/>
        <w:tabs>
          <w:tab w:leader="none" w:pos="769"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such steps to cause any attachment,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or any other enforcement measure levied or applied against any accounts where the sums due pursuant to the collection of Sold Receivables are received, to be released or withdrawn within thirty (30) calendar days.</w:t>
      </w:r>
    </w:p>
    <w:p>
      <w:pPr>
        <w:spacing w:after="0" w:line="217" w:lineRule="exact"/>
        <w:rPr>
          <w:sz w:val="20"/>
          <w:szCs w:val="20"/>
          <w:color w:val="auto"/>
        </w:rPr>
      </w:pPr>
    </w:p>
    <w:p>
      <w:pPr>
        <w:ind w:left="502" w:hanging="502"/>
        <w:spacing w:after="0"/>
        <w:tabs>
          <w:tab w:leader="none" w:pos="502"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COMMISSION FOR AND COSTS OF COLLECTION</w:t>
      </w:r>
    </w:p>
    <w:p>
      <w:pPr>
        <w:spacing w:after="0" w:line="139" w:lineRule="exact"/>
        <w:rPr>
          <w:sz w:val="20"/>
          <w:szCs w:val="20"/>
          <w:color w:val="auto"/>
        </w:rPr>
      </w:pPr>
    </w:p>
    <w:p>
      <w:pPr>
        <w:ind w:left="502" w:hanging="502"/>
        <w:spacing w:after="0" w:line="353" w:lineRule="auto"/>
        <w:tabs>
          <w:tab w:leader="none" w:pos="491"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Sellers to whom such tasks are delegated shall not receive a commission or remuneration for providing the collection service.</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shall bear its own costs incurred in the course of providing the collection service, without any claim against the Purchaser, for reimbursement. The termination of the mandate granted to the Sellers in Article 19 (</w:t>
      </w:r>
      <w:r>
        <w:rPr>
          <w:rFonts w:ascii="Times New Roman" w:cs="Times New Roman" w:eastAsia="Times New Roman" w:hAnsi="Times New Roman"/>
          <w:sz w:val="20"/>
          <w:szCs w:val="20"/>
          <w:i w:val="1"/>
          <w:iCs w:val="1"/>
          <w:color w:val="auto"/>
        </w:rPr>
        <w:t>Collection of Sold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Receivables</w:t>
      </w:r>
      <w:r>
        <w:rPr>
          <w:rFonts w:ascii="Times New Roman" w:cs="Times New Roman" w:eastAsia="Times New Roman" w:hAnsi="Times New Roman"/>
          <w:sz w:val="20"/>
          <w:szCs w:val="20"/>
          <w:color w:val="auto"/>
        </w:rPr>
        <w:t>) shall not give to the Sellers any right to compensation.</w:t>
      </w:r>
    </w:p>
    <w:p>
      <w:pPr>
        <w:spacing w:after="0" w:line="175" w:lineRule="exact"/>
        <w:rPr>
          <w:rFonts w:ascii="Times New Roman" w:cs="Times New Roman" w:eastAsia="Times New Roman" w:hAnsi="Times New Roman"/>
          <w:sz w:val="20"/>
          <w:szCs w:val="20"/>
          <w:color w:val="auto"/>
        </w:rPr>
      </w:pPr>
    </w:p>
    <w:p>
      <w:pPr>
        <w:jc w:val="both"/>
        <w:ind w:left="502" w:hanging="502"/>
        <w:spacing w:after="0" w:line="334" w:lineRule="auto"/>
        <w:tabs>
          <w:tab w:leader="none" w:pos="491"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(or several) Back-Up Servicer(s) is(are) appointed to act as agent for the collection of all or part of the Sold Receivables pursuant to the terms of Article 19.3, such Back-Up Servicer(s) shall be entitled to receive from the Centralising Unit, acting on behalf of the Sellers, a fee to be agreed from time to time between the Purchaser and the Back Up Servicer on any Funded Settlement Date following its appointment until the Program Expiry Date. The Parties acknowledge that the payment of such fee shall be expressly excluded from the Current Account mechanism.</w:t>
      </w:r>
    </w:p>
    <w:p>
      <w:pPr>
        <w:spacing w:after="0" w:line="74" w:lineRule="exact"/>
        <w:rPr>
          <w:sz w:val="20"/>
          <w:szCs w:val="20"/>
          <w:color w:val="auto"/>
        </w:rPr>
      </w:pPr>
    </w:p>
    <w:p>
      <w:pPr>
        <w:jc w:val="both"/>
        <w:ind w:left="462"/>
        <w:spacing w:after="0" w:line="338" w:lineRule="auto"/>
        <w:rPr>
          <w:sz w:val="20"/>
          <w:szCs w:val="20"/>
          <w:color w:val="auto"/>
        </w:rPr>
      </w:pPr>
      <w:r>
        <w:rPr>
          <w:rFonts w:ascii="Times New Roman" w:cs="Times New Roman" w:eastAsia="Times New Roman" w:hAnsi="Times New Roman"/>
          <w:sz w:val="20"/>
          <w:szCs w:val="20"/>
          <w:color w:val="auto"/>
        </w:rPr>
        <w:t>In the event that the Centralising Unit fails to pay the amounts referred to under this Article 25.3 on any Funded Settlement Date, the Purchaser shall proceed forthwith to the payment of such amounts, on the Centralising Unit's behalf. As such, the Purchaser shall be, upon delivery of a subrogation notice (</w:t>
      </w:r>
      <w:r>
        <w:rPr>
          <w:rFonts w:ascii="Times New Roman" w:cs="Times New Roman" w:eastAsia="Times New Roman" w:hAnsi="Times New Roman"/>
          <w:sz w:val="20"/>
          <w:szCs w:val="20"/>
          <w:i w:val="1"/>
          <w:iCs w:val="1"/>
          <w:color w:val="auto"/>
        </w:rPr>
        <w:t>quittance subrogative</w:t>
      </w:r>
      <w:r>
        <w:rPr>
          <w:rFonts w:ascii="Times New Roman" w:cs="Times New Roman" w:eastAsia="Times New Roman" w:hAnsi="Times New Roman"/>
          <w:sz w:val="20"/>
          <w:szCs w:val="20"/>
          <w:color w:val="auto"/>
        </w:rPr>
        <w:t>) by the Back-Up Servicer(s), subrogated in the rights of the Back-Up Servicer(s) against the Centralising Unit to the extent of the sums paid to the Back-Up Servicer(s).</w:t>
      </w:r>
    </w:p>
    <w:p>
      <w:pPr>
        <w:sectPr>
          <w:pgSz w:w="11900" w:h="16838" w:orient="portrait"/>
          <w:cols w:equalWidth="0" w:num="1">
            <w:col w:w="10722"/>
          </w:cols>
          <w:pgMar w:left="838" w:top="1440" w:right="339" w:bottom="1440" w:gutter="0" w:footer="0" w:header="0"/>
        </w:sectPr>
      </w:pPr>
    </w:p>
    <w:bookmarkStart w:id="213" w:name="page214"/>
    <w:bookmarkEnd w:id="213"/>
    <w:p>
      <w:pPr>
        <w:spacing w:after="0" w:line="199" w:lineRule="exact"/>
        <w:rPr>
          <w:sz w:val="20"/>
          <w:szCs w:val="20"/>
          <w:color w:val="auto"/>
        </w:rPr>
      </w:pPr>
    </w:p>
    <w:p>
      <w:pPr>
        <w:ind w:left="502" w:hanging="502"/>
        <w:spacing w:after="0"/>
        <w:tabs>
          <w:tab w:leader="none" w:pos="502"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Stand-by servicing</w:t>
      </w:r>
    </w:p>
    <w:p>
      <w:pPr>
        <w:spacing w:after="0" w:line="192" w:lineRule="exact"/>
        <w:rPr>
          <w:rFonts w:ascii="Times New Roman" w:cs="Times New Roman" w:eastAsia="Times New Roman" w:hAnsi="Times New Roman"/>
          <w:sz w:val="20"/>
          <w:szCs w:val="20"/>
          <w:b w:val="1"/>
          <w:bCs w:val="1"/>
          <w:color w:val="auto"/>
        </w:rPr>
      </w:pPr>
    </w:p>
    <w:p>
      <w:pPr>
        <w:jc w:val="both"/>
        <w:ind w:left="1022" w:hanging="511"/>
        <w:spacing w:after="0" w:line="334" w:lineRule="auto"/>
        <w:tabs>
          <w:tab w:leader="none" w:pos="1011"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Collection Rating Trigger Event, the Purchaser shall be entitled to appoint any Stand-By Servicer(s) for the preparation and putting in place of any back-up servicer procedures so that in case the Purchaser appoints the Stand-By Servicer as Back-Up Servicer, the latter will be in a position to perform its duties immediately. In furtherance thereof, it is expected that the Stand-By Servicer upon its appointment would be invited, among other missions, to provide the following services:</w:t>
      </w:r>
    </w:p>
    <w:p>
      <w:pPr>
        <w:spacing w:after="0" w:line="181" w:lineRule="exact"/>
        <w:rPr>
          <w:rFonts w:ascii="Times New Roman" w:cs="Times New Roman" w:eastAsia="Times New Roman" w:hAnsi="Times New Roman"/>
          <w:sz w:val="20"/>
          <w:szCs w:val="20"/>
          <w:color w:val="auto"/>
        </w:rPr>
      </w:pPr>
    </w:p>
    <w:p>
      <w:pPr>
        <w:jc w:val="both"/>
        <w:ind w:left="1522" w:hanging="501"/>
        <w:spacing w:after="0" w:line="338" w:lineRule="auto"/>
        <w:tabs>
          <w:tab w:leader="none" w:pos="1511"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maintenance and check of the reliability and functionality of the databases relative to Debtors</w:t>
      </w:r>
      <w:r>
        <w:rPr>
          <w:rFonts w:ascii="Times New Roman" w:cs="Times New Roman" w:eastAsia="Times New Roman" w:hAnsi="Times New Roman"/>
          <w:sz w:val="20"/>
          <w:szCs w:val="20"/>
          <w:color w:val="auto"/>
        </w:rPr>
        <w:t>: the Stand-By Servicer shall be in charge of maintaining the databases, including information concerning the Debtors. Such maintenance includes the performance of one or more tests each year to ensure that all the information necessary for the appointment of the Back-Up Servicer is available in these databases;</w:t>
      </w:r>
    </w:p>
    <w:p>
      <w:pPr>
        <w:spacing w:after="0" w:line="175" w:lineRule="exact"/>
        <w:rPr>
          <w:rFonts w:ascii="Times New Roman" w:cs="Times New Roman" w:eastAsia="Times New Roman" w:hAnsi="Times New Roman"/>
          <w:sz w:val="20"/>
          <w:szCs w:val="20"/>
          <w:color w:val="auto"/>
        </w:rPr>
      </w:pPr>
    </w:p>
    <w:p>
      <w:pPr>
        <w:jc w:val="both"/>
        <w:ind w:left="1522" w:hanging="501"/>
        <w:spacing w:after="0" w:line="333" w:lineRule="auto"/>
        <w:tabs>
          <w:tab w:leader="none" w:pos="1511"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Checking the accuracy of the data</w:t>
      </w:r>
      <w:r>
        <w:rPr>
          <w:rFonts w:ascii="Times New Roman" w:cs="Times New Roman" w:eastAsia="Times New Roman" w:hAnsi="Times New Roman"/>
          <w:sz w:val="20"/>
          <w:szCs w:val="20"/>
          <w:color w:val="auto"/>
        </w:rPr>
        <w:t>: the Stand-By Servicer shall check the conformity of Debtors' identification information. It shall particularly check the accuracy of available information and, if appropriate, correct or complete missing information, it being provided that this shall never involve disclosing to the Debtors the nature of its role or the existence of the Program;</w:t>
      </w:r>
    </w:p>
    <w:p>
      <w:pPr>
        <w:spacing w:after="0" w:line="181" w:lineRule="exact"/>
        <w:rPr>
          <w:rFonts w:ascii="Times New Roman" w:cs="Times New Roman" w:eastAsia="Times New Roman" w:hAnsi="Times New Roman"/>
          <w:sz w:val="20"/>
          <w:szCs w:val="20"/>
          <w:color w:val="auto"/>
        </w:rPr>
      </w:pPr>
    </w:p>
    <w:p>
      <w:pPr>
        <w:jc w:val="both"/>
        <w:ind w:left="1522" w:hanging="501"/>
        <w:spacing w:after="0" w:line="345" w:lineRule="auto"/>
        <w:tabs>
          <w:tab w:leader="none" w:pos="1511"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Back-Up Servicer capacity</w:t>
      </w:r>
      <w:r>
        <w:rPr>
          <w:rFonts w:ascii="Times New Roman" w:cs="Times New Roman" w:eastAsia="Times New Roman" w:hAnsi="Times New Roman"/>
          <w:sz w:val="20"/>
          <w:szCs w:val="20"/>
          <w:color w:val="auto"/>
        </w:rPr>
        <w:t>: the Stand-By Servicer shall maintain ongoing back-up servicing capacity so as to enable the Back Up Servicer to start its work immediately upon his appointment as and when required by the Purchaser; and</w:t>
      </w:r>
    </w:p>
    <w:p>
      <w:pPr>
        <w:spacing w:after="0" w:line="169" w:lineRule="exact"/>
        <w:rPr>
          <w:rFonts w:ascii="Times New Roman" w:cs="Times New Roman" w:eastAsia="Times New Roman" w:hAnsi="Times New Roman"/>
          <w:sz w:val="20"/>
          <w:szCs w:val="20"/>
          <w:color w:val="auto"/>
        </w:rPr>
      </w:pPr>
    </w:p>
    <w:p>
      <w:pPr>
        <w:ind w:left="1522" w:hanging="501"/>
        <w:spacing w:after="0" w:line="353" w:lineRule="auto"/>
        <w:tabs>
          <w:tab w:leader="none" w:pos="1511"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the Stand-By Servicer shall provide the Purchaser with regular information and reporting as to the performance of tasks described hereabove.</w:t>
      </w:r>
    </w:p>
    <w:p>
      <w:pPr>
        <w:spacing w:after="0" w:line="52" w:lineRule="exact"/>
        <w:rPr>
          <w:rFonts w:ascii="Times New Roman" w:cs="Times New Roman" w:eastAsia="Times New Roman" w:hAnsi="Times New Roman"/>
          <w:sz w:val="20"/>
          <w:szCs w:val="20"/>
          <w:color w:val="auto"/>
        </w:rPr>
      </w:pPr>
    </w:p>
    <w:p>
      <w:pPr>
        <w:jc w:val="both"/>
        <w:ind w:left="1022" w:hanging="511"/>
        <w:spacing w:after="0" w:line="331" w:lineRule="auto"/>
        <w:tabs>
          <w:tab w:leader="none" w:pos="1011"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Funded Settlement Date as from the appointment of any Stand-By Servicer(s) and until the appointment of a Back-Up Servicer pursuant to Article 19.3, the Centralising Unit shall pay to such Stand-By Servicer(s) a Stand-By Fee whose aim shall be to compensate the Stand-By Servicer's undertaking to act as back-up servicer upon request during the term of the Agreement. The maximum amount of such Stand-By Fee shall be equal to, for the first year following the 2021 Amendment Date, € 200,000 (exclusive of VAT) (for the up-front part), and € 200,000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(exclusive of VAT) (for the on-going part) and, if different, shall afterwards be agreed on or about each anniversary date of such 2021 Amendment Date between the Purchaser and the Stand-By Servicer. The Parties</w:t>
      </w:r>
    </w:p>
    <w:p>
      <w:pPr>
        <w:sectPr>
          <w:pgSz w:w="11900" w:h="16838" w:orient="portrait"/>
          <w:cols w:equalWidth="0" w:num="1">
            <w:col w:w="10722"/>
          </w:cols>
          <w:pgMar w:left="838" w:top="1440" w:right="339" w:bottom="1440" w:gutter="0" w:footer="0" w:header="0"/>
        </w:sectPr>
      </w:pPr>
    </w:p>
    <w:bookmarkStart w:id="214" w:name="page215"/>
    <w:bookmarkEnd w:id="214"/>
    <w:p>
      <w:pPr>
        <w:spacing w:after="0" w:line="95"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20"/>
          <w:szCs w:val="20"/>
          <w:color w:val="auto"/>
        </w:rPr>
        <w:t>acknowledge that the payment of such Stand-By Fee shall be expressly excluded from the Current Account mechanism.</w:t>
      </w:r>
    </w:p>
    <w:p>
      <w:pPr>
        <w:spacing w:after="0" w:line="189" w:lineRule="exact"/>
        <w:rPr>
          <w:sz w:val="20"/>
          <w:szCs w:val="20"/>
          <w:color w:val="auto"/>
        </w:rPr>
      </w:pPr>
    </w:p>
    <w:p>
      <w:pPr>
        <w:jc w:val="both"/>
        <w:ind w:left="1022" w:hanging="511"/>
        <w:spacing w:after="0" w:line="334" w:lineRule="auto"/>
        <w:tabs>
          <w:tab w:leader="none" w:pos="101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in the event that the Purchaser exercises any of its rights to collect sums directly from any Collection Account(s), in accordance with the relevant provisions of the Collection Account Agreement(s), the Centralising Unit shall pay to the Agent a fee equal to € 500 per Collection Account (VAT excluded) on the Funded Settlement Date following the exercise by the Purchaser of such right. The Parties acknowledge that the payment of such fee shall be expressly excluded from the Current Account mechanism.</w:t>
      </w:r>
    </w:p>
    <w:p>
      <w:pPr>
        <w:spacing w:after="0" w:line="73" w:lineRule="exact"/>
        <w:rPr>
          <w:rFonts w:ascii="Times New Roman" w:cs="Times New Roman" w:eastAsia="Times New Roman" w:hAnsi="Times New Roman"/>
          <w:sz w:val="20"/>
          <w:szCs w:val="20"/>
          <w:color w:val="auto"/>
        </w:rPr>
      </w:pPr>
    </w:p>
    <w:p>
      <w:pPr>
        <w:jc w:val="both"/>
        <w:ind w:left="1022" w:hanging="511"/>
        <w:spacing w:after="0" w:line="334" w:lineRule="auto"/>
        <w:tabs>
          <w:tab w:leader="none" w:pos="101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Centralising Unit fails to pay any fees described in the present Article 25.4 in a timely manner, the Purchaser shall proceed forthwith with the payment of such fees, on the Centralising Unit's behalf to the extent of the Adjusted Collections received. As such, the Purchaser shall be, upon delivery of a subrogation notice by the Stand-By Servicer, subrogated in the rights of the Stand-By Servicer against the Centralising Unit to the extent of the sums paid to the Stand-By Servicer in respect of these fees.</w:t>
      </w:r>
    </w:p>
    <w:p>
      <w:pPr>
        <w:spacing w:after="0" w:line="177"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Escrow Agent</w:t>
      </w:r>
    </w:p>
    <w:p>
      <w:pPr>
        <w:spacing w:after="0" w:line="192" w:lineRule="exact"/>
        <w:rPr>
          <w:rFonts w:ascii="Times New Roman" w:cs="Times New Roman" w:eastAsia="Times New Roman" w:hAnsi="Times New Roman"/>
          <w:sz w:val="20"/>
          <w:szCs w:val="20"/>
          <w:b w:val="1"/>
          <w:bCs w:val="1"/>
          <w:color w:val="auto"/>
        </w:rPr>
      </w:pPr>
    </w:p>
    <w:p>
      <w:pPr>
        <w:jc w:val="both"/>
        <w:ind w:left="1022" w:hanging="511"/>
        <w:spacing w:after="0" w:line="334" w:lineRule="auto"/>
        <w:tabs>
          <w:tab w:leader="none" w:pos="1011"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Escrow Agreement provides that, upon the occurrence of a Collection Rating Trigger Event, the Purchaser shall be entitled to replace the then existing Data Escrow Agent by any substitute Data Escrow Agent. The Centralising Unit, acting on behalf of the relevant Sellers, shall pay to the Data Escrow Agent the compensation contemplated in the Data Escrow Agreement from time to time. The Parties acknowledge that the payment of such compensation shall be expressly excluded from the Current Account mechanism.</w:t>
      </w:r>
    </w:p>
    <w:p>
      <w:pPr>
        <w:spacing w:after="0" w:line="73" w:lineRule="exact"/>
        <w:rPr>
          <w:rFonts w:ascii="Times New Roman" w:cs="Times New Roman" w:eastAsia="Times New Roman" w:hAnsi="Times New Roman"/>
          <w:sz w:val="20"/>
          <w:szCs w:val="20"/>
          <w:color w:val="auto"/>
        </w:rPr>
      </w:pPr>
    </w:p>
    <w:p>
      <w:pPr>
        <w:jc w:val="both"/>
        <w:ind w:left="1022" w:hanging="511"/>
        <w:spacing w:after="0" w:line="334" w:lineRule="auto"/>
        <w:tabs>
          <w:tab w:leader="none" w:pos="1011"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Centralising Unit fails to pay the compensation described in the present Article 25.5, the Purchaser shall proceed with the payment of such compensation, on the Centralising Unit's behalf to the extent of the Adjusted Collections received. As such, the Purchaser shall be, upon delivery of a subrogation notice by the Data Escrow Agent, subrogated in the rights of the Data Escrow Agent against the Centralising Unit to the extent of the sums paid to the Data Escrow Agent in respect of this compensation.</w:t>
      </w:r>
    </w:p>
    <w:p>
      <w:pPr>
        <w:spacing w:after="0" w:line="394" w:lineRule="exact"/>
        <w:rPr>
          <w:sz w:val="20"/>
          <w:szCs w:val="20"/>
          <w:color w:val="auto"/>
        </w:rPr>
      </w:pPr>
    </w:p>
    <w:p>
      <w:pPr>
        <w:jc w:val="center"/>
        <w:ind w:right="498"/>
        <w:spacing w:after="0"/>
        <w:rPr>
          <w:sz w:val="20"/>
          <w:szCs w:val="20"/>
          <w:color w:val="auto"/>
        </w:rPr>
      </w:pPr>
      <w:r>
        <w:rPr>
          <w:rFonts w:ascii="Times New Roman" w:cs="Times New Roman" w:eastAsia="Times New Roman" w:hAnsi="Times New Roman"/>
          <w:sz w:val="20"/>
          <w:szCs w:val="20"/>
          <w:b w:val="1"/>
          <w:bCs w:val="1"/>
          <w:color w:val="auto"/>
        </w:rPr>
        <w:t>CHAPTER XI</w:t>
      </w:r>
    </w:p>
    <w:p>
      <w:pPr>
        <w:spacing w:after="0" w:line="81"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DEEMED COLLECTIONS</w:t>
      </w:r>
    </w:p>
    <w:p>
      <w:pPr>
        <w:spacing w:after="0" w:line="351" w:lineRule="exact"/>
        <w:rPr>
          <w:sz w:val="20"/>
          <w:szCs w:val="20"/>
          <w:color w:val="auto"/>
        </w:rPr>
      </w:pPr>
    </w:p>
    <w:p>
      <w:pPr>
        <w:ind w:left="502" w:hanging="502"/>
        <w:spacing w:after="0"/>
        <w:tabs>
          <w:tab w:leader="none" w:pos="502"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DEEMED COLLECTIONS</w:t>
      </w:r>
    </w:p>
    <w:p>
      <w:pPr>
        <w:spacing w:after="0" w:line="139" w:lineRule="exact"/>
        <w:rPr>
          <w:sz w:val="20"/>
          <w:szCs w:val="20"/>
          <w:color w:val="auto"/>
        </w:rPr>
      </w:pPr>
    </w:p>
    <w:p>
      <w:pPr>
        <w:ind w:left="502" w:hanging="502"/>
        <w:spacing w:after="0"/>
        <w:tabs>
          <w:tab w:leader="none" w:pos="50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one of the following events:</w:t>
      </w:r>
    </w:p>
    <w:p>
      <w:pPr>
        <w:sectPr>
          <w:pgSz w:w="11900" w:h="16838" w:orient="portrait"/>
          <w:cols w:equalWidth="0" w:num="1">
            <w:col w:w="10722"/>
          </w:cols>
          <w:pgMar w:left="838" w:top="1440" w:right="339" w:bottom="1440" w:gutter="0" w:footer="0" w:header="0"/>
        </w:sectPr>
      </w:pPr>
    </w:p>
    <w:bookmarkStart w:id="215" w:name="page216"/>
    <w:bookmarkEnd w:id="215"/>
    <w:p>
      <w:pPr>
        <w:spacing w:after="0" w:line="95" w:lineRule="exact"/>
        <w:rPr>
          <w:sz w:val="20"/>
          <w:szCs w:val="20"/>
          <w:color w:val="auto"/>
        </w:rPr>
      </w:pPr>
    </w:p>
    <w:p>
      <w:pPr>
        <w:ind w:left="1022" w:hanging="649"/>
        <w:spacing w:after="0"/>
        <w:tabs>
          <w:tab w:leader="none" w:pos="102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of any Credit Notes or Commercial Discounts as referred to in Article 22.2, in relation to any Sold Receivables;</w:t>
      </w:r>
    </w:p>
    <w:p>
      <w:pPr>
        <w:spacing w:after="0" w:line="188" w:lineRule="exact"/>
        <w:rPr>
          <w:rFonts w:ascii="Times New Roman" w:cs="Times New Roman" w:eastAsia="Times New Roman" w:hAnsi="Times New Roman"/>
          <w:sz w:val="20"/>
          <w:szCs w:val="20"/>
          <w:color w:val="auto"/>
        </w:rPr>
      </w:pPr>
    </w:p>
    <w:p>
      <w:pPr>
        <w:ind w:left="1022" w:hanging="649"/>
        <w:spacing w:after="0" w:line="353" w:lineRule="auto"/>
        <w:tabs>
          <w:tab w:leader="none" w:pos="102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which gives rise to a Sold Receivable, has been terminated and the relevant goods have been billed but remain to be delivered by any Seller, in whole or in part, on the termination date of such contract;</w:t>
      </w:r>
    </w:p>
    <w:p>
      <w:pPr>
        <w:spacing w:after="0" w:line="65" w:lineRule="exact"/>
        <w:rPr>
          <w:rFonts w:ascii="Times New Roman" w:cs="Times New Roman" w:eastAsia="Times New Roman" w:hAnsi="Times New Roman"/>
          <w:sz w:val="20"/>
          <w:szCs w:val="20"/>
          <w:color w:val="auto"/>
        </w:rPr>
      </w:pPr>
    </w:p>
    <w:p>
      <w:pPr>
        <w:ind w:left="1022" w:hanging="649"/>
        <w:spacing w:after="0" w:line="353" w:lineRule="auto"/>
        <w:tabs>
          <w:tab w:leader="none" w:pos="1021"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agreed by any Seller or by operation of law or by a court decision between debts owed to any Debtor and the Sold Receivables against such Debtor;</w:t>
      </w:r>
    </w:p>
    <w:p>
      <w:pPr>
        <w:spacing w:after="0" w:line="52" w:lineRule="exact"/>
        <w:rPr>
          <w:rFonts w:ascii="Times New Roman" w:cs="Times New Roman" w:eastAsia="Times New Roman" w:hAnsi="Times New Roman"/>
          <w:sz w:val="20"/>
          <w:szCs w:val="20"/>
          <w:color w:val="auto"/>
        </w:rPr>
      </w:pPr>
    </w:p>
    <w:p>
      <w:pPr>
        <w:ind w:left="1002" w:hanging="629"/>
        <w:spacing w:after="0"/>
        <w:tabs>
          <w:tab w:leader="none" w:pos="100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Sold Receivable has been cancelled, in whole or in part;</w:t>
      </w:r>
    </w:p>
    <w:p>
      <w:pPr>
        <w:spacing w:after="0" w:line="188" w:lineRule="exact"/>
        <w:rPr>
          <w:rFonts w:ascii="Times New Roman" w:cs="Times New Roman" w:eastAsia="Times New Roman" w:hAnsi="Times New Roman"/>
          <w:sz w:val="20"/>
          <w:szCs w:val="20"/>
          <w:color w:val="auto"/>
        </w:rPr>
      </w:pPr>
    </w:p>
    <w:p>
      <w:pPr>
        <w:ind w:left="1002" w:hanging="629"/>
        <w:spacing w:after="0"/>
        <w:tabs>
          <w:tab w:leader="none" w:pos="100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Amended Invoice arises;</w:t>
      </w:r>
    </w:p>
    <w:p>
      <w:pPr>
        <w:spacing w:after="0" w:line="188" w:lineRule="exact"/>
        <w:rPr>
          <w:rFonts w:ascii="Times New Roman" w:cs="Times New Roman" w:eastAsia="Times New Roman" w:hAnsi="Times New Roman"/>
          <w:sz w:val="20"/>
          <w:szCs w:val="20"/>
          <w:color w:val="auto"/>
        </w:rPr>
      </w:pPr>
    </w:p>
    <w:p>
      <w:pPr>
        <w:ind w:left="1002" w:hanging="629"/>
        <w:spacing w:after="0"/>
        <w:tabs>
          <w:tab w:leader="none" w:pos="100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of any Credit Note over Snow Tires, in relation to any Sold Receivables; or</w:t>
      </w:r>
    </w:p>
    <w:p>
      <w:pPr>
        <w:spacing w:after="0" w:line="188" w:lineRule="exact"/>
        <w:rPr>
          <w:rFonts w:ascii="Times New Roman" w:cs="Times New Roman" w:eastAsia="Times New Roman" w:hAnsi="Times New Roman"/>
          <w:sz w:val="20"/>
          <w:szCs w:val="20"/>
          <w:color w:val="auto"/>
        </w:rPr>
      </w:pPr>
    </w:p>
    <w:p>
      <w:pPr>
        <w:ind w:left="1022" w:hanging="649"/>
        <w:spacing w:after="0" w:line="367" w:lineRule="auto"/>
        <w:tabs>
          <w:tab w:leader="none" w:pos="1011"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of any Year End Rebates, in relation to any Sold Receivables, unless such Year End Rebates have been cancelled or paid in cash by the relevant Seller;</w:t>
      </w:r>
    </w:p>
    <w:p>
      <w:pPr>
        <w:spacing w:after="0" w:line="39" w:lineRule="exact"/>
        <w:rPr>
          <w:sz w:val="20"/>
          <w:szCs w:val="20"/>
          <w:color w:val="auto"/>
        </w:rPr>
      </w:pPr>
    </w:p>
    <w:p>
      <w:pPr>
        <w:jc w:val="both"/>
        <w:ind w:left="262" w:right="20"/>
        <w:spacing w:after="0" w:line="338" w:lineRule="auto"/>
        <w:rPr>
          <w:sz w:val="20"/>
          <w:szCs w:val="20"/>
          <w:color w:val="auto"/>
        </w:rPr>
      </w:pPr>
      <w:r>
        <w:rPr>
          <w:rFonts w:ascii="Times New Roman" w:cs="Times New Roman" w:eastAsia="Times New Roman" w:hAnsi="Times New Roman"/>
          <w:sz w:val="20"/>
          <w:szCs w:val="20"/>
          <w:color w:val="auto"/>
        </w:rPr>
        <w:t>the relevant Seller shall be deemed to have received the amount it would have collected if such event had not occurred (the "</w:t>
      </w:r>
      <w:r>
        <w:rPr>
          <w:rFonts w:ascii="Times New Roman" w:cs="Times New Roman" w:eastAsia="Times New Roman" w:hAnsi="Times New Roman"/>
          <w:sz w:val="20"/>
          <w:szCs w:val="20"/>
          <w:b w:val="1"/>
          <w:bCs w:val="1"/>
          <w:color w:val="auto"/>
        </w:rPr>
        <w:t>Deemed Collection</w:t>
      </w:r>
      <w:r>
        <w:rPr>
          <w:rFonts w:ascii="Times New Roman" w:cs="Times New Roman" w:eastAsia="Times New Roman" w:hAnsi="Times New Roman"/>
          <w:sz w:val="20"/>
          <w:szCs w:val="20"/>
          <w:color w:val="auto"/>
        </w:rPr>
        <w:t>"), provided that no Deemed Collection shall be due as a result of a Debtor's failure, independent from and beyond one Seller's control and from any of (i) through (vii) above, to make payments in respect of Sold Receivables.</w:t>
      </w:r>
    </w:p>
    <w:p>
      <w:pPr>
        <w:spacing w:after="0" w:line="68" w:lineRule="exact"/>
        <w:rPr>
          <w:sz w:val="20"/>
          <w:szCs w:val="20"/>
          <w:color w:val="auto"/>
        </w:rPr>
      </w:pPr>
    </w:p>
    <w:p>
      <w:pPr>
        <w:jc w:val="both"/>
        <w:ind w:left="262"/>
        <w:spacing w:after="0" w:line="332" w:lineRule="auto"/>
        <w:rPr>
          <w:sz w:val="20"/>
          <w:szCs w:val="20"/>
          <w:color w:val="auto"/>
        </w:rPr>
      </w:pPr>
      <w:r>
        <w:rPr>
          <w:rFonts w:ascii="Times New Roman" w:cs="Times New Roman" w:eastAsia="Times New Roman" w:hAnsi="Times New Roman"/>
          <w:sz w:val="20"/>
          <w:szCs w:val="20"/>
          <w:color w:val="auto"/>
        </w:rPr>
        <w:t>Moreover, given the internal billing procedures of each Seller, it may be the case that certain Sold Receivables are declared by a Seller as being extinguished partially or completely, in an Assessment Report and/or in any electronic file attached thereto, even though such Sold Receivables have not been fully paid by their respective Debtors (the "</w:t>
      </w:r>
      <w:r>
        <w:rPr>
          <w:rFonts w:ascii="Times New Roman" w:cs="Times New Roman" w:eastAsia="Times New Roman" w:hAnsi="Times New Roman"/>
          <w:sz w:val="20"/>
          <w:szCs w:val="20"/>
          <w:b w:val="1"/>
          <w:bCs w:val="1"/>
          <w:color w:val="auto"/>
        </w:rPr>
        <w:t>Deemed Extinguished Receivables</w:t>
      </w:r>
      <w:r>
        <w:rPr>
          <w:rFonts w:ascii="Times New Roman" w:cs="Times New Roman" w:eastAsia="Times New Roman" w:hAnsi="Times New Roman"/>
          <w:sz w:val="20"/>
          <w:szCs w:val="20"/>
          <w:color w:val="auto"/>
        </w:rPr>
        <w:t>"). Therefore, in order to offset the absence of any payment of cash collections arising in relation to such Deemed Extinguished Receivables, such Deemed Extinguished Receivables shall be considered as a Deemed Collection and shall be paid pursuant to Articles 26.2 and 26.3.</w:t>
      </w:r>
    </w:p>
    <w:p>
      <w:pPr>
        <w:spacing w:after="0" w:line="184" w:lineRule="exact"/>
        <w:rPr>
          <w:sz w:val="20"/>
          <w:szCs w:val="20"/>
          <w:color w:val="auto"/>
        </w:rPr>
      </w:pPr>
    </w:p>
    <w:p>
      <w:pPr>
        <w:ind w:left="502" w:right="20" w:hanging="502"/>
        <w:spacing w:after="0" w:line="367" w:lineRule="auto"/>
        <w:tabs>
          <w:tab w:leader="none" w:pos="49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Sellers, the Centralising Unit and the Agent shall cooperate to determine the amount of Deemed Collections, provided that:</w:t>
      </w:r>
    </w:p>
    <w:p>
      <w:pPr>
        <w:spacing w:after="0" w:line="39" w:lineRule="exact"/>
        <w:rPr>
          <w:rFonts w:ascii="Times New Roman" w:cs="Times New Roman" w:eastAsia="Times New Roman" w:hAnsi="Times New Roman"/>
          <w:sz w:val="20"/>
          <w:szCs w:val="20"/>
          <w:color w:val="auto"/>
        </w:rPr>
      </w:pPr>
    </w:p>
    <w:p>
      <w:pPr>
        <w:ind w:left="1022" w:hanging="649"/>
        <w:spacing w:after="0" w:line="353" w:lineRule="auto"/>
        <w:tabs>
          <w:tab w:leader="none" w:pos="1019"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Replenishment Period, the amount of Deemed Collections shall be debited from the Current Account through the adjustment of Adjusted Collections (as provided in the definition of such term);</w:t>
      </w:r>
    </w:p>
    <w:p>
      <w:pPr>
        <w:spacing w:after="0" w:line="52" w:lineRule="exact"/>
        <w:rPr>
          <w:rFonts w:ascii="Times New Roman" w:cs="Times New Roman" w:eastAsia="Times New Roman" w:hAnsi="Times New Roman"/>
          <w:sz w:val="20"/>
          <w:szCs w:val="20"/>
          <w:color w:val="auto"/>
        </w:rPr>
      </w:pPr>
    </w:p>
    <w:p>
      <w:pPr>
        <w:ind w:left="1022" w:right="20" w:hanging="649"/>
        <w:spacing w:after="0" w:line="353" w:lineRule="auto"/>
        <w:tabs>
          <w:tab w:leader="none" w:pos="102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Amortisation Period, the amount of Deemed Collections shall be transferred by the Centralising Unit to the Purchaser's Account on each Funded Settlement Date and on each Intermediary Settlement Date.</w:t>
      </w:r>
    </w:p>
    <w:p>
      <w:pPr>
        <w:sectPr>
          <w:pgSz w:w="11900" w:h="16838" w:orient="portrait"/>
          <w:cols w:equalWidth="0" w:num="1">
            <w:col w:w="10722"/>
          </w:cols>
          <w:pgMar w:left="838" w:top="1440" w:right="339" w:bottom="1440" w:gutter="0" w:footer="0" w:header="0"/>
        </w:sectPr>
      </w:pPr>
    </w:p>
    <w:bookmarkStart w:id="216" w:name="page217"/>
    <w:bookmarkEnd w:id="216"/>
    <w:p>
      <w:pPr>
        <w:spacing w:after="0" w:line="203" w:lineRule="exact"/>
        <w:rPr>
          <w:sz w:val="20"/>
          <w:szCs w:val="20"/>
          <w:color w:val="auto"/>
        </w:rPr>
      </w:pPr>
    </w:p>
    <w:p>
      <w:pPr>
        <w:jc w:val="both"/>
        <w:ind w:left="502" w:hanging="502"/>
        <w:spacing w:after="0" w:line="334" w:lineRule="auto"/>
        <w:tabs>
          <w:tab w:leader="none" w:pos="491" w:val="left"/>
        </w:tabs>
        <w:numPr>
          <w:ilvl w:val="0"/>
          <w:numId w:val="30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In the event that any Seller or, as the case may be, the Centralising Unit, acting in the name and on behalf of the Sellers, fails to pay any Deemed Collections as required pursuant to Article 26.2 (ii), the Purchaser may automatically set-off (a) the amount of such Deemed Collections against (b) any amount due or thereafter to become due to such Seller or, as the case may be, to the Centralising Unit, under the Transaction Documents. As soon as practicable, the Purchaser shall notify the Centralising Unit after exercise of its right of set-off.</w:t>
      </w:r>
    </w:p>
    <w:p>
      <w:pPr>
        <w:spacing w:after="0" w:line="182" w:lineRule="exact"/>
        <w:rPr>
          <w:sz w:val="20"/>
          <w:szCs w:val="20"/>
          <w:color w:val="auto"/>
        </w:rPr>
      </w:pPr>
    </w:p>
    <w:p>
      <w:pPr>
        <w:jc w:val="both"/>
        <w:ind w:left="622"/>
        <w:spacing w:after="0" w:line="338" w:lineRule="auto"/>
        <w:rPr>
          <w:sz w:val="20"/>
          <w:szCs w:val="20"/>
          <w:color w:val="auto"/>
        </w:rPr>
      </w:pPr>
      <w:r>
        <w:rPr>
          <w:rFonts w:ascii="Times New Roman" w:cs="Times New Roman" w:eastAsia="Times New Roman" w:hAnsi="Times New Roman"/>
          <w:sz w:val="20"/>
          <w:szCs w:val="20"/>
          <w:color w:val="auto"/>
        </w:rPr>
        <w:t>In the event that, notwithstanding such set-off, Deemed Collections still remain unpaid, the Purchaser shall have recourse against the relevant Seller's assets or, as the case may be, against the Centralising Unit's assets, but only to the extent of the amounts remaining unpaid.</w:t>
      </w:r>
    </w:p>
    <w:p>
      <w:pPr>
        <w:spacing w:after="0" w:line="176" w:lineRule="exact"/>
        <w:rPr>
          <w:sz w:val="20"/>
          <w:szCs w:val="20"/>
          <w:color w:val="auto"/>
        </w:rPr>
      </w:pPr>
    </w:p>
    <w:p>
      <w:pPr>
        <w:jc w:val="both"/>
        <w:ind w:left="622"/>
        <w:spacing w:after="0" w:line="367" w:lineRule="auto"/>
        <w:rPr>
          <w:sz w:val="20"/>
          <w:szCs w:val="20"/>
          <w:color w:val="auto"/>
        </w:rPr>
      </w:pPr>
      <w:r>
        <w:rPr>
          <w:rFonts w:ascii="Times New Roman" w:cs="Times New Roman" w:eastAsia="Times New Roman" w:hAnsi="Times New Roman"/>
          <w:sz w:val="20"/>
          <w:szCs w:val="20"/>
          <w:color w:val="auto"/>
        </w:rPr>
        <w:t>Any unpaid Deemed Collection shall remain outstanding until it has been paid in full in accordance with the present Article 26.3.</w:t>
      </w:r>
    </w:p>
    <w:p>
      <w:pPr>
        <w:spacing w:after="0" w:line="359"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XII</w:t>
      </w:r>
    </w:p>
    <w:p>
      <w:pPr>
        <w:spacing w:after="0" w:line="81"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351" w:lineRule="exact"/>
        <w:rPr>
          <w:sz w:val="20"/>
          <w:szCs w:val="20"/>
          <w:color w:val="auto"/>
        </w:rPr>
      </w:pPr>
    </w:p>
    <w:p>
      <w:pPr>
        <w:ind w:left="502" w:hanging="502"/>
        <w:spacing w:after="0"/>
        <w:tabs>
          <w:tab w:leader="none" w:pos="502"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FEES AND EXPENSES</w:t>
      </w:r>
    </w:p>
    <w:p>
      <w:pPr>
        <w:spacing w:after="0" w:line="139" w:lineRule="exact"/>
        <w:rPr>
          <w:sz w:val="20"/>
          <w:szCs w:val="20"/>
          <w:color w:val="auto"/>
        </w:rPr>
      </w:pPr>
    </w:p>
    <w:p>
      <w:pPr>
        <w:jc w:val="both"/>
        <w:ind w:left="542"/>
        <w:spacing w:after="0" w:line="329" w:lineRule="auto"/>
        <w:rPr>
          <w:sz w:val="20"/>
          <w:szCs w:val="20"/>
          <w:color w:val="auto"/>
        </w:rPr>
      </w:pPr>
      <w:r>
        <w:rPr>
          <w:rFonts w:ascii="Times New Roman" w:cs="Times New Roman" w:eastAsia="Times New Roman" w:hAnsi="Times New Roman"/>
          <w:sz w:val="20"/>
          <w:szCs w:val="20"/>
          <w:color w:val="auto"/>
        </w:rPr>
        <w:t>The Centralising Unit acting in the name and on behalf of the Sellers shall reimburse the Purchaser, acting for its own account and/or as proxy for (i) any reasonable and duly documented expenses (including legal fees, costs and expenses) arising out of any modification, waiver or amendment of the Transaction Documents to which the Centralising Unit and/or the Sellers are a party and requested by the Centralising Unit, acting in the name and on behalf of the Sellers, or the Rating Agencies, (ii) any reasonable and duly documented expenses, claims, damages and liabilities (including legal fees, costs and expenses) incurred in connection with the perfection, preservation and/or enforcement of the rights of the Purchaser, the Issuers, the Liquidity Banks and the Fund Subscribers under the Securitisation Transaction or (iii) any reasonable and duly documented expenses (including legal fees, costs and expenses) incurred in connection with the renewal of any Liquidity Agreement or Fund Subscription Agreement and, as the case may be, in connection with the implementation of an alternative funding described in any Bank Commitment Letter, subject to prior communication by the Purchaser to the Centralising Unit of an estimate of fees in the event that the Centralising Unit requests this estimate.</w:t>
      </w:r>
    </w:p>
    <w:p>
      <w:pPr>
        <w:spacing w:after="0" w:line="83"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For the avoidance of doubt, the Spanish RPA Sellers shall bear the costs and expenses incurred in connection with the notarisation before a Spanish Notary Public from time to time of the Spanish Receivables Purchase Agreement and of any Transfer Deed executed and delivered pursuant to such Spanish Receivables Purchase Agreement.</w:t>
      </w:r>
    </w:p>
    <w:p>
      <w:pPr>
        <w:sectPr>
          <w:pgSz w:w="11900" w:h="16838" w:orient="portrait"/>
          <w:cols w:equalWidth="0" w:num="1">
            <w:col w:w="10722"/>
          </w:cols>
          <w:pgMar w:left="838" w:top="1440" w:right="339" w:bottom="1440" w:gutter="0" w:footer="0" w:header="0"/>
        </w:sectPr>
      </w:pPr>
    </w:p>
    <w:bookmarkStart w:id="217" w:name="page218"/>
    <w:bookmarkEnd w:id="217"/>
    <w:p>
      <w:pPr>
        <w:spacing w:after="0" w:line="253" w:lineRule="exact"/>
        <w:rPr>
          <w:sz w:val="20"/>
          <w:szCs w:val="20"/>
          <w:color w:val="auto"/>
        </w:rPr>
      </w:pPr>
    </w:p>
    <w:p>
      <w:pPr>
        <w:ind w:left="502" w:hanging="502"/>
        <w:spacing w:after="0"/>
        <w:tabs>
          <w:tab w:leader="none" w:pos="502"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SUBSTITUTION AND AGENCY</w:t>
      </w:r>
    </w:p>
    <w:p>
      <w:pPr>
        <w:spacing w:after="0" w:line="139" w:lineRule="exact"/>
        <w:rPr>
          <w:sz w:val="20"/>
          <w:szCs w:val="20"/>
          <w:color w:val="auto"/>
        </w:rPr>
      </w:pPr>
    </w:p>
    <w:p>
      <w:pPr>
        <w:ind w:left="542"/>
        <w:spacing w:after="0" w:line="353" w:lineRule="auto"/>
        <w:rPr>
          <w:sz w:val="20"/>
          <w:szCs w:val="20"/>
          <w:color w:val="auto"/>
        </w:rPr>
      </w:pPr>
      <w:r>
        <w:rPr>
          <w:rFonts w:ascii="Times New Roman" w:cs="Times New Roman" w:eastAsia="Times New Roman" w:hAnsi="Times New Roman"/>
          <w:sz w:val="20"/>
          <w:szCs w:val="20"/>
          <w:color w:val="auto"/>
        </w:rPr>
        <w:t>Each Party shall have the right to be assisted by, to appoint or to substitute for itself one or more third parties in the performance of certain tasks provided that:</w:t>
      </w:r>
    </w:p>
    <w:p>
      <w:pPr>
        <w:spacing w:after="0" w:line="52" w:lineRule="exact"/>
        <w:rPr>
          <w:sz w:val="20"/>
          <w:szCs w:val="20"/>
          <w:color w:val="auto"/>
        </w:rPr>
      </w:pPr>
    </w:p>
    <w:p>
      <w:pPr>
        <w:ind w:left="782" w:hanging="654"/>
        <w:spacing w:after="0"/>
        <w:tabs>
          <w:tab w:leader="none" w:pos="782"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has given prior written notice to the other Party and, in any case, the Purchaser has notified the Rating Agencies;</w:t>
      </w:r>
    </w:p>
    <w:p>
      <w:pPr>
        <w:spacing w:after="0" w:line="188" w:lineRule="exact"/>
        <w:rPr>
          <w:rFonts w:ascii="Times New Roman" w:cs="Times New Roman" w:eastAsia="Times New Roman" w:hAnsi="Times New Roman"/>
          <w:sz w:val="20"/>
          <w:szCs w:val="20"/>
          <w:color w:val="auto"/>
        </w:rPr>
      </w:pPr>
    </w:p>
    <w:p>
      <w:pPr>
        <w:ind w:left="782" w:hanging="654"/>
        <w:spacing w:after="0" w:line="353" w:lineRule="auto"/>
        <w:tabs>
          <w:tab w:leader="none" w:pos="78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remains liable to the other Party for the proper performance of those tasks and the relevant third party (parties) has (have) expressly renounced any right to any contractual claim against the other Party;</w:t>
      </w:r>
    </w:p>
    <w:p>
      <w:pPr>
        <w:spacing w:after="0" w:line="65" w:lineRule="exact"/>
        <w:rPr>
          <w:rFonts w:ascii="Times New Roman" w:cs="Times New Roman" w:eastAsia="Times New Roman" w:hAnsi="Times New Roman"/>
          <w:sz w:val="20"/>
          <w:szCs w:val="20"/>
          <w:color w:val="auto"/>
        </w:rPr>
      </w:pPr>
    </w:p>
    <w:p>
      <w:pPr>
        <w:ind w:left="782" w:hanging="654"/>
        <w:spacing w:after="0"/>
        <w:tabs>
          <w:tab w:leader="none" w:pos="782"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third party (parties) undertake(s) to comply with all obligations binding upon such Party under this Agreement;</w:t>
      </w:r>
    </w:p>
    <w:p>
      <w:pPr>
        <w:spacing w:after="0" w:line="188" w:lineRule="exact"/>
        <w:rPr>
          <w:rFonts w:ascii="Times New Roman" w:cs="Times New Roman" w:eastAsia="Times New Roman" w:hAnsi="Times New Roman"/>
          <w:sz w:val="20"/>
          <w:szCs w:val="20"/>
          <w:color w:val="auto"/>
        </w:rPr>
      </w:pPr>
    </w:p>
    <w:p>
      <w:pPr>
        <w:jc w:val="both"/>
        <w:ind w:left="782" w:hanging="654"/>
        <w:spacing w:after="0" w:line="338" w:lineRule="auto"/>
        <w:tabs>
          <w:tab w:leader="none" w:pos="77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Rating Agencies have confirmed that the contemplated change will not entail a downgrading or withdrawal of the current rating of the Notes issued by the Issuers or that the contemplated change will reduce such downgrading or prevent such withdrawal; and</w:t>
      </w:r>
    </w:p>
    <w:p>
      <w:pPr>
        <w:spacing w:after="0" w:line="67" w:lineRule="exact"/>
        <w:rPr>
          <w:rFonts w:ascii="Times New Roman" w:cs="Times New Roman" w:eastAsia="Times New Roman" w:hAnsi="Times New Roman"/>
          <w:sz w:val="20"/>
          <w:szCs w:val="20"/>
          <w:color w:val="auto"/>
        </w:rPr>
      </w:pPr>
    </w:p>
    <w:p>
      <w:pPr>
        <w:ind w:left="782" w:right="20" w:hanging="654"/>
        <w:spacing w:after="0" w:line="353" w:lineRule="auto"/>
        <w:tabs>
          <w:tab w:leader="none" w:pos="769"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other Party has given prior written consent to this appointment and/or substitution, such consent not to be unreasonably withheld.</w:t>
      </w:r>
    </w:p>
    <w:p>
      <w:pPr>
        <w:spacing w:after="0" w:line="224" w:lineRule="exact"/>
        <w:rPr>
          <w:sz w:val="20"/>
          <w:szCs w:val="20"/>
          <w:color w:val="auto"/>
        </w:rPr>
      </w:pPr>
    </w:p>
    <w:p>
      <w:pPr>
        <w:ind w:left="502" w:hanging="502"/>
        <w:spacing w:after="0"/>
        <w:tabs>
          <w:tab w:leader="none" w:pos="502"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125" w:lineRule="exact"/>
        <w:rPr>
          <w:sz w:val="20"/>
          <w:szCs w:val="20"/>
          <w:color w:val="auto"/>
        </w:rPr>
      </w:pPr>
    </w:p>
    <w:p>
      <w:pPr>
        <w:jc w:val="both"/>
        <w:ind w:left="542"/>
        <w:spacing w:after="0" w:line="345" w:lineRule="auto"/>
        <w:rPr>
          <w:sz w:val="20"/>
          <w:szCs w:val="20"/>
          <w:color w:val="auto"/>
        </w:rPr>
      </w:pPr>
      <w:r>
        <w:rPr>
          <w:rFonts w:ascii="Times New Roman" w:cs="Times New Roman" w:eastAsia="Times New Roman" w:hAnsi="Times New Roman"/>
          <w:sz w:val="20"/>
          <w:szCs w:val="20"/>
          <w:color w:val="auto"/>
        </w:rPr>
        <w:t>Each Party agrees to treat all information of any kind transmitted by any other Party in connection with the Securitisation Transaction as confidential. The Parties agree not to disclose such information to any other person and to ensure that their respective personnel similarly respect the confidential nature of such information.</w:t>
      </w:r>
    </w:p>
    <w:p>
      <w:pPr>
        <w:spacing w:after="0" w:line="61"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0"/>
          <w:szCs w:val="20"/>
          <w:color w:val="auto"/>
        </w:rPr>
        <w:t>This provision shall not prevent:</w:t>
      </w:r>
    </w:p>
    <w:p>
      <w:pPr>
        <w:spacing w:after="0" w:line="189" w:lineRule="exact"/>
        <w:rPr>
          <w:sz w:val="20"/>
          <w:szCs w:val="20"/>
          <w:color w:val="auto"/>
        </w:rPr>
      </w:pPr>
    </w:p>
    <w:p>
      <w:pPr>
        <w:jc w:val="both"/>
        <w:ind w:left="782" w:hanging="654"/>
        <w:spacing w:after="0" w:line="338" w:lineRule="auto"/>
        <w:tabs>
          <w:tab w:leader="none" w:pos="78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from transmitting such information as may be required by its statutory auditors, public organisations or any governmental, regulatory, fiscal, or monetary institution or other authority, in accordance with any applicable laws and regulations in force;</w:t>
      </w:r>
    </w:p>
    <w:p>
      <w:pPr>
        <w:spacing w:after="0" w:line="67" w:lineRule="exact"/>
        <w:rPr>
          <w:rFonts w:ascii="Times New Roman" w:cs="Times New Roman" w:eastAsia="Times New Roman" w:hAnsi="Times New Roman"/>
          <w:sz w:val="20"/>
          <w:szCs w:val="20"/>
          <w:color w:val="auto"/>
        </w:rPr>
      </w:pPr>
    </w:p>
    <w:p>
      <w:pPr>
        <w:jc w:val="both"/>
        <w:ind w:left="782" w:hanging="654"/>
        <w:spacing w:after="0" w:line="334" w:lineRule="auto"/>
        <w:tabs>
          <w:tab w:leader="none" w:pos="78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from transmitting such information to any person who will provide or will undertake to provide directly or indirectly funds to the Purchaser or any agent appointed by the Purchaser pursuant to Article 18 (</w:t>
      </w:r>
      <w:r>
        <w:rPr>
          <w:rFonts w:ascii="Times New Roman" w:cs="Times New Roman" w:eastAsia="Times New Roman" w:hAnsi="Times New Roman"/>
          <w:sz w:val="20"/>
          <w:szCs w:val="20"/>
          <w:i w:val="1"/>
          <w:iCs w:val="1"/>
          <w:color w:val="auto"/>
        </w:rPr>
        <w:t>Identification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contractual documentation for the Sold Receivables - Access to Documents</w:t>
      </w:r>
      <w:r>
        <w:rPr>
          <w:rFonts w:ascii="Times New Roman" w:cs="Times New Roman" w:eastAsia="Times New Roman" w:hAnsi="Times New Roman"/>
          <w:sz w:val="20"/>
          <w:szCs w:val="20"/>
          <w:color w:val="auto"/>
        </w:rPr>
        <w:t>), provided that the Purchaser undertakes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person shall be bound to treat such information as confidential under the same terms and subject to the same conditions as provided for in the Transaction Documents;</w:t>
      </w:r>
    </w:p>
    <w:p>
      <w:pPr>
        <w:spacing w:after="0" w:line="73" w:lineRule="exact"/>
        <w:rPr>
          <w:rFonts w:ascii="Times New Roman" w:cs="Times New Roman" w:eastAsia="Times New Roman" w:hAnsi="Times New Roman"/>
          <w:sz w:val="20"/>
          <w:szCs w:val="20"/>
          <w:color w:val="auto"/>
        </w:rPr>
      </w:pPr>
    </w:p>
    <w:p>
      <w:pPr>
        <w:jc w:val="both"/>
        <w:ind w:left="782" w:right="20" w:hanging="654"/>
        <w:spacing w:after="0" w:line="345" w:lineRule="auto"/>
        <w:tabs>
          <w:tab w:leader="none" w:pos="781"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from using any original or duplicate copy of the contractual documentation or any computer information referred to in Article 18 (</w:t>
      </w:r>
      <w:r>
        <w:rPr>
          <w:rFonts w:ascii="Times New Roman" w:cs="Times New Roman" w:eastAsia="Times New Roman" w:hAnsi="Times New Roman"/>
          <w:sz w:val="20"/>
          <w:szCs w:val="20"/>
          <w:i w:val="1"/>
          <w:iCs w:val="1"/>
          <w:color w:val="auto"/>
        </w:rPr>
        <w:t>Identification of the contractual documentation for the Sold Receivables-Access to documents</w:t>
      </w:r>
      <w:r>
        <w:rPr>
          <w:rFonts w:ascii="Times New Roman" w:cs="Times New Roman" w:eastAsia="Times New Roman" w:hAnsi="Times New Roman"/>
          <w:sz w:val="20"/>
          <w:szCs w:val="20"/>
          <w:color w:val="auto"/>
        </w:rPr>
        <w:t>) of this</w:t>
      </w:r>
    </w:p>
    <w:p>
      <w:pPr>
        <w:sectPr>
          <w:pgSz w:w="11900" w:h="16838" w:orient="portrait"/>
          <w:cols w:equalWidth="0" w:num="1">
            <w:col w:w="10722"/>
          </w:cols>
          <w:pgMar w:left="838" w:top="1440" w:right="339" w:bottom="1440" w:gutter="0" w:footer="0" w:header="0"/>
        </w:sectPr>
      </w:pPr>
    </w:p>
    <w:bookmarkStart w:id="218" w:name="page219"/>
    <w:bookmarkEnd w:id="218"/>
    <w:p>
      <w:pPr>
        <w:spacing w:after="0" w:line="95" w:lineRule="exact"/>
        <w:rPr>
          <w:sz w:val="20"/>
          <w:szCs w:val="20"/>
          <w:color w:val="auto"/>
        </w:rPr>
      </w:pPr>
    </w:p>
    <w:p>
      <w:pPr>
        <w:ind w:left="782"/>
        <w:spacing w:after="0" w:line="353" w:lineRule="auto"/>
        <w:rPr>
          <w:sz w:val="20"/>
          <w:szCs w:val="20"/>
          <w:color w:val="auto"/>
        </w:rPr>
      </w:pPr>
      <w:r>
        <w:rPr>
          <w:rFonts w:ascii="Times New Roman" w:cs="Times New Roman" w:eastAsia="Times New Roman" w:hAnsi="Times New Roman"/>
          <w:sz w:val="20"/>
          <w:szCs w:val="20"/>
          <w:color w:val="auto"/>
        </w:rPr>
        <w:t>Agreement in order to take all such measures deemed necessary by the Purchaser to preserve, and/or enforce its rights under the Transaction Documents, including without limitation any legal actions;</w:t>
      </w:r>
    </w:p>
    <w:p>
      <w:pPr>
        <w:spacing w:after="0" w:line="52" w:lineRule="exact"/>
        <w:rPr>
          <w:sz w:val="20"/>
          <w:szCs w:val="20"/>
          <w:color w:val="auto"/>
        </w:rPr>
      </w:pPr>
    </w:p>
    <w:p>
      <w:pPr>
        <w:ind w:left="762" w:hanging="634"/>
        <w:spacing w:after="0"/>
        <w:tabs>
          <w:tab w:leader="none" w:pos="762"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from providing the Rating Agencies with any information they may require;</w:t>
      </w:r>
    </w:p>
    <w:p>
      <w:pPr>
        <w:spacing w:after="0" w:line="202" w:lineRule="exact"/>
        <w:rPr>
          <w:rFonts w:ascii="Times New Roman" w:cs="Times New Roman" w:eastAsia="Times New Roman" w:hAnsi="Times New Roman"/>
          <w:sz w:val="20"/>
          <w:szCs w:val="20"/>
          <w:color w:val="auto"/>
        </w:rPr>
      </w:pPr>
    </w:p>
    <w:p>
      <w:pPr>
        <w:ind w:left="782" w:hanging="654"/>
        <w:spacing w:after="0" w:line="353" w:lineRule="auto"/>
        <w:tabs>
          <w:tab w:leader="none" w:pos="769"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from transmitting such information as may be in the public domain other than as a result of a breach of this Article or a breach of any other confidentiality obligation;</w:t>
      </w:r>
    </w:p>
    <w:p>
      <w:pPr>
        <w:spacing w:after="0" w:line="52" w:lineRule="exact"/>
        <w:rPr>
          <w:rFonts w:ascii="Times New Roman" w:cs="Times New Roman" w:eastAsia="Times New Roman" w:hAnsi="Times New Roman"/>
          <w:sz w:val="20"/>
          <w:szCs w:val="20"/>
          <w:color w:val="auto"/>
        </w:rPr>
      </w:pPr>
    </w:p>
    <w:p>
      <w:pPr>
        <w:jc w:val="both"/>
        <w:ind w:left="782" w:hanging="654"/>
        <w:spacing w:after="0" w:line="355" w:lineRule="auto"/>
        <w:tabs>
          <w:tab w:leader="none" w:pos="77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GOODYEAR's prior written consent, CREDIT AGRICOLE CORPORATE AND INVESTMENT BANK, the Issuers, the Liquidity Banks and the Fund Subscribers from using exclusively the following information: the amount involved in the Securitisation Transaction, the countries concerned, the number of Sellers, the structure of the transaction, the identity of the legal counsel involved in the Securitisation Transaction, the Closing Date of the Securitisation Transaction, the maturity of the Securitisation Transaction and the identity of the parties to the Securitisation Transaction; and</w:t>
      </w:r>
    </w:p>
    <w:p>
      <w:pPr>
        <w:spacing w:after="0" w:line="58" w:lineRule="exact"/>
        <w:rPr>
          <w:rFonts w:ascii="Times New Roman" w:cs="Times New Roman" w:eastAsia="Times New Roman" w:hAnsi="Times New Roman"/>
          <w:sz w:val="19"/>
          <w:szCs w:val="19"/>
          <w:color w:val="auto"/>
        </w:rPr>
      </w:pPr>
    </w:p>
    <w:p>
      <w:pPr>
        <w:jc w:val="both"/>
        <w:ind w:left="782" w:hanging="654"/>
        <w:spacing w:after="0" w:line="331" w:lineRule="auto"/>
        <w:tabs>
          <w:tab w:leader="none" w:pos="771"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CREDIT AGRICOLE CORPORATE AND INVESTMENT BANK from transmitting such information to any other person involved in the Securitisation Transaction (such as the Custodian), provided that the Purchaser and CREDIT AGRICOLE CORPORATE AND INVESTMENT BANK undertake that such person shall be bound to treat such information as confidential under the same terms and subject to the same conditions as provided for in the Transaction Documents.</w:t>
      </w:r>
    </w:p>
    <w:p>
      <w:pPr>
        <w:spacing w:after="0" w:line="88" w:lineRule="exact"/>
        <w:rPr>
          <w:sz w:val="20"/>
          <w:szCs w:val="20"/>
          <w:color w:val="auto"/>
        </w:rPr>
      </w:pPr>
    </w:p>
    <w:p>
      <w:pPr>
        <w:ind w:left="122"/>
        <w:spacing w:after="0"/>
        <w:rPr>
          <w:sz w:val="20"/>
          <w:szCs w:val="20"/>
          <w:color w:val="auto"/>
        </w:rPr>
      </w:pPr>
      <w:r>
        <w:rPr>
          <w:rFonts w:ascii="Times New Roman" w:cs="Times New Roman" w:eastAsia="Times New Roman" w:hAnsi="Times New Roman"/>
          <w:sz w:val="20"/>
          <w:szCs w:val="20"/>
          <w:color w:val="auto"/>
        </w:rPr>
        <w:t>This obligation to preserve confidentiality shall remain valid for ten (10) years from the Program Expiry Date.</w:t>
      </w:r>
    </w:p>
    <w:p>
      <w:pPr>
        <w:spacing w:after="0" w:line="347" w:lineRule="exact"/>
        <w:rPr>
          <w:sz w:val="20"/>
          <w:szCs w:val="20"/>
          <w:color w:val="auto"/>
        </w:rPr>
      </w:pPr>
    </w:p>
    <w:p>
      <w:pPr>
        <w:ind w:left="502" w:hanging="502"/>
        <w:spacing w:after="0"/>
        <w:tabs>
          <w:tab w:leader="none" w:pos="502"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125" w:lineRule="exact"/>
        <w:rPr>
          <w:sz w:val="20"/>
          <w:szCs w:val="20"/>
          <w:color w:val="auto"/>
        </w:rPr>
      </w:pPr>
    </w:p>
    <w:p>
      <w:pPr>
        <w:ind w:left="502" w:hanging="502"/>
        <w:spacing w:after="0" w:line="367" w:lineRule="auto"/>
        <w:tabs>
          <w:tab w:leader="none" w:pos="491"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the Transaction Documents, all notices, requests or communications which must or may be made pursuant to this Agreement shall be by way of writing, mail or fax.</w:t>
      </w:r>
    </w:p>
    <w:p>
      <w:pPr>
        <w:spacing w:after="0" w:line="147"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or communications to be made and all documents to be delivered from one Party to the other Party under the Transaction Documents shall be made and delivered to the addressees referred to in SCHEDULE 6 (and in the case of the Sellers, to the Centralising Unit, acting in the name and on behalf of the Sellers).</w:t>
      </w:r>
    </w:p>
    <w:p>
      <w:pPr>
        <w:spacing w:after="0" w:line="175" w:lineRule="exact"/>
        <w:rPr>
          <w:rFonts w:ascii="Times New Roman" w:cs="Times New Roman" w:eastAsia="Times New Roman" w:hAnsi="Times New Roman"/>
          <w:sz w:val="20"/>
          <w:szCs w:val="20"/>
          <w:color w:val="auto"/>
        </w:rPr>
      </w:pPr>
    </w:p>
    <w:p>
      <w:pPr>
        <w:ind w:left="502" w:hanging="502"/>
        <w:spacing w:after="0" w:line="367" w:lineRule="auto"/>
        <w:tabs>
          <w:tab w:leader="none" w:pos="491"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or communications made and all documents delivered under the Transaction Documents shall only take effect upon the date of their receipt by its addressee.</w:t>
      </w:r>
    </w:p>
    <w:p>
      <w:pPr>
        <w:sectPr>
          <w:pgSz w:w="11900" w:h="16838" w:orient="portrait"/>
          <w:cols w:equalWidth="0" w:num="1">
            <w:col w:w="10722"/>
          </w:cols>
          <w:pgMar w:left="838" w:top="1440" w:right="339" w:bottom="1440" w:gutter="0" w:footer="0" w:header="0"/>
        </w:sectPr>
      </w:pPr>
    </w:p>
    <w:bookmarkStart w:id="219" w:name="page220"/>
    <w:bookmarkEnd w:id="219"/>
    <w:p>
      <w:pPr>
        <w:spacing w:after="0" w:line="203" w:lineRule="exact"/>
        <w:rPr>
          <w:sz w:val="20"/>
          <w:szCs w:val="20"/>
          <w:color w:val="auto"/>
        </w:rPr>
      </w:pPr>
    </w:p>
    <w:p>
      <w:pPr>
        <w:jc w:val="both"/>
        <w:ind w:left="502" w:hanging="502"/>
        <w:spacing w:after="0" w:line="338" w:lineRule="auto"/>
        <w:tabs>
          <w:tab w:leader="none" w:pos="491"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may at any time modify the addressee of the notices, requests or communications to be made and the documents to be delivered to it under the Transaction Documents by sending to that effect a letter or fax to the other Party indicating the name of the new addressee.</w:t>
      </w:r>
    </w:p>
    <w:p>
      <w:pPr>
        <w:spacing w:after="0" w:line="189" w:lineRule="exact"/>
        <w:rPr>
          <w:rFonts w:ascii="Times New Roman" w:cs="Times New Roman" w:eastAsia="Times New Roman" w:hAnsi="Times New Roman"/>
          <w:sz w:val="20"/>
          <w:szCs w:val="20"/>
          <w:color w:val="auto"/>
        </w:rPr>
      </w:pPr>
    </w:p>
    <w:p>
      <w:pPr>
        <w:jc w:val="both"/>
        <w:ind w:left="502" w:right="20" w:hanging="502"/>
        <w:spacing w:after="0" w:line="384" w:lineRule="auto"/>
        <w:tabs>
          <w:tab w:leader="none" w:pos="491"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agree that the Centralising Unit shall be responsible for receiving written notice on behalf of the Sellers, and that any notice given to the Centralising Unit shall be deemed validly received by all of the Sellers upon receipt by the Centralising Unit.</w:t>
      </w:r>
    </w:p>
    <w:p>
      <w:pPr>
        <w:spacing w:after="0" w:line="137" w:lineRule="exact"/>
        <w:rPr>
          <w:rFonts w:ascii="Times New Roman" w:cs="Times New Roman" w:eastAsia="Times New Roman" w:hAnsi="Times New Roman"/>
          <w:sz w:val="19"/>
          <w:szCs w:val="19"/>
          <w:color w:val="auto"/>
        </w:rPr>
      </w:pPr>
    </w:p>
    <w:p>
      <w:pPr>
        <w:jc w:val="both"/>
        <w:ind w:left="502" w:hanging="502"/>
        <w:spacing w:after="0" w:line="338" w:lineRule="auto"/>
        <w:tabs>
          <w:tab w:leader="none" w:pos="491"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Purchaser shall be responsible for receiving written notice on behalf of the Agent, the Lead Arranger and the Calculation Agent, and that any notice given to the Purchaser shall be deemed validly received by the Agent, the Lead Arranger and the Calculation Agent upon receipt by the Purchaser.</w:t>
      </w:r>
    </w:p>
    <w:p>
      <w:pPr>
        <w:spacing w:after="0" w:line="226" w:lineRule="exact"/>
        <w:rPr>
          <w:sz w:val="20"/>
          <w:szCs w:val="20"/>
          <w:color w:val="auto"/>
        </w:rPr>
      </w:pPr>
    </w:p>
    <w:p>
      <w:pPr>
        <w:ind w:left="502" w:hanging="502"/>
        <w:spacing w:after="0"/>
        <w:tabs>
          <w:tab w:leader="none" w:pos="502"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RIGHTS – RECOURSE – NO PETITION</w:t>
      </w:r>
    </w:p>
    <w:p>
      <w:pPr>
        <w:spacing w:after="0" w:line="139" w:lineRule="exact"/>
        <w:rPr>
          <w:sz w:val="20"/>
          <w:szCs w:val="20"/>
          <w:color w:val="auto"/>
        </w:rPr>
      </w:pPr>
    </w:p>
    <w:p>
      <w:pPr>
        <w:ind w:left="502" w:hanging="502"/>
        <w:spacing w:after="0" w:line="353" w:lineRule="auto"/>
        <w:tabs>
          <w:tab w:leader="none" w:pos="491"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conferred on the Purchaser by this Agreement or by any other document delivered pursuant to or incidental to this Agreement, including rights conferred by law, shall be cumulative and may be exercised at any time.</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45" w:lineRule="auto"/>
        <w:tabs>
          <w:tab w:leader="none" w:pos="491"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 Party does not exercise a right or delays doing so shall in no way be treated as a waiver of that right. The exercise of one right or a partial exercise shall not prevent any Party from exercising such a right in the future, or from exercising any other right.</w:t>
      </w:r>
    </w:p>
    <w:p>
      <w:pPr>
        <w:spacing w:after="0" w:line="165"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Recourse</w:t>
      </w:r>
    </w:p>
    <w:p>
      <w:pPr>
        <w:spacing w:after="0" w:line="301" w:lineRule="exact"/>
        <w:rPr>
          <w:sz w:val="20"/>
          <w:szCs w:val="20"/>
          <w:color w:val="auto"/>
        </w:rPr>
      </w:pPr>
    </w:p>
    <w:p>
      <w:pPr>
        <w:jc w:val="both"/>
        <w:ind w:left="542"/>
        <w:spacing w:after="0" w:line="334" w:lineRule="auto"/>
        <w:rPr>
          <w:sz w:val="20"/>
          <w:szCs w:val="20"/>
          <w:color w:val="auto"/>
        </w:rPr>
      </w:pPr>
      <w:r>
        <w:rPr>
          <w:rFonts w:ascii="Times New Roman" w:cs="Times New Roman" w:eastAsia="Times New Roman" w:hAnsi="Times New Roman"/>
          <w:sz w:val="20"/>
          <w:szCs w:val="20"/>
          <w:color w:val="auto"/>
        </w:rPr>
        <w:t>The Centralising Unit, the Agent, the Lead Arranger and the Sellers waive any right that they may have to initiate any proceeding whatsoever in relation to the contractual liability (</w:t>
      </w:r>
      <w:r>
        <w:rPr>
          <w:rFonts w:ascii="Times New Roman" w:cs="Times New Roman" w:eastAsia="Times New Roman" w:hAnsi="Times New Roman"/>
          <w:sz w:val="20"/>
          <w:szCs w:val="20"/>
          <w:i w:val="1"/>
          <w:iCs w:val="1"/>
          <w:color w:val="auto"/>
        </w:rPr>
        <w:t>responsabilité contractuelle</w:t>
      </w:r>
      <w:r>
        <w:rPr>
          <w:rFonts w:ascii="Times New Roman" w:cs="Times New Roman" w:eastAsia="Times New Roman" w:hAnsi="Times New Roman"/>
          <w:sz w:val="20"/>
          <w:szCs w:val="20"/>
          <w:color w:val="auto"/>
        </w:rPr>
        <w:t>) of the Purchaser, except in the case of its own gross negligence (</w:t>
      </w:r>
      <w:r>
        <w:rPr>
          <w:rFonts w:ascii="Times New Roman" w:cs="Times New Roman" w:eastAsia="Times New Roman" w:hAnsi="Times New Roman"/>
          <w:sz w:val="20"/>
          <w:szCs w:val="20"/>
          <w:i w:val="1"/>
          <w:iCs w:val="1"/>
          <w:color w:val="auto"/>
        </w:rPr>
        <w:t>faute lourde</w:t>
      </w:r>
      <w:r>
        <w:rPr>
          <w:rFonts w:ascii="Times New Roman" w:cs="Times New Roman" w:eastAsia="Times New Roman" w:hAnsi="Times New Roman"/>
          <w:sz w:val="20"/>
          <w:szCs w:val="20"/>
          <w:color w:val="auto"/>
        </w:rPr>
        <w:t>) or willful misconduct (</w:t>
      </w:r>
      <w:r>
        <w:rPr>
          <w:rFonts w:ascii="Times New Roman" w:cs="Times New Roman" w:eastAsia="Times New Roman" w:hAnsi="Times New Roman"/>
          <w:sz w:val="20"/>
          <w:szCs w:val="20"/>
          <w:i w:val="1"/>
          <w:iCs w:val="1"/>
          <w:color w:val="auto"/>
        </w:rPr>
        <w:t>dol</w:t>
      </w:r>
      <w:r>
        <w:rPr>
          <w:rFonts w:ascii="Times New Roman" w:cs="Times New Roman" w:eastAsia="Times New Roman" w:hAnsi="Times New Roman"/>
          <w:sz w:val="20"/>
          <w:szCs w:val="20"/>
          <w:color w:val="auto"/>
        </w:rPr>
        <w:t>) and agree to limit their claims and recourse against the Purchaser (including in the event of a breach by the Purchaser of any of its representations and warranties, or any of its obligations hereunder) to the amount of the Available Funds on the relevant date.</w:t>
      </w:r>
    </w:p>
    <w:p>
      <w:pPr>
        <w:spacing w:after="0" w:line="182"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Any recourse of the Purchaser against the Sellers, the Centralising Unit or any of their respective Affiliates, directors, officers and employees in relation to the non-payment by any Debtors of any sums due under the Sold Receivables, shall be limited to the amount of the Subordinated Deposit.</w:t>
      </w:r>
    </w:p>
    <w:p>
      <w:pPr>
        <w:spacing w:after="0" w:line="185" w:lineRule="exact"/>
        <w:rPr>
          <w:sz w:val="20"/>
          <w:szCs w:val="20"/>
          <w:color w:val="auto"/>
        </w:rPr>
      </w:pPr>
    </w:p>
    <w:p>
      <w:pPr>
        <w:ind w:left="502" w:hanging="502"/>
        <w:spacing w:after="0"/>
        <w:tabs>
          <w:tab w:leader="none" w:pos="502" w:val="left"/>
        </w:tabs>
        <w:numPr>
          <w:ilvl w:val="0"/>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 Petition</w:t>
      </w:r>
    </w:p>
    <w:p>
      <w:pPr>
        <w:spacing w:after="0" w:line="301" w:lineRule="exact"/>
        <w:rPr>
          <w:sz w:val="20"/>
          <w:szCs w:val="20"/>
          <w:color w:val="auto"/>
        </w:rPr>
      </w:pPr>
    </w:p>
    <w:p>
      <w:pPr>
        <w:ind w:left="542" w:right="20"/>
        <w:spacing w:after="0" w:line="353" w:lineRule="auto"/>
        <w:rPr>
          <w:sz w:val="20"/>
          <w:szCs w:val="20"/>
          <w:color w:val="auto"/>
        </w:rPr>
      </w:pPr>
      <w:r>
        <w:rPr>
          <w:rFonts w:ascii="Times New Roman" w:cs="Times New Roman" w:eastAsia="Times New Roman" w:hAnsi="Times New Roman"/>
          <w:sz w:val="20"/>
          <w:szCs w:val="20"/>
          <w:color w:val="auto"/>
        </w:rPr>
        <w:t>The Centralising Unit, the Agent, the Lead Arranger and the Sellers irrevocably and unconditionally undertake and agree not to institute any legal proceedings, take other steps or institute other proceedings against ESTER, the purpose of which is the</w:t>
      </w:r>
    </w:p>
    <w:p>
      <w:pPr>
        <w:sectPr>
          <w:pgSz w:w="11900" w:h="16838" w:orient="portrait"/>
          <w:cols w:equalWidth="0" w:num="1">
            <w:col w:w="10722"/>
          </w:cols>
          <w:pgMar w:left="838" w:top="1440" w:right="339" w:bottom="1440" w:gutter="0" w:footer="0" w:header="0"/>
        </w:sectPr>
      </w:pPr>
    </w:p>
    <w:bookmarkStart w:id="220" w:name="page221"/>
    <w:bookmarkEnd w:id="220"/>
    <w:p>
      <w:pPr>
        <w:spacing w:after="0" w:line="199" w:lineRule="exact"/>
        <w:rPr>
          <w:sz w:val="20"/>
          <w:szCs w:val="20"/>
          <w:color w:val="auto"/>
        </w:rPr>
      </w:pPr>
    </w:p>
    <w:p>
      <w:pPr>
        <w:ind w:left="542"/>
        <w:spacing w:after="0" w:line="357" w:lineRule="auto"/>
        <w:rPr>
          <w:sz w:val="20"/>
          <w:szCs w:val="20"/>
          <w:color w:val="auto"/>
        </w:rPr>
      </w:pPr>
      <w:r>
        <w:rPr>
          <w:rFonts w:ascii="Times New Roman" w:cs="Times New Roman" w:eastAsia="Times New Roman" w:hAnsi="Times New Roman"/>
          <w:sz w:val="20"/>
          <w:szCs w:val="20"/>
          <w:color w:val="auto"/>
        </w:rPr>
        <w:t xml:space="preserve">appointment of a conciliator or an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agent, or the opening of receivership proceedings or Insolvency Proceedings or any other similar proceedings.</w:t>
      </w:r>
    </w:p>
    <w:p>
      <w:pPr>
        <w:spacing w:after="0" w:line="207" w:lineRule="exact"/>
        <w:rPr>
          <w:sz w:val="20"/>
          <w:szCs w:val="20"/>
          <w:color w:val="auto"/>
        </w:rPr>
      </w:pPr>
    </w:p>
    <w:p>
      <w:pPr>
        <w:ind w:left="502" w:hanging="502"/>
        <w:spacing w:after="0"/>
        <w:tabs>
          <w:tab w:leader="none" w:pos="502"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TRANSFERABILITY OF THIS AGREEMENT – FINANCIAL GUARANTEE AGREEMENT</w:t>
      </w:r>
    </w:p>
    <w:p>
      <w:pPr>
        <w:spacing w:after="0" w:line="247" w:lineRule="exact"/>
        <w:rPr>
          <w:sz w:val="20"/>
          <w:szCs w:val="20"/>
          <w:color w:val="auto"/>
        </w:rPr>
      </w:pPr>
    </w:p>
    <w:p>
      <w:pPr>
        <w:ind w:left="502" w:right="20" w:hanging="502"/>
        <w:spacing w:after="0" w:line="353" w:lineRule="auto"/>
        <w:tabs>
          <w:tab w:leader="none" w:pos="491"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may transfer this Agreement, or the rights and obligations under this Agreement, to any third party whatsoever without the prior written consent of all the other Parties.</w:t>
      </w:r>
    </w:p>
    <w:p>
      <w:pPr>
        <w:spacing w:after="0" w:line="160" w:lineRule="exact"/>
        <w:rPr>
          <w:rFonts w:ascii="Times New Roman" w:cs="Times New Roman" w:eastAsia="Times New Roman" w:hAnsi="Times New Roman"/>
          <w:sz w:val="20"/>
          <w:szCs w:val="20"/>
          <w:color w:val="auto"/>
        </w:rPr>
      </w:pPr>
    </w:p>
    <w:p>
      <w:pPr>
        <w:jc w:val="both"/>
        <w:ind w:left="502" w:hanging="502"/>
        <w:spacing w:after="0" w:line="338" w:lineRule="auto"/>
        <w:tabs>
          <w:tab w:leader="none" w:pos="491"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any of the Calculation Agent and the Lead Arranger may freely transfer its role as Party under this Agreement (including through merger, partial contribution of assets or transfer by operation of law (</w:t>
      </w:r>
      <w:r>
        <w:rPr>
          <w:rFonts w:ascii="Times New Roman" w:cs="Times New Roman" w:eastAsia="Times New Roman" w:hAnsi="Times New Roman"/>
          <w:sz w:val="20"/>
          <w:szCs w:val="20"/>
          <w:i w:val="1"/>
          <w:iCs w:val="1"/>
          <w:color w:val="auto"/>
        </w:rPr>
        <w:t>transmission universelle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patrimoine</w:t>
      </w:r>
      <w:r>
        <w:rPr>
          <w:rFonts w:ascii="Times New Roman" w:cs="Times New Roman" w:eastAsia="Times New Roman" w:hAnsi="Times New Roman"/>
          <w:sz w:val="20"/>
          <w:szCs w:val="20"/>
          <w:color w:val="auto"/>
        </w:rPr>
        <w:t>)) to any other credit institution within as far as CREDIT AGRICOLE CORPORATE AND INVESTMENT BANK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concerned, the Crédit Agricole Group.</w:t>
      </w:r>
    </w:p>
    <w:p>
      <w:pPr>
        <w:spacing w:after="0" w:line="176" w:lineRule="exact"/>
        <w:rPr>
          <w:sz w:val="20"/>
          <w:szCs w:val="20"/>
          <w:color w:val="auto"/>
        </w:rPr>
      </w:pPr>
    </w:p>
    <w:p>
      <w:pPr>
        <w:jc w:val="both"/>
        <w:ind w:left="622"/>
        <w:spacing w:after="0" w:line="338" w:lineRule="auto"/>
        <w:rPr>
          <w:sz w:val="20"/>
          <w:szCs w:val="20"/>
          <w:color w:val="auto"/>
        </w:rPr>
      </w:pPr>
      <w:r>
        <w:rPr>
          <w:rFonts w:ascii="Times New Roman" w:cs="Times New Roman" w:eastAsia="Times New Roman" w:hAnsi="Times New Roman"/>
          <w:sz w:val="20"/>
          <w:szCs w:val="20"/>
          <w:color w:val="auto"/>
        </w:rPr>
        <w:t>The transfer of this Agreement under this Article 32.2 (carried out otherwise than by way of merger, partial contribution of assets or transfer by operation of law (</w:t>
      </w:r>
      <w:r>
        <w:rPr>
          <w:rFonts w:ascii="Times New Roman" w:cs="Times New Roman" w:eastAsia="Times New Roman" w:hAnsi="Times New Roman"/>
          <w:sz w:val="20"/>
          <w:szCs w:val="20"/>
          <w:i w:val="1"/>
          <w:iCs w:val="1"/>
          <w:color w:val="auto"/>
        </w:rPr>
        <w:t>transmission universelle de patrimoine</w:t>
      </w:r>
      <w:r>
        <w:rPr>
          <w:rFonts w:ascii="Times New Roman" w:cs="Times New Roman" w:eastAsia="Times New Roman" w:hAnsi="Times New Roman"/>
          <w:sz w:val="20"/>
          <w:szCs w:val="20"/>
          <w:color w:val="auto"/>
        </w:rPr>
        <w:t>)) shall be evidenced in writing and shall be notified by the relevant Party to the other Parties.</w:t>
      </w:r>
    </w:p>
    <w:p>
      <w:pPr>
        <w:spacing w:after="0" w:line="189" w:lineRule="exact"/>
        <w:rPr>
          <w:sz w:val="20"/>
          <w:szCs w:val="20"/>
          <w:color w:val="auto"/>
        </w:rPr>
      </w:pPr>
    </w:p>
    <w:p>
      <w:pPr>
        <w:jc w:val="both"/>
        <w:ind w:left="622"/>
        <w:spacing w:after="0" w:line="338" w:lineRule="auto"/>
        <w:rPr>
          <w:sz w:val="20"/>
          <w:szCs w:val="20"/>
          <w:color w:val="auto"/>
        </w:rPr>
      </w:pPr>
      <w:r>
        <w:rPr>
          <w:rFonts w:ascii="Times New Roman" w:cs="Times New Roman" w:eastAsia="Times New Roman" w:hAnsi="Times New Roman"/>
          <w:sz w:val="20"/>
          <w:szCs w:val="20"/>
          <w:color w:val="auto"/>
        </w:rPr>
        <w:t>The other Parties hereby consent that such transfer shall discharge the Calculation Agent and the Lead Arranger from further rights and obligations in respect of the assigned rights and obligations and that any guarantee and/or any security granted in favour of the relevant Parties pursuant to this Agreement shall remain in force in favour of the transferee.</w:t>
      </w:r>
    </w:p>
    <w:p>
      <w:pPr>
        <w:spacing w:after="0" w:line="172" w:lineRule="exact"/>
        <w:rPr>
          <w:sz w:val="20"/>
          <w:szCs w:val="20"/>
          <w:color w:val="auto"/>
        </w:rPr>
      </w:pPr>
    </w:p>
    <w:p>
      <w:pPr>
        <w:jc w:val="both"/>
        <w:ind w:left="622"/>
        <w:spacing w:after="0" w:line="340" w:lineRule="auto"/>
        <w:rPr>
          <w:sz w:val="20"/>
          <w:szCs w:val="20"/>
          <w:color w:val="auto"/>
        </w:rPr>
      </w:pPr>
      <w:r>
        <w:rPr>
          <w:rFonts w:ascii="Times New Roman" w:cs="Times New Roman" w:eastAsia="Times New Roman" w:hAnsi="Times New Roman"/>
          <w:sz w:val="20"/>
          <w:szCs w:val="20"/>
          <w:color w:val="auto"/>
        </w:rPr>
        <w:t>For the purposes of this Article 32.2, "</w:t>
      </w:r>
      <w:r>
        <w:rPr>
          <w:rFonts w:ascii="Times New Roman" w:cs="Times New Roman" w:eastAsia="Times New Roman" w:hAnsi="Times New Roman"/>
          <w:sz w:val="20"/>
          <w:szCs w:val="20"/>
          <w:b w:val="1"/>
          <w:bCs w:val="1"/>
          <w:color w:val="auto"/>
        </w:rPr>
        <w:t>Crédit Agricole Group</w:t>
      </w:r>
      <w:r>
        <w:rPr>
          <w:rFonts w:ascii="Times New Roman" w:cs="Times New Roman" w:eastAsia="Times New Roman" w:hAnsi="Times New Roman"/>
          <w:sz w:val="20"/>
          <w:szCs w:val="20"/>
          <w:color w:val="auto"/>
        </w:rPr>
        <w:t>" shall refer to (i) Crédit Agricole S.A. and (ii) any credit institution which is controlled (as defined in Article L. 233-3 of the French Commercial Code (</w:t>
      </w:r>
      <w:r>
        <w:rPr>
          <w:rFonts w:ascii="Times New Roman" w:cs="Times New Roman" w:eastAsia="Times New Roman" w:hAnsi="Times New Roman"/>
          <w:sz w:val="20"/>
          <w:szCs w:val="20"/>
          <w:i w:val="1"/>
          <w:iCs w:val="1"/>
          <w:color w:val="auto"/>
        </w:rPr>
        <w:t>Code de commerce</w:t>
      </w:r>
      <w:r>
        <w:rPr>
          <w:rFonts w:ascii="Times New Roman" w:cs="Times New Roman" w:eastAsia="Times New Roman" w:hAnsi="Times New Roman"/>
          <w:sz w:val="20"/>
          <w:szCs w:val="20"/>
          <w:color w:val="auto"/>
        </w:rPr>
        <w:t>), directly or indirectly, by Crédit Agricole S.A.</w:t>
      </w:r>
    </w:p>
    <w:p>
      <w:pPr>
        <w:spacing w:after="0" w:line="188" w:lineRule="exact"/>
        <w:rPr>
          <w:sz w:val="20"/>
          <w:szCs w:val="20"/>
          <w:color w:val="auto"/>
        </w:rPr>
      </w:pPr>
    </w:p>
    <w:p>
      <w:pPr>
        <w:jc w:val="both"/>
        <w:ind w:left="502" w:hanging="502"/>
        <w:spacing w:after="0" w:line="331" w:lineRule="auto"/>
        <w:tabs>
          <w:tab w:leader="none" w:pos="491"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by way of exception to article 32.1, from the entry into force of the French Financial Guarantee Agreement, the Purchaser is entitled to transfer by way of security (</w:t>
      </w:r>
      <w:r>
        <w:rPr>
          <w:rFonts w:ascii="Times New Roman" w:cs="Times New Roman" w:eastAsia="Times New Roman" w:hAnsi="Times New Roman"/>
          <w:sz w:val="20"/>
          <w:szCs w:val="20"/>
          <w:i w:val="1"/>
          <w:iCs w:val="1"/>
          <w:color w:val="auto"/>
        </w:rPr>
        <w:t>remet en pleine propriété</w:t>
      </w:r>
      <w:r>
        <w:rPr>
          <w:rFonts w:ascii="Times New Roman" w:cs="Times New Roman" w:eastAsia="Times New Roman" w:hAnsi="Times New Roman"/>
          <w:sz w:val="20"/>
          <w:szCs w:val="20"/>
          <w:color w:val="auto"/>
        </w:rPr>
        <w:t>) to the benefit of the Fund all Sold Receivables (and related collateral) and all of the Purchaser's powers, rights and remedies under this Agreement pursuant to the French Financial Guarantee Agreement, as security for the due performance of the obligations of the Purchaser arising from the Senior Deposit Agreement towards the Fund.</w:t>
      </w:r>
    </w:p>
    <w:p>
      <w:pPr>
        <w:spacing w:after="0" w:line="246" w:lineRule="exact"/>
        <w:rPr>
          <w:sz w:val="20"/>
          <w:szCs w:val="20"/>
          <w:color w:val="auto"/>
        </w:rPr>
      </w:pPr>
    </w:p>
    <w:p>
      <w:pPr>
        <w:ind w:left="502" w:hanging="502"/>
        <w:spacing w:after="0"/>
        <w:tabs>
          <w:tab w:leader="none" w:pos="502"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TO THE TRANSACTION DOCUMENTS</w:t>
      </w:r>
    </w:p>
    <w:p>
      <w:pPr>
        <w:spacing w:after="0" w:line="125" w:lineRule="exact"/>
        <w:rPr>
          <w:sz w:val="20"/>
          <w:szCs w:val="20"/>
          <w:color w:val="auto"/>
        </w:rPr>
      </w:pPr>
    </w:p>
    <w:p>
      <w:pPr>
        <w:ind w:left="502" w:hanging="502"/>
        <w:spacing w:after="0" w:line="353" w:lineRule="auto"/>
        <w:tabs>
          <w:tab w:leader="none" w:pos="491"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to the Transaction Documents may be made without (i) the written consent of each other party thereto and (ii) the prior written consent of each Issuer, each</w:t>
      </w:r>
    </w:p>
    <w:p>
      <w:pPr>
        <w:sectPr>
          <w:pgSz w:w="11900" w:h="16838" w:orient="portrait"/>
          <w:cols w:equalWidth="0" w:num="1">
            <w:col w:w="10722"/>
          </w:cols>
          <w:pgMar w:left="838" w:top="1440" w:right="339" w:bottom="1440" w:gutter="0" w:footer="0" w:header="0"/>
        </w:sectPr>
      </w:pPr>
    </w:p>
    <w:bookmarkStart w:id="221" w:name="page222"/>
    <w:bookmarkEnd w:id="221"/>
    <w:p>
      <w:pPr>
        <w:spacing w:after="0" w:line="95" w:lineRule="exact"/>
        <w:rPr>
          <w:sz w:val="20"/>
          <w:szCs w:val="20"/>
          <w:color w:val="auto"/>
        </w:rPr>
      </w:pPr>
    </w:p>
    <w:p>
      <w:pPr>
        <w:ind w:left="502"/>
        <w:spacing w:after="0" w:line="353" w:lineRule="auto"/>
        <w:rPr>
          <w:sz w:val="20"/>
          <w:szCs w:val="20"/>
          <w:color w:val="auto"/>
        </w:rPr>
      </w:pPr>
      <w:r>
        <w:rPr>
          <w:rFonts w:ascii="Times New Roman" w:cs="Times New Roman" w:eastAsia="Times New Roman" w:hAnsi="Times New Roman"/>
          <w:sz w:val="20"/>
          <w:szCs w:val="20"/>
          <w:color w:val="auto"/>
        </w:rPr>
        <w:t>Liquidity Bank and each Fund Subscriber, to such amendment (such consent, in each case, not being unreasonably withheld or delayed).</w:t>
      </w:r>
    </w:p>
    <w:p>
      <w:pPr>
        <w:spacing w:after="0" w:line="160" w:lineRule="exact"/>
        <w:rPr>
          <w:sz w:val="20"/>
          <w:szCs w:val="20"/>
          <w:color w:val="auto"/>
        </w:rPr>
      </w:pPr>
    </w:p>
    <w:p>
      <w:pPr>
        <w:jc w:val="both"/>
        <w:ind w:left="502" w:hanging="502"/>
        <w:spacing w:after="0" w:line="338" w:lineRule="auto"/>
        <w:tabs>
          <w:tab w:leader="none" w:pos="49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foregoing, the Transaction Documents may be amended with the prior consent of the Lead Arranger, the Agent, the Purchaser (having obtained the prior consent of the Italian Issuer) and the Centralising Unit, acting for itself and in the name and on behalf of each of the Sellers and without the explicit specific prior written consent of the Sellers in each of the following cases:</w:t>
      </w:r>
    </w:p>
    <w:p>
      <w:pPr>
        <w:spacing w:after="0" w:line="63" w:lineRule="exact"/>
        <w:rPr>
          <w:rFonts w:ascii="Times New Roman" w:cs="Times New Roman" w:eastAsia="Times New Roman" w:hAnsi="Times New Roman"/>
          <w:sz w:val="20"/>
          <w:szCs w:val="20"/>
          <w:color w:val="auto"/>
        </w:rPr>
      </w:pPr>
    </w:p>
    <w:p>
      <w:pPr>
        <w:ind w:left="1022" w:hanging="894"/>
        <w:spacing w:after="0"/>
        <w:tabs>
          <w:tab w:leader="none" w:pos="102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accession of any New Seller, provided that the conditions of Article 38 (</w:t>
      </w:r>
      <w:r>
        <w:rPr>
          <w:rFonts w:ascii="Times New Roman" w:cs="Times New Roman" w:eastAsia="Times New Roman" w:hAnsi="Times New Roman"/>
          <w:sz w:val="20"/>
          <w:szCs w:val="20"/>
          <w:i w:val="1"/>
          <w:iCs w:val="1"/>
          <w:color w:val="auto"/>
        </w:rPr>
        <w:t>Accession of New Sellers</w:t>
      </w:r>
      <w:r>
        <w:rPr>
          <w:rFonts w:ascii="Times New Roman" w:cs="Times New Roman" w:eastAsia="Times New Roman" w:hAnsi="Times New Roman"/>
          <w:sz w:val="20"/>
          <w:szCs w:val="20"/>
          <w:color w:val="auto"/>
        </w:rPr>
        <w:t>) are met;</w:t>
      </w:r>
    </w:p>
    <w:p>
      <w:pPr>
        <w:spacing w:after="0" w:line="192" w:lineRule="exact"/>
        <w:rPr>
          <w:rFonts w:ascii="Times New Roman" w:cs="Times New Roman" w:eastAsia="Times New Roman" w:hAnsi="Times New Roman"/>
          <w:sz w:val="20"/>
          <w:szCs w:val="20"/>
          <w:color w:val="auto"/>
        </w:rPr>
      </w:pPr>
    </w:p>
    <w:p>
      <w:pPr>
        <w:jc w:val="both"/>
        <w:ind w:left="1022" w:hanging="894"/>
        <w:spacing w:after="0" w:line="334" w:lineRule="auto"/>
        <w:tabs>
          <w:tab w:leader="none" w:pos="1019"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the definition of Eligible Receivable, Eligible Debtor, Remaining Purchasable Receivable, Ongoing Purchasable Receivables, Refinanced Eligible Receivable, Refinanced Remaining Purchasable Receivable, Refinanced Ongoing Purchasable Receivables and other definitions relating to the inclusion of cross border receivables, and amendments to related representations and warranties, provided that any such amendment shall require the explicit written consent of the Seller or Sellers that shall sell such cross border receivables;</w:t>
      </w:r>
    </w:p>
    <w:p>
      <w:pPr>
        <w:spacing w:after="0" w:line="73" w:lineRule="exact"/>
        <w:rPr>
          <w:rFonts w:ascii="Times New Roman" w:cs="Times New Roman" w:eastAsia="Times New Roman" w:hAnsi="Times New Roman"/>
          <w:sz w:val="20"/>
          <w:szCs w:val="20"/>
          <w:color w:val="auto"/>
        </w:rPr>
      </w:pPr>
    </w:p>
    <w:p>
      <w:pPr>
        <w:ind w:left="1022" w:hanging="894"/>
        <w:spacing w:after="0"/>
        <w:tabs>
          <w:tab w:leader="none" w:pos="102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 of new Liquidity Banks, Fund Subscribers and Issuers to the Securitisation Documents;</w:t>
      </w:r>
    </w:p>
    <w:p>
      <w:pPr>
        <w:spacing w:after="0" w:line="188" w:lineRule="exact"/>
        <w:rPr>
          <w:rFonts w:ascii="Times New Roman" w:cs="Times New Roman" w:eastAsia="Times New Roman" w:hAnsi="Times New Roman"/>
          <w:sz w:val="20"/>
          <w:szCs w:val="20"/>
          <w:color w:val="auto"/>
        </w:rPr>
      </w:pPr>
    </w:p>
    <w:p>
      <w:pPr>
        <w:ind w:left="1022" w:hanging="894"/>
        <w:spacing w:after="0" w:line="353" w:lineRule="auto"/>
        <w:tabs>
          <w:tab w:leader="none" w:pos="1009"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the calculation formulae of the Discount Rate, the Discount Reserve Rate and the Deferred Purchase Price under the Receivables Purchase Agreements and changes to the provisions of Article 8 (</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 above; and</w:t>
      </w:r>
    </w:p>
    <w:p>
      <w:pPr>
        <w:spacing w:after="0" w:line="65" w:lineRule="exact"/>
        <w:rPr>
          <w:rFonts w:ascii="Times New Roman" w:cs="Times New Roman" w:eastAsia="Times New Roman" w:hAnsi="Times New Roman"/>
          <w:sz w:val="20"/>
          <w:szCs w:val="20"/>
          <w:color w:val="auto"/>
        </w:rPr>
      </w:pPr>
    </w:p>
    <w:p>
      <w:pPr>
        <w:ind w:left="1022" w:hanging="894"/>
        <w:spacing w:after="0"/>
        <w:tabs>
          <w:tab w:leader="none" w:pos="1022"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in SCHEDULE 3, SCHEDULE 9, SCHEDULE 10, SCHEDULE 12 and SCHEDULE 13.</w:t>
      </w:r>
    </w:p>
    <w:p>
      <w:pPr>
        <w:spacing w:after="0" w:line="297" w:lineRule="exact"/>
        <w:rPr>
          <w:sz w:val="20"/>
          <w:szCs w:val="20"/>
          <w:color w:val="auto"/>
        </w:rPr>
      </w:pPr>
    </w:p>
    <w:p>
      <w:pPr>
        <w:jc w:val="both"/>
        <w:ind w:left="262"/>
        <w:spacing w:after="0" w:line="333" w:lineRule="auto"/>
        <w:rPr>
          <w:sz w:val="20"/>
          <w:szCs w:val="20"/>
          <w:color w:val="auto"/>
        </w:rPr>
      </w:pPr>
      <w:r>
        <w:rPr>
          <w:rFonts w:ascii="Times New Roman" w:cs="Times New Roman" w:eastAsia="Times New Roman" w:hAnsi="Times New Roman"/>
          <w:sz w:val="20"/>
          <w:szCs w:val="20"/>
          <w:color w:val="auto"/>
        </w:rPr>
        <w:t>Each Seller hereby appoints the Centralising Unit as its agent, to act in its name and on its behalf, to negotiate and execute any amendment to any of the Transaction Documents referred to above, in each case to the fullest extent permitted by applicable law and for this purpose the German Seller hereby exempts the Centralising Unit from the restrictions of self-dealing under section 181 of the German Civil Code (</w:t>
      </w:r>
      <w:r>
        <w:rPr>
          <w:rFonts w:ascii="Times New Roman" w:cs="Times New Roman" w:eastAsia="Times New Roman" w:hAnsi="Times New Roman"/>
          <w:sz w:val="20"/>
          <w:szCs w:val="20"/>
          <w:i w:val="1"/>
          <w:iCs w:val="1"/>
          <w:color w:val="auto"/>
        </w:rPr>
        <w:t>Bürgerliches Gesetzbuch – BGB</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left="502" w:hanging="502"/>
        <w:spacing w:after="0" w:line="355" w:lineRule="auto"/>
        <w:tabs>
          <w:tab w:leader="none" w:pos="491"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Moreover, the Purchaser shall not accept any amendment to any Collection Account Agreement to which it is a party without the prior written consent of the Issuers, the Liquidity Banks and the Fund Subscribers (such consent not to be unreasonably withheld or delayed) (except where such amendment to any Collection Account Agreement consists exclusively of changing the bank at which such account is held and the financial rating of such bank is at least AA (Standard &amp; Poor's) and Aa1 (Moody's)).</w:t>
      </w:r>
    </w:p>
    <w:p>
      <w:pPr>
        <w:spacing w:after="0" w:line="165" w:lineRule="exact"/>
        <w:rPr>
          <w:sz w:val="20"/>
          <w:szCs w:val="20"/>
          <w:color w:val="auto"/>
        </w:rPr>
      </w:pPr>
    </w:p>
    <w:p>
      <w:pPr>
        <w:ind w:left="462"/>
        <w:spacing w:after="0" w:line="353" w:lineRule="auto"/>
        <w:rPr>
          <w:sz w:val="20"/>
          <w:szCs w:val="20"/>
          <w:color w:val="auto"/>
        </w:rPr>
      </w:pPr>
      <w:r>
        <w:rPr>
          <w:rFonts w:ascii="Times New Roman" w:cs="Times New Roman" w:eastAsia="Times New Roman" w:hAnsi="Times New Roman"/>
          <w:sz w:val="20"/>
          <w:szCs w:val="20"/>
          <w:color w:val="auto"/>
        </w:rPr>
        <w:t>The Purchaser hereby covenants to the Centralising Unit and the Sellers that none of the Securitisation Documents, to which the Centralising Unit, the Sellers, GOODYEAR</w:t>
      </w:r>
    </w:p>
    <w:p>
      <w:pPr>
        <w:sectPr>
          <w:pgSz w:w="11900" w:h="16838" w:orient="portrait"/>
          <w:cols w:equalWidth="0" w:num="1">
            <w:col w:w="10722"/>
          </w:cols>
          <w:pgMar w:left="838" w:top="1440" w:right="339" w:bottom="1440" w:gutter="0" w:footer="0" w:header="0"/>
        </w:sectPr>
      </w:pPr>
    </w:p>
    <w:bookmarkStart w:id="222" w:name="page223"/>
    <w:bookmarkEnd w:id="222"/>
    <w:p>
      <w:pPr>
        <w:spacing w:after="0" w:line="203" w:lineRule="exact"/>
        <w:rPr>
          <w:sz w:val="20"/>
          <w:szCs w:val="20"/>
          <w:color w:val="auto"/>
        </w:rPr>
      </w:pPr>
    </w:p>
    <w:p>
      <w:pPr>
        <w:jc w:val="both"/>
        <w:ind w:left="462"/>
        <w:spacing w:after="0" w:line="338" w:lineRule="auto"/>
        <w:rPr>
          <w:sz w:val="20"/>
          <w:szCs w:val="20"/>
          <w:color w:val="auto"/>
        </w:rPr>
      </w:pPr>
      <w:r>
        <w:rPr>
          <w:rFonts w:ascii="Times New Roman" w:cs="Times New Roman" w:eastAsia="Times New Roman" w:hAnsi="Times New Roman"/>
          <w:sz w:val="20"/>
          <w:szCs w:val="20"/>
          <w:color w:val="auto"/>
        </w:rPr>
        <w:t>EUROPE BV or GOODYEAR are not party, shall be amended or otherwise modified in a way adverse to the interests of the Centralising Unit, any Seller, GOODYEAR EUROPE BV or GOODYEAR without their prior written consent (such consent or denial thereof not to be unreasonably delayed).</w:t>
      </w:r>
    </w:p>
    <w:p>
      <w:pPr>
        <w:spacing w:after="0" w:line="81" w:lineRule="exact"/>
        <w:rPr>
          <w:sz w:val="20"/>
          <w:szCs w:val="20"/>
          <w:color w:val="auto"/>
        </w:rPr>
      </w:pPr>
    </w:p>
    <w:p>
      <w:pPr>
        <w:jc w:val="both"/>
        <w:ind w:left="502" w:hanging="502"/>
        <w:spacing w:after="0" w:line="338" w:lineRule="auto"/>
        <w:tabs>
          <w:tab w:leader="none" w:pos="4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Parties may comply with the written form requirement stipulated in this Article 33 by using an advanced electronic signature or a qualified electronic signature within the meaning of the Electronic Signature Regulation and/or any applicable domestic legislation.</w:t>
      </w:r>
    </w:p>
    <w:p>
      <w:pPr>
        <w:spacing w:after="0" w:line="226" w:lineRule="exact"/>
        <w:rPr>
          <w:sz w:val="20"/>
          <w:szCs w:val="20"/>
          <w:color w:val="auto"/>
        </w:rPr>
      </w:pPr>
    </w:p>
    <w:p>
      <w:pPr>
        <w:ind w:left="502" w:hanging="502"/>
        <w:spacing w:after="0"/>
        <w:tabs>
          <w:tab w:leader="none" w:pos="502"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INDEMNITIES</w:t>
      </w:r>
    </w:p>
    <w:p>
      <w:pPr>
        <w:spacing w:after="0" w:line="139" w:lineRule="exact"/>
        <w:rPr>
          <w:sz w:val="20"/>
          <w:szCs w:val="20"/>
          <w:color w:val="auto"/>
        </w:rPr>
      </w:pPr>
    </w:p>
    <w:p>
      <w:pPr>
        <w:jc w:val="both"/>
        <w:ind w:left="542"/>
        <w:spacing w:after="0" w:line="328" w:lineRule="auto"/>
        <w:rPr>
          <w:sz w:val="20"/>
          <w:szCs w:val="20"/>
          <w:color w:val="auto"/>
        </w:rPr>
      </w:pPr>
      <w:r>
        <w:rPr>
          <w:rFonts w:ascii="Times New Roman" w:cs="Times New Roman" w:eastAsia="Times New Roman" w:hAnsi="Times New Roman"/>
          <w:sz w:val="20"/>
          <w:szCs w:val="20"/>
          <w:color w:val="auto"/>
        </w:rPr>
        <w:t>Without limiting any other rights which the Indemnified Parties may have under the Transaction Documents or any related documents or under applicable law, each of the Centralising Unit and each Seller hereby agrees to indemnify the Purchaser, the Italian Issuer, the Agent, the Lead Arranger, the Calculation Agent, the Depositor, the Issuers, the Liquidity Banks and the Fund Subscribers, each of their respective Affiliates and each officer, director, employee and agent of any of the foregoing (each an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from and against any and all damages, losses, claims, liabilities, costs and expenses (including reasonable attorneys' fees and disbursements) (and, in each case, any value added tax thereon) in any way arising out of the Transaction Documents or any documents related to the Securitisation Transaction (excluding, however, any of the foregoing (a) to the extent resulting from the gross negligence (</w:t>
      </w:r>
      <w:r>
        <w:rPr>
          <w:rFonts w:ascii="Times New Roman" w:cs="Times New Roman" w:eastAsia="Times New Roman" w:hAnsi="Times New Roman"/>
          <w:sz w:val="20"/>
          <w:szCs w:val="20"/>
          <w:i w:val="1"/>
          <w:iCs w:val="1"/>
          <w:color w:val="auto"/>
        </w:rPr>
        <w:t>faute lourde</w:t>
      </w:r>
      <w:r>
        <w:rPr>
          <w:rFonts w:ascii="Times New Roman" w:cs="Times New Roman" w:eastAsia="Times New Roman" w:hAnsi="Times New Roman"/>
          <w:sz w:val="20"/>
          <w:szCs w:val="20"/>
          <w:color w:val="auto"/>
        </w:rPr>
        <w:t>) or willful misconduct (</w:t>
      </w:r>
      <w:r>
        <w:rPr>
          <w:rFonts w:ascii="Times New Roman" w:cs="Times New Roman" w:eastAsia="Times New Roman" w:hAnsi="Times New Roman"/>
          <w:sz w:val="20"/>
          <w:szCs w:val="20"/>
          <w:i w:val="1"/>
          <w:iCs w:val="1"/>
          <w:color w:val="auto"/>
        </w:rPr>
        <w:t>dol</w:t>
      </w:r>
      <w:r>
        <w:rPr>
          <w:rFonts w:ascii="Times New Roman" w:cs="Times New Roman" w:eastAsia="Times New Roman" w:hAnsi="Times New Roman"/>
          <w:sz w:val="20"/>
          <w:szCs w:val="20"/>
          <w:color w:val="auto"/>
        </w:rPr>
        <w:t>) on the part of such Indemnified Party or the breach by an Indemnified Party of material obligations under any Transaction Document or any related document, as finally determined by a court of competent jurisdiction, or (b) constituting recourse for Sold Receivables which are not paid or are uncollectible on account of the insolvency, bankruptcy or inability to pay of the applicable obligor) (collectively, "</w:t>
      </w:r>
      <w:r>
        <w:rPr>
          <w:rFonts w:ascii="Times New Roman" w:cs="Times New Roman" w:eastAsia="Times New Roman" w:hAnsi="Times New Roman"/>
          <w:sz w:val="20"/>
          <w:szCs w:val="20"/>
          <w:b w:val="1"/>
          <w:bCs w:val="1"/>
          <w:color w:val="auto"/>
        </w:rPr>
        <w:t>Indemnified Amounts</w:t>
      </w:r>
      <w:r>
        <w:rPr>
          <w:rFonts w:ascii="Times New Roman" w:cs="Times New Roman" w:eastAsia="Times New Roman" w:hAnsi="Times New Roman"/>
          <w:sz w:val="20"/>
          <w:szCs w:val="20"/>
          <w:color w:val="auto"/>
        </w:rPr>
        <w:t>"), including, without limitation, any and all damages, losses, claims, liabilities, costs and expenses incurred by or asserted against any Indemnified Party as a result of:</w:t>
      </w:r>
    </w:p>
    <w:p>
      <w:pPr>
        <w:spacing w:after="0" w:line="86" w:lineRule="exact"/>
        <w:rPr>
          <w:sz w:val="20"/>
          <w:szCs w:val="20"/>
          <w:color w:val="auto"/>
        </w:rPr>
      </w:pPr>
    </w:p>
    <w:p>
      <w:pPr>
        <w:jc w:val="both"/>
        <w:ind w:left="782" w:hanging="654"/>
        <w:spacing w:after="0" w:line="338" w:lineRule="auto"/>
        <w:tabs>
          <w:tab w:leader="none" w:pos="772"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actions, suits or proceedings commenced by any Debtor or any of its Affiliates or any third party in connection with any of the Sold Receivables, the transactions out of which they arose or the goods or services the sale or provision of which gave rise to any Sold Receivables;</w:t>
      </w:r>
    </w:p>
    <w:p>
      <w:pPr>
        <w:spacing w:after="0" w:line="81" w:lineRule="exact"/>
        <w:rPr>
          <w:rFonts w:ascii="Times New Roman" w:cs="Times New Roman" w:eastAsia="Times New Roman" w:hAnsi="Times New Roman"/>
          <w:sz w:val="20"/>
          <w:szCs w:val="20"/>
          <w:color w:val="auto"/>
        </w:rPr>
      </w:pPr>
    </w:p>
    <w:p>
      <w:pPr>
        <w:jc w:val="both"/>
        <w:ind w:left="782" w:hanging="654"/>
        <w:spacing w:after="0" w:line="333" w:lineRule="auto"/>
        <w:tabs>
          <w:tab w:leader="none" w:pos="769"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any representation or warranty or statement made or deemed made by or on behalf of any Seller, the Centralising Unit or GOODYEAR EUROPE BV under or in connection with any Transaction Document or any related agreement or any certificate or report delivered pursuant hereto or thereto that, in either case, shall have been false or incorrect when made or deemed made;</w:t>
      </w:r>
    </w:p>
    <w:p>
      <w:pPr>
        <w:sectPr>
          <w:pgSz w:w="11900" w:h="16838" w:orient="portrait"/>
          <w:cols w:equalWidth="0" w:num="1">
            <w:col w:w="10722"/>
          </w:cols>
          <w:pgMar w:left="838" w:top="1440" w:right="339" w:bottom="1440" w:gutter="0" w:footer="0" w:header="0"/>
        </w:sectPr>
      </w:pPr>
    </w:p>
    <w:bookmarkStart w:id="223" w:name="page224"/>
    <w:bookmarkEnd w:id="223"/>
    <w:p>
      <w:pPr>
        <w:spacing w:after="0" w:line="95" w:lineRule="exact"/>
        <w:rPr>
          <w:sz w:val="20"/>
          <w:szCs w:val="20"/>
          <w:color w:val="auto"/>
        </w:rPr>
      </w:pPr>
    </w:p>
    <w:p>
      <w:pPr>
        <w:ind w:left="654" w:hanging="654"/>
        <w:spacing w:after="0" w:line="353" w:lineRule="auto"/>
        <w:tabs>
          <w:tab w:leader="none" w:pos="64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of any Seller, the Centralising Unit or GOODYEAR EUROPE BV to perform its duties or obligations under this Agreement or the other Transaction Documents;</w:t>
      </w:r>
    </w:p>
    <w:p>
      <w:pPr>
        <w:spacing w:after="0" w:line="52" w:lineRule="exact"/>
        <w:rPr>
          <w:rFonts w:ascii="Times New Roman" w:cs="Times New Roman" w:eastAsia="Times New Roman" w:hAnsi="Times New Roman"/>
          <w:sz w:val="20"/>
          <w:szCs w:val="20"/>
          <w:color w:val="auto"/>
        </w:rPr>
      </w:pPr>
    </w:p>
    <w:p>
      <w:pPr>
        <w:ind w:left="654" w:hanging="654"/>
        <w:spacing w:after="0" w:line="367" w:lineRule="auto"/>
        <w:tabs>
          <w:tab w:leader="none" w:pos="64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investigation, litigation or proceeding related to this Agreement or in respect of any Sold Receivable and/or any Refinanced Sold Receivables;</w:t>
      </w:r>
    </w:p>
    <w:p>
      <w:pPr>
        <w:spacing w:after="0" w:line="39" w:lineRule="exact"/>
        <w:rPr>
          <w:rFonts w:ascii="Times New Roman" w:cs="Times New Roman" w:eastAsia="Times New Roman" w:hAnsi="Times New Roman"/>
          <w:sz w:val="20"/>
          <w:szCs w:val="20"/>
          <w:color w:val="auto"/>
        </w:rPr>
      </w:pPr>
    </w:p>
    <w:p>
      <w:pPr>
        <w:jc w:val="both"/>
        <w:ind w:left="654" w:hanging="654"/>
        <w:spacing w:after="0" w:line="331" w:lineRule="auto"/>
        <w:tabs>
          <w:tab w:leader="none" w:pos="64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any Seller (or any of its Affiliates) to comply with any applicable law with respect to any Sold Receivable or Refinanced Sold Receivable (or any contract by which it arose or by which it is evidenced or governed), or the nonconformity of any Sold Receivable or any Refinanced Sold Receivable (or such contract) with any such applicable law, or any action taken by any of the Sellers (or their Affiliates or agents) in the enforcement or collection of any Sold Receivable or any Refinanced Sold Receivable;</w:t>
      </w:r>
    </w:p>
    <w:p>
      <w:pPr>
        <w:spacing w:after="0" w:line="88" w:lineRule="exact"/>
        <w:rPr>
          <w:rFonts w:ascii="Times New Roman" w:cs="Times New Roman" w:eastAsia="Times New Roman" w:hAnsi="Times New Roman"/>
          <w:sz w:val="20"/>
          <w:szCs w:val="20"/>
          <w:color w:val="auto"/>
        </w:rPr>
      </w:pPr>
    </w:p>
    <w:p>
      <w:pPr>
        <w:jc w:val="both"/>
        <w:ind w:left="654" w:hanging="654"/>
        <w:spacing w:after="0" w:line="333" w:lineRule="auto"/>
        <w:tabs>
          <w:tab w:leader="none" w:pos="649"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of the Purchaser to have and maintain ownership of the Sold Receivables, free and clear of any Liens other than those contemplated in the Transaction Documents, or any attempt by any person to avoid, rescind or set aside any sale of Ongoing Purchasable Receivables and/or Remaining Purchasable Receivables to the Purchaser as contemplated by the Transaction Documents;</w:t>
      </w:r>
    </w:p>
    <w:p>
      <w:pPr>
        <w:spacing w:after="0" w:line="73" w:lineRule="exact"/>
        <w:rPr>
          <w:rFonts w:ascii="Times New Roman" w:cs="Times New Roman" w:eastAsia="Times New Roman" w:hAnsi="Times New Roman"/>
          <w:sz w:val="20"/>
          <w:szCs w:val="20"/>
          <w:color w:val="auto"/>
        </w:rPr>
      </w:pPr>
    </w:p>
    <w:p>
      <w:pPr>
        <w:ind w:left="654" w:hanging="654"/>
        <w:spacing w:after="0" w:line="353" w:lineRule="auto"/>
        <w:tabs>
          <w:tab w:leader="none" w:pos="64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claim, offset or defense (other than discharge in bankruptcy or similar defense arising from the Debtor's insolvency or inability to pay) of any Debtor to the payment of any Sold Receivable or Refinanced Sold Receivable;</w:t>
      </w:r>
    </w:p>
    <w:p>
      <w:pPr>
        <w:spacing w:after="0" w:line="65" w:lineRule="exact"/>
        <w:rPr>
          <w:rFonts w:ascii="Times New Roman" w:cs="Times New Roman" w:eastAsia="Times New Roman" w:hAnsi="Times New Roman"/>
          <w:sz w:val="20"/>
          <w:szCs w:val="20"/>
          <w:color w:val="auto"/>
        </w:rPr>
      </w:pPr>
    </w:p>
    <w:p>
      <w:pPr>
        <w:ind w:left="654" w:right="20" w:hanging="654"/>
        <w:spacing w:after="0" w:line="353" w:lineRule="auto"/>
        <w:tabs>
          <w:tab w:leader="none" w:pos="64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Seller to pay when due any value added taxes or other taxes payable in connection with any of the Receivables or the transactions out of which they arose;</w:t>
      </w:r>
    </w:p>
    <w:p>
      <w:pPr>
        <w:spacing w:after="0" w:line="52" w:lineRule="exact"/>
        <w:rPr>
          <w:rFonts w:ascii="Times New Roman" w:cs="Times New Roman" w:eastAsia="Times New Roman" w:hAnsi="Times New Roman"/>
          <w:sz w:val="20"/>
          <w:szCs w:val="20"/>
          <w:color w:val="auto"/>
        </w:rPr>
      </w:pPr>
    </w:p>
    <w:p>
      <w:pPr>
        <w:ind w:left="654" w:hanging="654"/>
        <w:spacing w:after="0" w:line="353" w:lineRule="auto"/>
        <w:tabs>
          <w:tab w:leader="none" w:pos="65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commingling of collections on Sold Receivables and/or Refinanced Sold Receivables with any other monies of the Sellers, the Centralising Unit or any of their Affiliates;</w:t>
      </w:r>
    </w:p>
    <w:p>
      <w:pPr>
        <w:spacing w:after="0" w:line="52" w:lineRule="exact"/>
        <w:rPr>
          <w:rFonts w:ascii="Times New Roman" w:cs="Times New Roman" w:eastAsia="Times New Roman" w:hAnsi="Times New Roman"/>
          <w:sz w:val="20"/>
          <w:szCs w:val="20"/>
          <w:color w:val="auto"/>
        </w:rPr>
      </w:pPr>
    </w:p>
    <w:p>
      <w:pPr>
        <w:ind w:left="654" w:hanging="654"/>
        <w:spacing w:after="0" w:line="367" w:lineRule="auto"/>
        <w:tabs>
          <w:tab w:leader="none" w:pos="65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by the Sellers or their Affiliates of any monies received by them in payment of the purchase price of Sold Receivables or Refinanced Sold Receivables;</w:t>
      </w:r>
    </w:p>
    <w:p>
      <w:pPr>
        <w:spacing w:after="0" w:line="39" w:lineRule="exact"/>
        <w:rPr>
          <w:rFonts w:ascii="Times New Roman" w:cs="Times New Roman" w:eastAsia="Times New Roman" w:hAnsi="Times New Roman"/>
          <w:sz w:val="20"/>
          <w:szCs w:val="20"/>
          <w:color w:val="auto"/>
        </w:rPr>
      </w:pPr>
    </w:p>
    <w:p>
      <w:pPr>
        <w:jc w:val="both"/>
        <w:ind w:left="654" w:hanging="654"/>
        <w:spacing w:after="0" w:line="338" w:lineRule="auto"/>
        <w:tabs>
          <w:tab w:leader="none" w:pos="64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products liability or environmental claim, or personal injury or property damage claim, or other similar or related claim or action of any sort whatsoever arising out of or in connection with goods, merchandise or services which relates to any Sold Receivables or Refinanced Sold Receivables;</w:t>
      </w:r>
    </w:p>
    <w:p>
      <w:pPr>
        <w:spacing w:after="0" w:line="67" w:lineRule="exact"/>
        <w:rPr>
          <w:rFonts w:ascii="Times New Roman" w:cs="Times New Roman" w:eastAsia="Times New Roman" w:hAnsi="Times New Roman"/>
          <w:sz w:val="20"/>
          <w:szCs w:val="20"/>
          <w:color w:val="auto"/>
        </w:rPr>
      </w:pPr>
    </w:p>
    <w:p>
      <w:pPr>
        <w:jc w:val="both"/>
        <w:ind w:left="654" w:hanging="654"/>
        <w:spacing w:after="0" w:line="345" w:lineRule="auto"/>
        <w:tabs>
          <w:tab w:leader="none" w:pos="65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Payment and/or a Transfer Deed ceases to achieve a perfect transfer of Remaining Purchasable Receivables as set out in the relevant Receivables Purchase Agreement; (ii) a payment and/or a Transfer Deed ceases to achieve a perfect transfer of Refinanced Remaining Purchasable Receivables as set out in the Italian Receivables Purchase Agreement; and</w:t>
      </w:r>
    </w:p>
    <w:p>
      <w:pPr>
        <w:sectPr>
          <w:pgSz w:w="11900" w:h="16838" w:orient="portrait"/>
          <w:cols w:equalWidth="0" w:num="1">
            <w:col w:w="10594"/>
          </w:cols>
          <w:pgMar w:left="966" w:top="1440" w:right="339" w:bottom="1440" w:gutter="0" w:footer="0" w:header="0"/>
        </w:sectPr>
      </w:pPr>
    </w:p>
    <w:bookmarkStart w:id="224" w:name="page225"/>
    <w:bookmarkEnd w:id="224"/>
    <w:p>
      <w:pPr>
        <w:spacing w:after="0" w:line="91" w:lineRule="exact"/>
        <w:rPr>
          <w:sz w:val="20"/>
          <w:szCs w:val="20"/>
          <w:color w:val="auto"/>
        </w:rPr>
      </w:pPr>
    </w:p>
    <w:p>
      <w:pPr>
        <w:jc w:val="both"/>
        <w:ind w:left="782" w:hanging="654"/>
        <w:spacing w:after="0" w:line="340" w:lineRule="auto"/>
        <w:tabs>
          <w:tab w:leader="none" w:pos="77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Conformity Warranty for Sold Receivables made by a Seller under Article 17 (</w:t>
      </w:r>
      <w:r>
        <w:rPr>
          <w:rFonts w:ascii="Times New Roman" w:cs="Times New Roman" w:eastAsia="Times New Roman" w:hAnsi="Times New Roman"/>
          <w:sz w:val="20"/>
          <w:szCs w:val="20"/>
          <w:i w:val="1"/>
          <w:iCs w:val="1"/>
          <w:color w:val="auto"/>
        </w:rPr>
        <w:t>Conformity Warranties for Ongoing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Purchasable Receivable and Remaining Purchasable Receivables</w:t>
      </w:r>
      <w:r>
        <w:rPr>
          <w:rFonts w:ascii="Times New Roman" w:cs="Times New Roman" w:eastAsia="Times New Roman" w:hAnsi="Times New Roman"/>
          <w:sz w:val="20"/>
          <w:szCs w:val="20"/>
          <w:color w:val="auto"/>
        </w:rPr>
        <w:t>) (without regard to any knowledge therein) is found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been inaccurate at the date it was made.</w:t>
      </w:r>
    </w:p>
    <w:p>
      <w:pPr>
        <w:spacing w:after="0" w:line="80" w:lineRule="exact"/>
        <w:rPr>
          <w:sz w:val="20"/>
          <w:szCs w:val="20"/>
          <w:color w:val="auto"/>
        </w:rPr>
      </w:pPr>
    </w:p>
    <w:p>
      <w:pPr>
        <w:ind w:left="122" w:right="20"/>
        <w:spacing w:after="0" w:line="353" w:lineRule="auto"/>
        <w:rPr>
          <w:sz w:val="20"/>
          <w:szCs w:val="20"/>
          <w:color w:val="auto"/>
        </w:rPr>
      </w:pPr>
      <w:r>
        <w:rPr>
          <w:rFonts w:ascii="Times New Roman" w:cs="Times New Roman" w:eastAsia="Times New Roman" w:hAnsi="Times New Roman"/>
          <w:sz w:val="20"/>
          <w:szCs w:val="20"/>
          <w:color w:val="auto"/>
        </w:rPr>
        <w:t>The Sellers and the Centralising Unit shall pay on demand to the Purchaser or, at the Purchaser's direction, to the relevant Indemnified Parties all amounts necessary to indemnify the Indemnified Parties from and against any and all Indemnified Amounts.</w:t>
      </w:r>
    </w:p>
    <w:p>
      <w:pPr>
        <w:spacing w:after="0" w:line="210" w:lineRule="exact"/>
        <w:rPr>
          <w:sz w:val="20"/>
          <w:szCs w:val="20"/>
          <w:color w:val="auto"/>
        </w:rPr>
      </w:pPr>
    </w:p>
    <w:p>
      <w:pPr>
        <w:ind w:left="502" w:hanging="502"/>
        <w:spacing w:after="0"/>
        <w:tabs>
          <w:tab w:leader="none" w:pos="502" w:val="left"/>
        </w:tabs>
        <w:numPr>
          <w:ilvl w:val="0"/>
          <w:numId w:val="3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INDIVISIBILITY</w:t>
      </w:r>
    </w:p>
    <w:p>
      <w:pPr>
        <w:spacing w:after="0" w:line="139" w:lineRule="exact"/>
        <w:rPr>
          <w:sz w:val="20"/>
          <w:szCs w:val="20"/>
          <w:color w:val="auto"/>
        </w:rPr>
      </w:pPr>
    </w:p>
    <w:p>
      <w:pPr>
        <w:jc w:val="both"/>
        <w:ind w:left="542"/>
        <w:spacing w:after="0" w:line="329" w:lineRule="auto"/>
        <w:rPr>
          <w:sz w:val="20"/>
          <w:szCs w:val="20"/>
          <w:color w:val="auto"/>
        </w:rPr>
      </w:pPr>
      <w:r>
        <w:rPr>
          <w:rFonts w:ascii="Times New Roman" w:cs="Times New Roman" w:eastAsia="Times New Roman" w:hAnsi="Times New Roman"/>
          <w:sz w:val="20"/>
          <w:szCs w:val="20"/>
          <w:color w:val="auto"/>
        </w:rPr>
        <w:t>Each party acknowledges that this Agreement and the Master Subordinated Deposit Agreement shall form a single set of contractual rights and obligations and that, if the Master Subordinated Deposit Agreement becomes void or ceases to be effective and enforceable for any reason whatsoever, this Agreement shall also become void or cease to be effective and enforceable accordingly. Any payment already made by the Centralising Unit acting in the name and on behalf of the Sellers or on its own behalf to the Purchaser under this Agreement, the Receivables Purchase Agreements and the Master Subordinated Deposit Agreement shall not be affected by such a nullity, ineffectiveness or unenforceability.</w:t>
      </w:r>
    </w:p>
    <w:p>
      <w:pPr>
        <w:spacing w:after="0" w:line="251" w:lineRule="exact"/>
        <w:rPr>
          <w:sz w:val="20"/>
          <w:szCs w:val="20"/>
          <w:color w:val="auto"/>
        </w:rPr>
      </w:pPr>
    </w:p>
    <w:p>
      <w:pPr>
        <w:ind w:left="502" w:hanging="502"/>
        <w:spacing w:after="0"/>
        <w:tabs>
          <w:tab w:leader="none" w:pos="502"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EXECUTION AND EVIDENCE</w:t>
      </w:r>
    </w:p>
    <w:p>
      <w:pPr>
        <w:spacing w:after="0" w:line="233" w:lineRule="exact"/>
        <w:rPr>
          <w:sz w:val="20"/>
          <w:szCs w:val="20"/>
          <w:color w:val="auto"/>
        </w:rPr>
      </w:pPr>
    </w:p>
    <w:p>
      <w:pPr>
        <w:ind w:left="542" w:right="20"/>
        <w:spacing w:after="0" w:line="353" w:lineRule="auto"/>
        <w:rPr>
          <w:sz w:val="20"/>
          <w:szCs w:val="20"/>
          <w:color w:val="auto"/>
        </w:rPr>
      </w:pPr>
      <w:r>
        <w:rPr>
          <w:rFonts w:ascii="Times New Roman" w:cs="Times New Roman" w:eastAsia="Times New Roman" w:hAnsi="Times New Roman"/>
          <w:sz w:val="20"/>
          <w:szCs w:val="20"/>
          <w:color w:val="auto"/>
        </w:rPr>
        <w:t>The Parties hereby agree not to register this Agreement with the French tax administration, although if one party elects to do so, it shall carry out such a registration at its own expense.</w:t>
      </w:r>
    </w:p>
    <w:p>
      <w:pPr>
        <w:spacing w:after="0" w:line="224" w:lineRule="exact"/>
        <w:rPr>
          <w:sz w:val="20"/>
          <w:szCs w:val="20"/>
          <w:color w:val="auto"/>
        </w:rPr>
      </w:pPr>
    </w:p>
    <w:p>
      <w:pPr>
        <w:ind w:left="502" w:hanging="502"/>
        <w:spacing w:after="0"/>
        <w:tabs>
          <w:tab w:leader="none" w:pos="502" w:val="left"/>
        </w:tabs>
        <w:numPr>
          <w:ilvl w:val="0"/>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WITHDRAWAL OF SELLERS</w:t>
      </w:r>
    </w:p>
    <w:p>
      <w:pPr>
        <w:spacing w:after="0" w:line="125" w:lineRule="exact"/>
        <w:rPr>
          <w:sz w:val="20"/>
          <w:szCs w:val="20"/>
          <w:color w:val="auto"/>
        </w:rPr>
      </w:pPr>
    </w:p>
    <w:p>
      <w:pPr>
        <w:jc w:val="both"/>
        <w:ind w:left="502" w:hanging="502"/>
        <w:spacing w:after="0" w:line="338" w:lineRule="auto"/>
        <w:tabs>
          <w:tab w:leader="none" w:pos="49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acting in the name and on behalf of the Sellers, may notify the Purchaser and the Lead Arranger in writing, in the form set out in SCHEDULE 7, of any request for the withdrawal of one or more Sellers from the Securitisation Transaction and the Transaction Documents to which it is a party. Such request for withdrawal shall be examined as soon as possible and shall be subject to the following conditions:</w:t>
      </w:r>
    </w:p>
    <w:p>
      <w:pPr>
        <w:spacing w:after="0" w:line="67" w:lineRule="exact"/>
        <w:rPr>
          <w:rFonts w:ascii="Times New Roman" w:cs="Times New Roman" w:eastAsia="Times New Roman" w:hAnsi="Times New Roman"/>
          <w:sz w:val="20"/>
          <w:szCs w:val="20"/>
          <w:color w:val="auto"/>
        </w:rPr>
      </w:pPr>
    </w:p>
    <w:p>
      <w:pPr>
        <w:ind w:left="762" w:hanging="634"/>
        <w:spacing w:after="0" w:line="353" w:lineRule="auto"/>
        <w:tabs>
          <w:tab w:leader="none" w:pos="756"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by the Rating Agencies that such withdrawal shall not entail a deterioration or withdrawal of the current rating of the Notes issued by the Issuers;</w:t>
      </w:r>
    </w:p>
    <w:p>
      <w:pPr>
        <w:spacing w:after="0" w:line="52" w:lineRule="exact"/>
        <w:rPr>
          <w:rFonts w:ascii="Times New Roman" w:cs="Times New Roman" w:eastAsia="Times New Roman" w:hAnsi="Times New Roman"/>
          <w:sz w:val="20"/>
          <w:szCs w:val="20"/>
          <w:color w:val="auto"/>
        </w:rPr>
      </w:pPr>
    </w:p>
    <w:p>
      <w:pPr>
        <w:ind w:left="762" w:hanging="634"/>
        <w:spacing w:after="0"/>
        <w:tabs>
          <w:tab w:leader="none" w:pos="76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the prior written consent of each Liquidity Bank and each Fund Subscriber;</w:t>
      </w:r>
    </w:p>
    <w:p>
      <w:pPr>
        <w:spacing w:after="0" w:line="188" w:lineRule="exact"/>
        <w:rPr>
          <w:rFonts w:ascii="Times New Roman" w:cs="Times New Roman" w:eastAsia="Times New Roman" w:hAnsi="Times New Roman"/>
          <w:sz w:val="20"/>
          <w:szCs w:val="20"/>
          <w:color w:val="auto"/>
        </w:rPr>
      </w:pPr>
    </w:p>
    <w:p>
      <w:pPr>
        <w:ind w:left="762" w:hanging="634"/>
        <w:spacing w:after="0"/>
        <w:tabs>
          <w:tab w:leader="none" w:pos="76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conclusion of any amendment to the Transaction Documents, necessary in the Purchaser's opinion; and</w:t>
      </w:r>
    </w:p>
    <w:p>
      <w:pPr>
        <w:spacing w:after="0" w:line="202" w:lineRule="exact"/>
        <w:rPr>
          <w:rFonts w:ascii="Times New Roman" w:cs="Times New Roman" w:eastAsia="Times New Roman" w:hAnsi="Times New Roman"/>
          <w:sz w:val="20"/>
          <w:szCs w:val="20"/>
          <w:color w:val="auto"/>
        </w:rPr>
      </w:pPr>
    </w:p>
    <w:p>
      <w:pPr>
        <w:ind w:left="762" w:hanging="634"/>
        <w:spacing w:after="0" w:line="353" w:lineRule="auto"/>
        <w:tabs>
          <w:tab w:leader="none" w:pos="760"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signature by the Seller or Sellers of any document or agreement enabling the relevant Seller to withdraw as a party to this Agreement and the relevant Receivables</w:t>
      </w:r>
    </w:p>
    <w:p>
      <w:pPr>
        <w:sectPr>
          <w:pgSz w:w="11900" w:h="16838" w:orient="portrait"/>
          <w:cols w:equalWidth="0" w:num="1">
            <w:col w:w="10722"/>
          </w:cols>
          <w:pgMar w:left="838" w:top="1440" w:right="339" w:bottom="1440" w:gutter="0" w:footer="0" w:header="0"/>
        </w:sectPr>
      </w:pPr>
    </w:p>
    <w:bookmarkStart w:id="225" w:name="page226"/>
    <w:bookmarkEnd w:id="225"/>
    <w:p>
      <w:pPr>
        <w:spacing w:after="0" w:line="95"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19"/>
          <w:szCs w:val="19"/>
          <w:color w:val="auto"/>
        </w:rPr>
        <w:t>Purchase Agreement. The Parties agree that such Seller or Sellers shall not be bound by any new obligations in respect of this</w:t>
      </w:r>
    </w:p>
    <w:p>
      <w:pPr>
        <w:spacing w:after="0" w:line="92"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0"/>
          <w:szCs w:val="20"/>
          <w:color w:val="auto"/>
        </w:rPr>
        <w:t>Agreement and the relevant Receivables Purchase Agreement(s), without prejudice to the obligations arising before such</w:t>
      </w:r>
    </w:p>
    <w:p>
      <w:pPr>
        <w:spacing w:after="0" w:line="81"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0"/>
          <w:szCs w:val="20"/>
          <w:color w:val="auto"/>
        </w:rPr>
        <w:t>Seller(s) withdrawal from this Agreement and the relevant Receivables Purchase Agreement(s).</w:t>
      </w:r>
    </w:p>
    <w:p>
      <w:pPr>
        <w:spacing w:after="0" w:line="310" w:lineRule="exact"/>
        <w:rPr>
          <w:sz w:val="20"/>
          <w:szCs w:val="20"/>
          <w:color w:val="auto"/>
        </w:rPr>
      </w:pPr>
    </w:p>
    <w:p>
      <w:pPr>
        <w:jc w:val="both"/>
        <w:ind w:left="502" w:hanging="502"/>
        <w:spacing w:after="0" w:line="333" w:lineRule="auto"/>
        <w:tabs>
          <w:tab w:leader="none" w:pos="491" w:val="left"/>
        </w:tabs>
        <w:numPr>
          <w:ilvl w:val="0"/>
          <w:numId w:val="33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withdrawal of any Seller or Sellers shall (i) be requested by the Centralising Unit at least two (2) calendar months before the date contemplated for the withdrawal of such Seller(s) and (ii) take effect on the first Funded Settlement Date following the fulfilment of the foregoing conditions precedent. The Parties agree that the Lead Arranger shall use its best efforts (</w:t>
      </w:r>
      <w:r>
        <w:rPr>
          <w:rFonts w:ascii="Times New Roman" w:cs="Times New Roman" w:eastAsia="Times New Roman" w:hAnsi="Times New Roman"/>
          <w:sz w:val="20"/>
          <w:szCs w:val="20"/>
          <w:i w:val="1"/>
          <w:iCs w:val="1"/>
          <w:color w:val="auto"/>
        </w:rPr>
        <w:t>dans le cadre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d'une obligation de moyens</w:t>
      </w:r>
      <w:r>
        <w:rPr>
          <w:rFonts w:ascii="Times New Roman" w:cs="Times New Roman" w:eastAsia="Times New Roman" w:hAnsi="Times New Roman"/>
          <w:sz w:val="20"/>
          <w:szCs w:val="20"/>
          <w:color w:val="auto"/>
        </w:rPr>
        <w:t>) to respond as soon as possible.</w:t>
      </w:r>
    </w:p>
    <w:p>
      <w:pPr>
        <w:spacing w:after="0" w:line="181" w:lineRule="exact"/>
        <w:rPr>
          <w:rFonts w:ascii="Times New Roman" w:cs="Times New Roman" w:eastAsia="Times New Roman" w:hAnsi="Times New Roman"/>
          <w:sz w:val="20"/>
          <w:szCs w:val="20"/>
          <w:i w:val="1"/>
          <w:iCs w:val="1"/>
          <w:color w:val="auto"/>
        </w:rPr>
      </w:pPr>
    </w:p>
    <w:p>
      <w:pPr>
        <w:jc w:val="both"/>
        <w:ind w:left="502" w:hanging="502"/>
        <w:spacing w:after="0" w:line="331" w:lineRule="auto"/>
        <w:tabs>
          <w:tab w:leader="none" w:pos="491"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and duly documented cost (including legal fees) and commissions incurred by the Purchaser and/or the Lead Arranger in connection with the withdrawal of one or more Sellers shall be borne by the Centralising Unit acting in the name and on behalf of the Sellers. The Parties agree that prior to notification by the Centralising Unit to the Purchaser of the request for the withdrawal of such Sellers, the Centralising Unit shall be entitled to request the Purchaser to indicate the costs to be borne in connection with such withdrawal. The Purchaser shall respond within ten (10) calendar days following such request, after which the Centralising Unit shall have five (5) calendar days to notify the Purchaser of its acceptance or refusal of such costs.</w:t>
      </w:r>
    </w:p>
    <w:p>
      <w:pPr>
        <w:spacing w:after="0" w:line="233" w:lineRule="exact"/>
        <w:rPr>
          <w:sz w:val="20"/>
          <w:szCs w:val="20"/>
          <w:color w:val="auto"/>
        </w:rPr>
      </w:pPr>
    </w:p>
    <w:p>
      <w:pPr>
        <w:ind w:left="502" w:hanging="502"/>
        <w:spacing w:after="0"/>
        <w:tabs>
          <w:tab w:leader="none" w:pos="502"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ACCESSION OF THE LUXEMBOURG SELLER</w:t>
      </w:r>
    </w:p>
    <w:p>
      <w:pPr>
        <w:spacing w:after="0" w:line="247" w:lineRule="exact"/>
        <w:rPr>
          <w:sz w:val="20"/>
          <w:szCs w:val="20"/>
          <w:color w:val="auto"/>
        </w:rPr>
      </w:pPr>
    </w:p>
    <w:p>
      <w:pPr>
        <w:jc w:val="both"/>
        <w:ind w:left="502" w:hanging="502"/>
        <w:spacing w:after="0" w:line="338" w:lineRule="auto"/>
        <w:tabs>
          <w:tab w:leader="none" w:pos="491"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article 9 of each Receivables Purchase Agreement, the Luxembourg Seller will be treated as a Seller under the Transaction Documents, will benefit from the rights afforded to, and will be bound by the obligations imposed on, the Sellers thereunder as from the Funded Settlement Date following satisfaction of the following conditions precedent:</w:t>
      </w:r>
    </w:p>
    <w:p>
      <w:pPr>
        <w:spacing w:after="0" w:line="185" w:lineRule="exact"/>
        <w:rPr>
          <w:rFonts w:ascii="Times New Roman" w:cs="Times New Roman" w:eastAsia="Times New Roman" w:hAnsi="Times New Roman"/>
          <w:sz w:val="20"/>
          <w:szCs w:val="20"/>
          <w:color w:val="auto"/>
        </w:rPr>
      </w:pPr>
    </w:p>
    <w:p>
      <w:pPr>
        <w:jc w:val="both"/>
        <w:ind w:left="1022" w:hanging="766"/>
        <w:spacing w:after="0" w:line="340" w:lineRule="auto"/>
        <w:tabs>
          <w:tab w:leader="none" w:pos="1011"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Collection Account Agreement has been entered into between,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Purchaser and the Luxembourg Seller, in relation to the collection of Sold Receivables to be sold by the Luxembourg Seller under the Receivables Purchase Agreements;</w:t>
      </w:r>
    </w:p>
    <w:p>
      <w:pPr>
        <w:spacing w:after="0" w:line="174" w:lineRule="exact"/>
        <w:rPr>
          <w:rFonts w:ascii="Times New Roman" w:cs="Times New Roman" w:eastAsia="Times New Roman" w:hAnsi="Times New Roman"/>
          <w:sz w:val="20"/>
          <w:szCs w:val="20"/>
          <w:color w:val="auto"/>
        </w:rPr>
      </w:pPr>
    </w:p>
    <w:p>
      <w:pPr>
        <w:ind w:left="1022" w:hanging="766"/>
        <w:spacing w:after="0" w:line="353" w:lineRule="auto"/>
        <w:tabs>
          <w:tab w:leader="none" w:pos="1011"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Agent have received a validity and enforceability opinion with respect to such Collection Account Agreement from the legal counsel to the Agent in the jurisdiction in which such Collection Account is located;</w:t>
      </w:r>
    </w:p>
    <w:p>
      <w:pPr>
        <w:spacing w:after="0" w:line="173" w:lineRule="exact"/>
        <w:rPr>
          <w:rFonts w:ascii="Times New Roman" w:cs="Times New Roman" w:eastAsia="Times New Roman" w:hAnsi="Times New Roman"/>
          <w:sz w:val="20"/>
          <w:szCs w:val="20"/>
          <w:color w:val="auto"/>
        </w:rPr>
      </w:pPr>
    </w:p>
    <w:p>
      <w:pPr>
        <w:ind w:left="1002" w:hanging="746"/>
        <w:spacing w:after="0"/>
        <w:tabs>
          <w:tab w:leader="none" w:pos="100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test made on the IT systems of the Luxembourg Seller were satisfactory to the Purchaser and the Agent;</w:t>
      </w:r>
    </w:p>
    <w:p>
      <w:pPr>
        <w:sectPr>
          <w:pgSz w:w="11900" w:h="16838" w:orient="portrait"/>
          <w:cols w:equalWidth="0" w:num="1">
            <w:col w:w="10722"/>
          </w:cols>
          <w:pgMar w:left="838" w:top="1440" w:right="339" w:bottom="1440" w:gutter="0" w:footer="0" w:header="0"/>
        </w:sectPr>
      </w:pPr>
    </w:p>
    <w:bookmarkStart w:id="226" w:name="page227"/>
    <w:bookmarkEnd w:id="226"/>
    <w:p>
      <w:pPr>
        <w:spacing w:after="0" w:line="203" w:lineRule="exact"/>
        <w:rPr>
          <w:sz w:val="20"/>
          <w:szCs w:val="20"/>
          <w:color w:val="auto"/>
        </w:rPr>
      </w:pPr>
    </w:p>
    <w:p>
      <w:pPr>
        <w:ind w:left="1022" w:hanging="766"/>
        <w:spacing w:after="0"/>
        <w:tabs>
          <w:tab w:leader="none" w:pos="1022"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Luxembourg Seller has acceded to the Data Escrow Agreement and to the Intercompany Arrangements;</w:t>
      </w:r>
    </w:p>
    <w:p>
      <w:pPr>
        <w:spacing w:after="0" w:line="296" w:lineRule="exact"/>
        <w:rPr>
          <w:rFonts w:ascii="Times New Roman" w:cs="Times New Roman" w:eastAsia="Times New Roman" w:hAnsi="Times New Roman"/>
          <w:sz w:val="20"/>
          <w:szCs w:val="20"/>
          <w:color w:val="auto"/>
        </w:rPr>
      </w:pPr>
    </w:p>
    <w:p>
      <w:pPr>
        <w:ind w:left="1022" w:hanging="766"/>
        <w:spacing w:after="0" w:line="353" w:lineRule="auto"/>
        <w:tabs>
          <w:tab w:leader="none" w:pos="1014"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has received or has carried out an audit on the Credit and Collection Policies of the Luxembourg seller, in a form and content satisfactory to the Purchaser;</w:t>
      </w:r>
    </w:p>
    <w:p>
      <w:pPr>
        <w:spacing w:after="0" w:line="173" w:lineRule="exact"/>
        <w:rPr>
          <w:rFonts w:ascii="Times New Roman" w:cs="Times New Roman" w:eastAsia="Times New Roman" w:hAnsi="Times New Roman"/>
          <w:sz w:val="20"/>
          <w:szCs w:val="20"/>
          <w:color w:val="auto"/>
        </w:rPr>
      </w:pPr>
    </w:p>
    <w:p>
      <w:pPr>
        <w:jc w:val="both"/>
        <w:ind w:left="1022" w:hanging="766"/>
        <w:spacing w:after="0" w:line="333" w:lineRule="auto"/>
        <w:tabs>
          <w:tab w:leader="none" w:pos="1015"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Agent have received an analysis from the German Seller on the VAT treatment of Ongoing Purchasable Receivables and Remaining Purchasable Receivables to be sold by the Luxembourg Seller under the German Receivables Purchase Agreement in form and substance satisfactory in the reasonable opinion of the Purchaser and the Agent; and</w:t>
      </w:r>
    </w:p>
    <w:p>
      <w:pPr>
        <w:spacing w:after="0" w:line="181" w:lineRule="exact"/>
        <w:rPr>
          <w:rFonts w:ascii="Times New Roman" w:cs="Times New Roman" w:eastAsia="Times New Roman" w:hAnsi="Times New Roman"/>
          <w:sz w:val="20"/>
          <w:szCs w:val="20"/>
          <w:color w:val="auto"/>
        </w:rPr>
      </w:pPr>
    </w:p>
    <w:p>
      <w:pPr>
        <w:jc w:val="both"/>
        <w:ind w:left="1022" w:right="20" w:hanging="766"/>
        <w:spacing w:after="0" w:line="345" w:lineRule="auto"/>
        <w:tabs>
          <w:tab w:leader="none" w:pos="1016"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Centralising Unit has delivered a prior notice to the Purchaser and the Agent no later than thirty (30) Business Days prior to the contemplated Funded Settlement Date requesting the purchase by the Purchaser of Ongoing Purchasable Receivables and Remaining Purchasable Receivables originated or to be originated by the Luxembourg Seller,</w:t>
      </w:r>
    </w:p>
    <w:p>
      <w:pPr>
        <w:spacing w:after="0" w:line="165"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20"/>
          <w:szCs w:val="20"/>
          <w:color w:val="auto"/>
        </w:rPr>
        <w:t>(such date being the "</w:t>
      </w:r>
      <w:r>
        <w:rPr>
          <w:rFonts w:ascii="Times New Roman" w:cs="Times New Roman" w:eastAsia="Times New Roman" w:hAnsi="Times New Roman"/>
          <w:sz w:val="20"/>
          <w:szCs w:val="20"/>
          <w:b w:val="1"/>
          <w:bCs w:val="1"/>
          <w:color w:val="auto"/>
        </w:rPr>
        <w:t>Luxembourg Seller Accession Effective Date</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ind w:left="502" w:hanging="502"/>
        <w:spacing w:after="0"/>
        <w:tabs>
          <w:tab w:leader="none" w:pos="502" w:val="left"/>
        </w:tabs>
        <w:numPr>
          <w:ilvl w:val="0"/>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ACCESSION OF NEW SELLERS</w:t>
      </w:r>
    </w:p>
    <w:p>
      <w:pPr>
        <w:spacing w:after="0" w:line="139" w:lineRule="exact"/>
        <w:rPr>
          <w:sz w:val="20"/>
          <w:szCs w:val="20"/>
          <w:color w:val="auto"/>
        </w:rPr>
      </w:pPr>
    </w:p>
    <w:p>
      <w:pPr>
        <w:jc w:val="both"/>
        <w:ind w:left="502" w:hanging="502"/>
        <w:spacing w:after="0" w:line="328" w:lineRule="auto"/>
        <w:tabs>
          <w:tab w:leader="none" w:pos="491"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provisions of Article 38 and by way of exception to Article 33, the Parties hereby agree that in the event of the accession of a New Seller to this Agreement, the Purchaser, acting for itself and in the name and on behalf of each of the Lead Arranger and the Agent, who hereby authorize the Purchaser to enter into the relevant accession agreement on their behalf and for this purpose exempt the Purchaser from the restrictions of section 181 of the German Civil Code (</w:t>
      </w:r>
      <w:r>
        <w:rPr>
          <w:rFonts w:ascii="Times New Roman" w:cs="Times New Roman" w:eastAsia="Times New Roman" w:hAnsi="Times New Roman"/>
          <w:sz w:val="20"/>
          <w:szCs w:val="20"/>
          <w:i w:val="1"/>
          <w:iCs w:val="1"/>
          <w:color w:val="auto"/>
        </w:rPr>
        <w:t>Bürgerliches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Gesetzbuch – BGB</w:t>
      </w:r>
      <w:r>
        <w:rPr>
          <w:rFonts w:ascii="Times New Roman" w:cs="Times New Roman" w:eastAsia="Times New Roman" w:hAnsi="Times New Roman"/>
          <w:sz w:val="20"/>
          <w:szCs w:val="20"/>
          <w:color w:val="auto"/>
        </w:rPr>
        <w:t>) and similar restrictions under the laws of other jurisdictions, in each case to the fullest extent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 and the Centralising Unit, acting for itself and in the name and on behalf of each of the Sellers, who hereby authorize the Centralising Unit to negotiate and enter into the relevant accession agreement on their behalf (for this purpose the German Seller hereby exempts the Centralising Unit from the restrictions of self-dealing under section 181 of the German Civil Code (</w:t>
      </w:r>
      <w:r>
        <w:rPr>
          <w:rFonts w:ascii="Times New Roman" w:cs="Times New Roman" w:eastAsia="Times New Roman" w:hAnsi="Times New Roman"/>
          <w:sz w:val="20"/>
          <w:szCs w:val="20"/>
          <w:i w:val="1"/>
          <w:iCs w:val="1"/>
          <w:color w:val="auto"/>
        </w:rPr>
        <w:t>Bürgerliches Gesetzbuch – BGB</w:t>
      </w:r>
      <w:r>
        <w:rPr>
          <w:rFonts w:ascii="Times New Roman" w:cs="Times New Roman" w:eastAsia="Times New Roman" w:hAnsi="Times New Roman"/>
          <w:sz w:val="20"/>
          <w:szCs w:val="20"/>
          <w:color w:val="auto"/>
        </w:rPr>
        <w:t>)), in each case to the fullest extent permitted by applicable law, may agree to such accession by letter and in writing, subject to prior written notification by the Centralising Unit, duly authorized for the purposes hereof, to the Purchaser of this accession in the form set out in SCHEDULE 7.</w:t>
      </w:r>
    </w:p>
    <w:p>
      <w:pPr>
        <w:spacing w:after="0" w:line="201" w:lineRule="exact"/>
        <w:rPr>
          <w:rFonts w:ascii="Times New Roman" w:cs="Times New Roman" w:eastAsia="Times New Roman" w:hAnsi="Times New Roman"/>
          <w:sz w:val="20"/>
          <w:szCs w:val="20"/>
          <w:color w:val="auto"/>
        </w:rPr>
      </w:pPr>
    </w:p>
    <w:p>
      <w:pPr>
        <w:ind w:left="502" w:hanging="502"/>
        <w:spacing w:after="0" w:line="353" w:lineRule="auto"/>
        <w:tabs>
          <w:tab w:leader="none" w:pos="491"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accession of the New Seller shall take effect on the Settlement Date immediately following provided that the following conditions are met:</w:t>
      </w:r>
    </w:p>
    <w:p>
      <w:pPr>
        <w:sectPr>
          <w:pgSz w:w="11900" w:h="16838" w:orient="portrait"/>
          <w:cols w:equalWidth="0" w:num="1">
            <w:col w:w="10722"/>
          </w:cols>
          <w:pgMar w:left="838" w:top="1440" w:right="339" w:bottom="1440" w:gutter="0" w:footer="0" w:header="0"/>
        </w:sectPr>
      </w:pPr>
    </w:p>
    <w:bookmarkStart w:id="227" w:name="page228"/>
    <w:bookmarkEnd w:id="227"/>
    <w:p>
      <w:pPr>
        <w:spacing w:after="0" w:line="95" w:lineRule="exact"/>
        <w:rPr>
          <w:sz w:val="20"/>
          <w:szCs w:val="20"/>
          <w:color w:val="auto"/>
        </w:rPr>
      </w:pPr>
    </w:p>
    <w:p>
      <w:pPr>
        <w:jc w:val="both"/>
        <w:ind w:left="762" w:hanging="634"/>
        <w:spacing w:after="0" w:line="338" w:lineRule="auto"/>
        <w:tabs>
          <w:tab w:leader="none" w:pos="756"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Seller is an entity in which GOODYEAR EUROPE BV holds directly or indirectly more than 50% of the share capital and voting rights and as such exercises effective control within the meaning of article L.511-7.3 of the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w:t>
      </w:r>
    </w:p>
    <w:p>
      <w:pPr>
        <w:spacing w:after="0" w:line="81" w:lineRule="exact"/>
        <w:rPr>
          <w:rFonts w:ascii="Times New Roman" w:cs="Times New Roman" w:eastAsia="Times New Roman" w:hAnsi="Times New Roman"/>
          <w:sz w:val="20"/>
          <w:szCs w:val="20"/>
          <w:color w:val="auto"/>
        </w:rPr>
      </w:pPr>
    </w:p>
    <w:p>
      <w:pPr>
        <w:jc w:val="both"/>
        <w:ind w:left="762" w:right="20" w:hanging="634"/>
        <w:spacing w:after="0" w:line="338" w:lineRule="auto"/>
        <w:tabs>
          <w:tab w:leader="none" w:pos="757"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Purchaser from (a) the Centralising Unit of evidence of the necessary corporate authorisations to cause the accession of the New Seller to this Agreement and (b) the New Seller of all the documents necessary to enable the accession of the New Seller to this Agreement and the relevant Receivables Purchase Agreement;</w:t>
      </w:r>
    </w:p>
    <w:p>
      <w:pPr>
        <w:spacing w:after="0" w:line="67" w:lineRule="exact"/>
        <w:rPr>
          <w:rFonts w:ascii="Times New Roman" w:cs="Times New Roman" w:eastAsia="Times New Roman" w:hAnsi="Times New Roman"/>
          <w:sz w:val="20"/>
          <w:szCs w:val="20"/>
          <w:color w:val="auto"/>
        </w:rPr>
      </w:pPr>
    </w:p>
    <w:p>
      <w:pPr>
        <w:jc w:val="both"/>
        <w:ind w:left="762" w:hanging="634"/>
        <w:spacing w:after="0" w:line="338" w:lineRule="auto"/>
        <w:tabs>
          <w:tab w:leader="none" w:pos="758"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Purchaser of evidence that the existing Sellers are bound by the accession of the New Seller as a Seller under this Agreement and by the resulting amendments to the Securitisation Documents negotiated and executed on their behalf by the Centralising Unit in accordance with Article 33.2;</w:t>
      </w:r>
    </w:p>
    <w:p>
      <w:pPr>
        <w:spacing w:after="0" w:line="81" w:lineRule="exact"/>
        <w:rPr>
          <w:rFonts w:ascii="Times New Roman" w:cs="Times New Roman" w:eastAsia="Times New Roman" w:hAnsi="Times New Roman"/>
          <w:sz w:val="20"/>
          <w:szCs w:val="20"/>
          <w:color w:val="auto"/>
        </w:rPr>
      </w:pPr>
    </w:p>
    <w:p>
      <w:pPr>
        <w:jc w:val="both"/>
        <w:ind w:left="762" w:hanging="634"/>
        <w:spacing w:after="0" w:line="331" w:lineRule="auto"/>
        <w:tabs>
          <w:tab w:leader="none" w:pos="76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Purchaser, in a form satisfactory to the Purchaser, of all amendments required or necessary under the Transaction Documents in connection with the accession of the New Seller to this Agreement and the relevant Receivables Purchase Agreement, including the signature by the New Seller of any letter, document or amendment necessary, in the opinion of the Purchaser, to enable the New Seller to accede to the General Master Purchase Agreement and the Receivables Purchase Agreement in connection with the accession of the New Seller thereto;</w:t>
      </w:r>
    </w:p>
    <w:p>
      <w:pPr>
        <w:spacing w:after="0" w:line="74" w:lineRule="exact"/>
        <w:rPr>
          <w:rFonts w:ascii="Times New Roman" w:cs="Times New Roman" w:eastAsia="Times New Roman" w:hAnsi="Times New Roman"/>
          <w:sz w:val="20"/>
          <w:szCs w:val="20"/>
          <w:color w:val="auto"/>
        </w:rPr>
      </w:pPr>
    </w:p>
    <w:p>
      <w:pPr>
        <w:ind w:left="762" w:hanging="634"/>
        <w:spacing w:after="0" w:line="367" w:lineRule="auto"/>
        <w:tabs>
          <w:tab w:leader="none" w:pos="759"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or the carrying out by the Purchaser, in a form and content satisfactory to the Purchaser, of an audit on the Credit and Collection Policies of the New Seller;</w:t>
      </w:r>
    </w:p>
    <w:p>
      <w:pPr>
        <w:spacing w:after="0" w:line="39" w:lineRule="exact"/>
        <w:rPr>
          <w:rFonts w:ascii="Times New Roman" w:cs="Times New Roman" w:eastAsia="Times New Roman" w:hAnsi="Times New Roman"/>
          <w:sz w:val="20"/>
          <w:szCs w:val="20"/>
          <w:color w:val="auto"/>
        </w:rPr>
      </w:pPr>
    </w:p>
    <w:p>
      <w:pPr>
        <w:ind w:left="762" w:hanging="634"/>
        <w:spacing w:after="0" w:line="353" w:lineRule="auto"/>
        <w:tabs>
          <w:tab w:leader="none" w:pos="76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tests of the proposed New Seller's information technology systems as may be requested by the Lead Arranger, the Purchaser or the Agent have been carried out with results satisfactory to Lead Arranger, the Purchaser and the Agent;</w:t>
      </w:r>
    </w:p>
    <w:p>
      <w:pPr>
        <w:spacing w:after="0" w:line="52" w:lineRule="exact"/>
        <w:rPr>
          <w:rFonts w:ascii="Times New Roman" w:cs="Times New Roman" w:eastAsia="Times New Roman" w:hAnsi="Times New Roman"/>
          <w:sz w:val="20"/>
          <w:szCs w:val="20"/>
          <w:color w:val="auto"/>
        </w:rPr>
      </w:pPr>
    </w:p>
    <w:p>
      <w:pPr>
        <w:ind w:left="762" w:hanging="634"/>
        <w:spacing w:after="0"/>
        <w:tabs>
          <w:tab w:leader="none" w:pos="762"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written consent of the Liquidity Banks and of the Fund Subscribers and, if necessary, the Rating Agencies.</w:t>
      </w:r>
    </w:p>
    <w:p>
      <w:pPr>
        <w:spacing w:after="0" w:line="296" w:lineRule="exact"/>
        <w:rPr>
          <w:rFonts w:ascii="Times New Roman" w:cs="Times New Roman" w:eastAsia="Times New Roman" w:hAnsi="Times New Roman"/>
          <w:sz w:val="20"/>
          <w:szCs w:val="20"/>
          <w:color w:val="auto"/>
        </w:rPr>
      </w:pPr>
    </w:p>
    <w:p>
      <w:pPr>
        <w:jc w:val="both"/>
        <w:ind w:left="502" w:hanging="502"/>
        <w:spacing w:after="0" w:line="345" w:lineRule="auto"/>
        <w:tabs>
          <w:tab w:leader="none" w:pos="491"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and documented costs (including legal fees) and fees in connection with the accession of a New Seller as Seller incurred by the Issuer, the Purchaser or the Arranger shall be borne by such New Seller or the Centralising Unit acting in the name and on behalf of the New Seller.</w:t>
      </w:r>
    </w:p>
    <w:p>
      <w:pPr>
        <w:spacing w:after="0" w:line="215" w:lineRule="exact"/>
        <w:rPr>
          <w:sz w:val="20"/>
          <w:szCs w:val="20"/>
          <w:color w:val="auto"/>
        </w:rPr>
      </w:pPr>
    </w:p>
    <w:p>
      <w:pPr>
        <w:ind w:left="502" w:hanging="502"/>
        <w:spacing w:after="0"/>
        <w:tabs>
          <w:tab w:leader="none" w:pos="502" w:val="left"/>
        </w:tabs>
        <w:numPr>
          <w:ilvl w:val="0"/>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HARDSHIP</w:t>
      </w:r>
    </w:p>
    <w:p>
      <w:pPr>
        <w:spacing w:after="0" w:line="238" w:lineRule="exact"/>
        <w:rPr>
          <w:sz w:val="20"/>
          <w:szCs w:val="20"/>
          <w:color w:val="auto"/>
        </w:rPr>
      </w:pPr>
    </w:p>
    <w:p>
      <w:pPr>
        <w:jc w:val="both"/>
        <w:ind w:left="542"/>
        <w:spacing w:after="0" w:line="340" w:lineRule="auto"/>
        <w:rPr>
          <w:sz w:val="20"/>
          <w:szCs w:val="20"/>
          <w:color w:val="auto"/>
        </w:rPr>
      </w:pPr>
      <w:r>
        <w:rPr>
          <w:rFonts w:ascii="Times New Roman" w:cs="Times New Roman" w:eastAsia="Times New Roman" w:hAnsi="Times New Roman"/>
          <w:sz w:val="20"/>
          <w:szCs w:val="20"/>
          <w:color w:val="auto"/>
        </w:rPr>
        <w:t>Each Party hereby acknowledges that the provisions of article 1195 of the French Civil Code (</w:t>
      </w:r>
      <w:r>
        <w:rPr>
          <w:rFonts w:ascii="Times New Roman" w:cs="Times New Roman" w:eastAsia="Times New Roman" w:hAnsi="Times New Roman"/>
          <w:sz w:val="20"/>
          <w:szCs w:val="20"/>
          <w:i w:val="1"/>
          <w:iCs w:val="1"/>
          <w:color w:val="auto"/>
        </w:rPr>
        <w:t>Code civil</w:t>
      </w:r>
      <w:r>
        <w:rPr>
          <w:rFonts w:ascii="Times New Roman" w:cs="Times New Roman" w:eastAsia="Times New Roman" w:hAnsi="Times New Roman"/>
          <w:sz w:val="20"/>
          <w:szCs w:val="20"/>
          <w:color w:val="auto"/>
        </w:rPr>
        <w:t>) shall not apply to it with respect to its obligations under the Transaction Documents and that it shall not be entitled to make any claim under article 1195 of the French Civil Code.</w:t>
      </w:r>
    </w:p>
    <w:p>
      <w:pPr>
        <w:sectPr>
          <w:pgSz w:w="11900" w:h="16838" w:orient="portrait"/>
          <w:cols w:equalWidth="0" w:num="1">
            <w:col w:w="10722"/>
          </w:cols>
          <w:pgMar w:left="838" w:top="1440" w:right="339" w:bottom="1440" w:gutter="0" w:footer="0" w:header="0"/>
        </w:sectPr>
      </w:pPr>
    </w:p>
    <w:bookmarkStart w:id="228" w:name="page229"/>
    <w:bookmarkEnd w:id="228"/>
    <w:p>
      <w:pPr>
        <w:spacing w:after="0" w:line="248" w:lineRule="exact"/>
        <w:rPr>
          <w:sz w:val="20"/>
          <w:szCs w:val="20"/>
          <w:color w:val="auto"/>
        </w:rPr>
      </w:pPr>
    </w:p>
    <w:p>
      <w:pPr>
        <w:ind w:left="502" w:hanging="502"/>
        <w:spacing w:after="0"/>
        <w:tabs>
          <w:tab w:leader="none" w:pos="502"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SANCTIONS</w:t>
      </w:r>
    </w:p>
    <w:p>
      <w:pPr>
        <w:spacing w:after="0" w:line="242" w:lineRule="exact"/>
        <w:rPr>
          <w:sz w:val="20"/>
          <w:szCs w:val="20"/>
          <w:color w:val="auto"/>
        </w:rPr>
      </w:pPr>
    </w:p>
    <w:p>
      <w:pPr>
        <w:jc w:val="both"/>
        <w:ind w:left="542"/>
        <w:spacing w:after="0" w:line="344" w:lineRule="auto"/>
        <w:rPr>
          <w:sz w:val="20"/>
          <w:szCs w:val="20"/>
          <w:color w:val="auto"/>
        </w:rPr>
      </w:pPr>
      <w:r>
        <w:rPr>
          <w:rFonts w:ascii="Times New Roman" w:cs="Times New Roman" w:eastAsia="Times New Roman" w:hAnsi="Times New Roman"/>
          <w:sz w:val="19"/>
          <w:szCs w:val="19"/>
          <w:color w:val="auto"/>
        </w:rPr>
        <w:t>With respect to the German Seller, the representations contained in Article 9.1(xxii) and the undertakings contained in Article 12.1.1(xxii) and 12.1.2(ix) shall not be representations or undertakings of the German Seller to the extent that such representations or undertakings would result in (i) any violation of, conflict with or liability under EU Regulation (EC) 2271/96,</w:t>
      </w:r>
    </w:p>
    <w:p>
      <w:pPr>
        <w:spacing w:after="0" w:line="2" w:lineRule="exact"/>
        <w:rPr>
          <w:sz w:val="20"/>
          <w:szCs w:val="20"/>
          <w:color w:val="auto"/>
        </w:rPr>
      </w:pPr>
    </w:p>
    <w:p>
      <w:pPr>
        <w:jc w:val="both"/>
        <w:ind w:left="542" w:firstLine="1"/>
        <w:spacing w:after="0" w:line="340" w:lineRule="auto"/>
        <w:tabs>
          <w:tab w:leader="none" w:pos="833"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violation or conflict with section 7 foreign trade rules (AWV)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(in conjunction with section 4 paragraph 1 no. 3 foreign trade law (AWG)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or (iii) a violation of, or conflict with any similar anti-boycott law or regulation, by the German Seller.</w:t>
      </w:r>
    </w:p>
    <w:p>
      <w:pPr>
        <w:spacing w:after="0" w:line="219" w:lineRule="exact"/>
        <w:rPr>
          <w:rFonts w:ascii="Times New Roman" w:cs="Times New Roman" w:eastAsia="Times New Roman" w:hAnsi="Times New Roman"/>
          <w:sz w:val="20"/>
          <w:szCs w:val="20"/>
          <w:color w:val="auto"/>
        </w:rPr>
      </w:pPr>
    </w:p>
    <w:p>
      <w:pPr>
        <w:ind w:left="502" w:hanging="502"/>
        <w:spacing w:after="0"/>
        <w:tabs>
          <w:tab w:leader="none" w:pos="502"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SECURITISATION REGULATION</w:t>
      </w:r>
    </w:p>
    <w:p>
      <w:pPr>
        <w:spacing w:after="0" w:line="238" w:lineRule="exact"/>
        <w:rPr>
          <w:sz w:val="20"/>
          <w:szCs w:val="20"/>
          <w:color w:val="auto"/>
        </w:rPr>
      </w:pPr>
    </w:p>
    <w:p>
      <w:pPr>
        <w:ind w:left="502" w:hanging="502"/>
        <w:spacing w:after="0"/>
        <w:tabs>
          <w:tab w:leader="none" w:pos="502" w:val="left"/>
        </w:tabs>
        <w:numPr>
          <w:ilvl w:val="0"/>
          <w:numId w:val="3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Entity Requirements</w:t>
      </w:r>
    </w:p>
    <w:p>
      <w:pPr>
        <w:spacing w:after="0" w:line="301" w:lineRule="exact"/>
        <w:rPr>
          <w:sz w:val="20"/>
          <w:szCs w:val="20"/>
          <w:color w:val="auto"/>
        </w:rPr>
      </w:pPr>
    </w:p>
    <w:p>
      <w:pPr>
        <w:jc w:val="both"/>
        <w:ind w:left="542"/>
        <w:spacing w:after="0" w:line="334" w:lineRule="auto"/>
        <w:rPr>
          <w:sz w:val="20"/>
          <w:szCs w:val="20"/>
          <w:color w:val="auto"/>
        </w:rPr>
      </w:pPr>
      <w:r>
        <w:rPr>
          <w:rFonts w:ascii="Times New Roman" w:cs="Times New Roman" w:eastAsia="Times New Roman" w:hAnsi="Times New Roman"/>
          <w:sz w:val="20"/>
          <w:szCs w:val="20"/>
          <w:color w:val="auto"/>
        </w:rPr>
        <w:t>Ester Finance Technologies, as originator (within the meaning of the Securitisation Regulation (as defined below)), is the entity designated to fulfil the information requirements pursuant to article 7.1 subparagraphs (a), (b), (d), (e), (f) and (g) of the regulation (EU) 2017/2402 laying down a general framework for securitisation and creating a specific framework for simple, transparent and standardised securitisation as amended by regulation (EU) 2021/557 and as amended, replaced or supplemented from time to time (the "</w:t>
      </w:r>
      <w:r>
        <w:rPr>
          <w:rFonts w:ascii="Times New Roman" w:cs="Times New Roman" w:eastAsia="Times New Roman" w:hAnsi="Times New Roman"/>
          <w:sz w:val="20"/>
          <w:szCs w:val="20"/>
          <w:b w:val="1"/>
          <w:bCs w:val="1"/>
          <w:color w:val="auto"/>
        </w:rPr>
        <w:t>Securitisation Regulation</w:t>
      </w:r>
      <w:r>
        <w:rPr>
          <w:rFonts w:ascii="Times New Roman" w:cs="Times New Roman" w:eastAsia="Times New Roman" w:hAnsi="Times New Roman"/>
          <w:sz w:val="20"/>
          <w:szCs w:val="20"/>
          <w:color w:val="auto"/>
        </w:rPr>
        <w:t>") as the Program is concerned.</w:t>
      </w:r>
    </w:p>
    <w:p>
      <w:pPr>
        <w:spacing w:after="0" w:line="178" w:lineRule="exact"/>
        <w:rPr>
          <w:sz w:val="20"/>
          <w:szCs w:val="20"/>
          <w:color w:val="auto"/>
        </w:rPr>
      </w:pPr>
    </w:p>
    <w:p>
      <w:pPr>
        <w:ind w:left="502" w:hanging="502"/>
        <w:spacing w:after="0"/>
        <w:tabs>
          <w:tab w:leader="none" w:pos="502" w:val="left"/>
        </w:tabs>
        <w:numPr>
          <w:ilvl w:val="0"/>
          <w:numId w:val="3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Risk retention</w:t>
      </w:r>
    </w:p>
    <w:p>
      <w:pPr>
        <w:spacing w:after="0" w:line="301" w:lineRule="exact"/>
        <w:rPr>
          <w:sz w:val="20"/>
          <w:szCs w:val="20"/>
          <w:color w:val="auto"/>
        </w:rPr>
      </w:pPr>
    </w:p>
    <w:p>
      <w:pPr>
        <w:jc w:val="both"/>
        <w:ind w:left="542"/>
        <w:spacing w:after="0" w:line="345" w:lineRule="auto"/>
        <w:rPr>
          <w:sz w:val="20"/>
          <w:szCs w:val="20"/>
          <w:color w:val="auto"/>
        </w:rPr>
      </w:pPr>
      <w:r>
        <w:rPr>
          <w:rFonts w:ascii="Times New Roman" w:cs="Times New Roman" w:eastAsia="Times New Roman" w:hAnsi="Times New Roman"/>
          <w:sz w:val="20"/>
          <w:szCs w:val="20"/>
          <w:color w:val="auto"/>
        </w:rPr>
        <w:t>For the purpose of article 6 of the Securitisation Regulation, CACIB retains, in its capacity as "sponsor", as defined in the Securitisation Regulation, through its Liquidity Agreements, on an ongoing basis, a material net economic interest in the Program in an amount of no less than 5% of the nominal value of the Sold Receivables and the Refinanced Sold Receivables.</w:t>
      </w:r>
    </w:p>
    <w:p>
      <w:pPr>
        <w:spacing w:after="0" w:line="165" w:lineRule="exact"/>
        <w:rPr>
          <w:sz w:val="20"/>
          <w:szCs w:val="20"/>
          <w:color w:val="auto"/>
        </w:rPr>
      </w:pPr>
    </w:p>
    <w:p>
      <w:pPr>
        <w:ind w:left="502" w:hanging="502"/>
        <w:spacing w:after="0"/>
        <w:tabs>
          <w:tab w:leader="none" w:pos="502"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Transparency</w:t>
      </w:r>
    </w:p>
    <w:p>
      <w:pPr>
        <w:spacing w:after="0" w:line="301"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Each of the Sellers procures to the Purchaser, until the date on which all obligations under this Agreement have been paid and satisfied in full, that the Centralising Unit (acting on behalf of the Sellers) will promptly provide upon written request from the Purchaser, such information as the Purchaser may reasonably request in order to allow the Purchaser to comply with article 5 of the Securitisation Regulation.</w:t>
      </w:r>
    </w:p>
    <w:p>
      <w:pPr>
        <w:spacing w:after="0" w:line="221" w:lineRule="exact"/>
        <w:rPr>
          <w:sz w:val="20"/>
          <w:szCs w:val="20"/>
          <w:color w:val="auto"/>
        </w:rPr>
      </w:pPr>
    </w:p>
    <w:p>
      <w:pPr>
        <w:ind w:left="502" w:hanging="502"/>
        <w:spacing w:after="0"/>
        <w:tabs>
          <w:tab w:leader="none" w:pos="502" w:val="left"/>
        </w:tabs>
        <w:numPr>
          <w:ilvl w:val="0"/>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DAC 6</w:t>
      </w:r>
    </w:p>
    <w:p>
      <w:pPr>
        <w:spacing w:after="0" w:line="242" w:lineRule="exact"/>
        <w:rPr>
          <w:sz w:val="20"/>
          <w:szCs w:val="20"/>
          <w:color w:val="auto"/>
        </w:rPr>
      </w:pPr>
    </w:p>
    <w:p>
      <w:pPr>
        <w:jc w:val="both"/>
        <w:ind w:left="542"/>
        <w:spacing w:after="0" w:line="338" w:lineRule="auto"/>
        <w:rPr>
          <w:sz w:val="20"/>
          <w:szCs w:val="20"/>
          <w:color w:val="auto"/>
        </w:rPr>
      </w:pPr>
      <w:r>
        <w:rPr>
          <w:rFonts w:ascii="Times New Roman" w:cs="Times New Roman" w:eastAsia="Times New Roman" w:hAnsi="Times New Roman"/>
          <w:sz w:val="20"/>
          <w:szCs w:val="20"/>
          <w:color w:val="auto"/>
        </w:rPr>
        <w:t>Nothing in any of the Transaction Documents prevents the disclosure of confidential information or other information, in particular as to the manner in which a tax benefit may be obtained, to the extent such disclosure, if prevented, would result in a transaction</w:t>
      </w:r>
    </w:p>
    <w:p>
      <w:pPr>
        <w:sectPr>
          <w:pgSz w:w="11900" w:h="16838" w:orient="portrait"/>
          <w:cols w:equalWidth="0" w:num="1">
            <w:col w:w="10722"/>
          </w:cols>
          <w:pgMar w:left="838" w:top="1440" w:right="339" w:bottom="1440" w:gutter="0" w:footer="0" w:header="0"/>
        </w:sectPr>
      </w:pPr>
    </w:p>
    <w:bookmarkStart w:id="229" w:name="page230"/>
    <w:bookmarkEnd w:id="229"/>
    <w:p>
      <w:pPr>
        <w:spacing w:after="0" w:line="203" w:lineRule="exact"/>
        <w:rPr>
          <w:sz w:val="20"/>
          <w:szCs w:val="20"/>
          <w:color w:val="auto"/>
        </w:rPr>
      </w:pPr>
    </w:p>
    <w:p>
      <w:pPr>
        <w:ind w:left="542" w:right="20"/>
        <w:spacing w:after="0" w:line="353" w:lineRule="auto"/>
        <w:rPr>
          <w:sz w:val="20"/>
          <w:szCs w:val="20"/>
          <w:color w:val="auto"/>
        </w:rPr>
      </w:pPr>
      <w:r>
        <w:rPr>
          <w:rFonts w:ascii="Times New Roman" w:cs="Times New Roman" w:eastAsia="Times New Roman" w:hAnsi="Times New Roman"/>
          <w:sz w:val="20"/>
          <w:szCs w:val="20"/>
          <w:color w:val="auto"/>
        </w:rPr>
        <w:t>becoming an arrangement described in Part II A 1 of Appendix IV of DAC6 or in the French law provisions implementing Part II A 1 of Appendix IV of DAC6.</w:t>
      </w:r>
    </w:p>
    <w:p>
      <w:pPr>
        <w:spacing w:after="0" w:line="372"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CHAPTER XIII</w:t>
      </w:r>
    </w:p>
    <w:p>
      <w:pPr>
        <w:spacing w:after="0" w:line="94" w:lineRule="exact"/>
        <w:rPr>
          <w:sz w:val="20"/>
          <w:szCs w:val="20"/>
          <w:color w:val="auto"/>
        </w:rPr>
      </w:pPr>
    </w:p>
    <w:p>
      <w:pPr>
        <w:jc w:val="center"/>
        <w:ind w:right="518"/>
        <w:spacing w:after="0"/>
        <w:rPr>
          <w:sz w:val="20"/>
          <w:szCs w:val="20"/>
          <w:color w:val="auto"/>
        </w:rPr>
      </w:pPr>
      <w:r>
        <w:rPr>
          <w:rFonts w:ascii="Times New Roman" w:cs="Times New Roman" w:eastAsia="Times New Roman" w:hAnsi="Times New Roman"/>
          <w:sz w:val="20"/>
          <w:szCs w:val="20"/>
          <w:b w:val="1"/>
          <w:bCs w:val="1"/>
          <w:color w:val="auto"/>
        </w:rPr>
        <w:t>GOVERNING LAW - JURISDICTION</w:t>
      </w:r>
    </w:p>
    <w:p>
      <w:pPr>
        <w:spacing w:after="0" w:line="351" w:lineRule="exact"/>
        <w:rPr>
          <w:sz w:val="20"/>
          <w:szCs w:val="20"/>
          <w:color w:val="auto"/>
        </w:rPr>
      </w:pPr>
    </w:p>
    <w:p>
      <w:pPr>
        <w:ind w:left="502" w:hanging="502"/>
        <w:spacing w:after="0"/>
        <w:tabs>
          <w:tab w:leader="none" w:pos="502" w:val="left"/>
        </w:tabs>
        <w:numPr>
          <w:ilvl w:val="0"/>
          <w:numId w:val="3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 JURISDICTION</w:t>
      </w:r>
    </w:p>
    <w:p>
      <w:pPr>
        <w:spacing w:after="0" w:line="233" w:lineRule="exact"/>
        <w:rPr>
          <w:sz w:val="20"/>
          <w:szCs w:val="20"/>
          <w:color w:val="auto"/>
        </w:rPr>
      </w:pPr>
    </w:p>
    <w:p>
      <w:pPr>
        <w:ind w:left="502" w:hanging="502"/>
        <w:spacing w:after="0"/>
        <w:tabs>
          <w:tab w:leader="none" w:pos="502"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French law.</w:t>
      </w:r>
    </w:p>
    <w:p>
      <w:pPr>
        <w:spacing w:after="0" w:line="310" w:lineRule="exact"/>
        <w:rPr>
          <w:rFonts w:ascii="Times New Roman" w:cs="Times New Roman" w:eastAsia="Times New Roman" w:hAnsi="Times New Roman"/>
          <w:sz w:val="20"/>
          <w:szCs w:val="20"/>
          <w:color w:val="auto"/>
        </w:rPr>
      </w:pPr>
    </w:p>
    <w:p>
      <w:pPr>
        <w:ind w:left="502" w:hanging="502"/>
        <w:spacing w:after="0" w:line="353" w:lineRule="auto"/>
        <w:tabs>
          <w:tab w:leader="none" w:pos="491"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as to the validity, interpretation, performance or any other matter arising out of this Agreement shall be subject to the jurisdiction of the competent courts of Paris (</w:t>
      </w:r>
      <w:r>
        <w:rPr>
          <w:rFonts w:ascii="Times New Roman" w:cs="Times New Roman" w:eastAsia="Times New Roman" w:hAnsi="Times New Roman"/>
          <w:sz w:val="20"/>
          <w:szCs w:val="20"/>
          <w:i w:val="1"/>
          <w:iCs w:val="1"/>
          <w:color w:val="auto"/>
        </w:rPr>
        <w:t>cour d'appel de Paris</w:t>
      </w:r>
      <w:r>
        <w:rPr>
          <w:rFonts w:ascii="Times New Roman" w:cs="Times New Roman" w:eastAsia="Times New Roman" w:hAnsi="Times New Roman"/>
          <w:sz w:val="20"/>
          <w:szCs w:val="20"/>
          <w:color w:val="auto"/>
        </w:rPr>
        <w:t>).</w:t>
      </w:r>
    </w:p>
    <w:p>
      <w:pPr>
        <w:sectPr>
          <w:pgSz w:w="11900" w:h="16838" w:orient="portrait"/>
          <w:cols w:equalWidth="0" w:num="1">
            <w:col w:w="10722"/>
          </w:cols>
          <w:pgMar w:left="838" w:top="1440" w:right="339" w:bottom="1440" w:gutter="0" w:footer="0" w:header="0"/>
        </w:sectPr>
      </w:pPr>
    </w:p>
    <w:bookmarkStart w:id="230" w:name="page231"/>
    <w:bookmarkEnd w:id="230"/>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4</w:t>
      </w:r>
    </w:p>
    <w:p>
      <w:pPr>
        <w:jc w:val="center"/>
        <w:spacing w:after="0"/>
        <w:rPr>
          <w:sz w:val="20"/>
          <w:szCs w:val="20"/>
          <w:color w:val="auto"/>
        </w:rPr>
      </w:pPr>
      <w:r>
        <w:rPr>
          <w:rFonts w:ascii="Times New Roman" w:cs="Times New Roman" w:eastAsia="Times New Roman" w:hAnsi="Times New Roman"/>
          <w:sz w:val="20"/>
          <w:szCs w:val="20"/>
          <w:b w:val="1"/>
          <w:bCs w:val="1"/>
          <w:color w:val="auto"/>
        </w:rPr>
        <w:t>MASTER DEFINITIONS SCHEDULE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2008 Amendment Date</w:t>
      </w:r>
      <w:r>
        <w:rPr>
          <w:rFonts w:ascii="Times New Roman" w:cs="Times New Roman" w:eastAsia="Times New Roman" w:hAnsi="Times New Roman"/>
          <w:sz w:val="20"/>
          <w:szCs w:val="20"/>
          <w:color w:val="auto"/>
        </w:rPr>
        <w:t>" means 23 July 2008.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2014 Amendment Date</w:t>
      </w:r>
      <w:r>
        <w:rPr>
          <w:rFonts w:ascii="Times New Roman" w:cs="Times New Roman" w:eastAsia="Times New Roman" w:hAnsi="Times New Roman"/>
          <w:sz w:val="20"/>
          <w:szCs w:val="20"/>
          <w:color w:val="auto"/>
        </w:rPr>
        <w:t>" means 25 September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2018 Amendment Date</w:t>
      </w:r>
      <w:r>
        <w:rPr>
          <w:rFonts w:ascii="Times New Roman" w:cs="Times New Roman" w:eastAsia="Times New Roman" w:hAnsi="Times New Roman"/>
          <w:sz w:val="20"/>
          <w:szCs w:val="20"/>
          <w:color w:val="auto"/>
        </w:rPr>
        <w:t>" means 26 September 2018.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Amendment Date</w:t>
      </w:r>
      <w:r>
        <w:rPr>
          <w:rFonts w:ascii="Times New Roman" w:cs="Times New Roman" w:eastAsia="Times New Roman" w:hAnsi="Times New Roman"/>
          <w:sz w:val="20"/>
          <w:szCs w:val="20"/>
          <w:color w:val="auto"/>
        </w:rPr>
        <w:t>" means 11 October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2025 Amendment Date</w:t>
      </w:r>
      <w:r>
        <w:rPr>
          <w:rFonts w:ascii="Times New Roman" w:cs="Times New Roman" w:eastAsia="Times New Roman" w:hAnsi="Times New Roman"/>
          <w:sz w:val="20"/>
          <w:szCs w:val="20"/>
          <w:color w:val="auto"/>
        </w:rPr>
        <w:t>" means 10 October 2025.</w:t>
      </w:r>
    </w:p>
    <w:p>
      <w:pPr>
        <w:spacing w:after="0" w:line="189"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means generally accepted accounting principles (GAAP) in the United States or any other accounting principles which may be adopted by the Centralising Unit or any of the Sellers and which apply in their Relevant Jurisdiction.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Actual Collections</w:t>
      </w:r>
      <w:r>
        <w:rPr>
          <w:rFonts w:ascii="Times New Roman" w:cs="Times New Roman" w:eastAsia="Times New Roman" w:hAnsi="Times New Roman"/>
          <w:sz w:val="20"/>
          <w:szCs w:val="20"/>
          <w:color w:val="auto"/>
        </w:rPr>
        <w:t>" means all cash collections actually received by any Seller in respect of the Sold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Collections</w:t>
      </w:r>
      <w:r>
        <w:rPr>
          <w:rFonts w:ascii="Times New Roman" w:cs="Times New Roman" w:eastAsia="Times New Roman" w:hAnsi="Times New Roman"/>
          <w:sz w:val="20"/>
          <w:szCs w:val="20"/>
          <w:color w:val="auto"/>
        </w:rPr>
        <w:t>" means, in relation to all the Sellers and with respect to the Sold Receivables:</w:t>
      </w:r>
    </w:p>
    <w:p>
      <w:pPr>
        <w:spacing w:after="0" w:line="193" w:lineRule="exact"/>
        <w:rPr>
          <w:sz w:val="20"/>
          <w:szCs w:val="20"/>
          <w:color w:val="auto"/>
        </w:rPr>
      </w:pPr>
    </w:p>
    <w:p>
      <w:pPr>
        <w:ind w:left="640" w:hanging="632"/>
        <w:spacing w:after="0" w:line="338" w:lineRule="auto"/>
        <w:tabs>
          <w:tab w:leader="none" w:pos="491"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Settlement Date (other than the Initial Settlement Date) as long as the Sellers act as collection agents in respect of any Sold Receivables and in relation to the Seller(s) acting as collection agents and for which an Assessment Report and a List of Purchasable Receivables have been provided pursuant to Article 10.2.1(vii):</w:t>
      </w:r>
    </w:p>
    <w:p>
      <w:pPr>
        <w:spacing w:after="0" w:line="67" w:lineRule="exact"/>
        <w:rPr>
          <w:rFonts w:ascii="Times New Roman" w:cs="Times New Roman" w:eastAsia="Times New Roman" w:hAnsi="Times New Roman"/>
          <w:sz w:val="20"/>
          <w:szCs w:val="20"/>
          <w:color w:val="auto"/>
        </w:rPr>
      </w:pPr>
    </w:p>
    <w:p>
      <w:pPr>
        <w:ind w:left="1920" w:hanging="1274"/>
        <w:spacing w:after="0" w:line="367" w:lineRule="auto"/>
        <w:tabs>
          <w:tab w:leader="none" w:pos="106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any File Collections during the period between the Assessment Date relating to the immediately preceding Settlement Date and the immediately preceding Assessment Date;</w:t>
      </w:r>
    </w:p>
    <w:p>
      <w:pPr>
        <w:spacing w:after="0" w:line="39" w:lineRule="exact"/>
        <w:rPr>
          <w:rFonts w:ascii="Times New Roman" w:cs="Times New Roman" w:eastAsia="Times New Roman" w:hAnsi="Times New Roman"/>
          <w:sz w:val="20"/>
          <w:szCs w:val="20"/>
          <w:color w:val="auto"/>
        </w:rPr>
      </w:pPr>
    </w:p>
    <w:p>
      <w:pPr>
        <w:ind w:left="1920" w:hanging="636"/>
        <w:spacing w:after="0" w:line="331" w:lineRule="auto"/>
        <w:tabs>
          <w:tab w:leader="none" w:pos="1634" w:val="left"/>
        </w:tabs>
        <w:numPr>
          <w:ilvl w:val="2"/>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any amount received on each of the Purchaser's Collection Accounts (net of any debit made on such Purchaser's Collection Account, corresponding to errors, reverse entries, unpaid amounts and returns in relation to payments already made on such Collection Account) by the debiting of such Collection Accounts during the period between the Assessment Date relating to the immediately preceding Settlement Date and the immediately preceding Assessment Date;</w:t>
      </w:r>
    </w:p>
    <w:p>
      <w:pPr>
        <w:spacing w:after="0" w:line="88" w:lineRule="exact"/>
        <w:rPr>
          <w:rFonts w:ascii="Times New Roman" w:cs="Times New Roman" w:eastAsia="Times New Roman" w:hAnsi="Times New Roman"/>
          <w:sz w:val="20"/>
          <w:szCs w:val="20"/>
          <w:color w:val="auto"/>
        </w:rPr>
      </w:pPr>
    </w:p>
    <w:p>
      <w:pPr>
        <w:ind w:left="1920" w:hanging="636"/>
        <w:spacing w:after="0" w:line="338" w:lineRule="auto"/>
        <w:tabs>
          <w:tab w:leader="none" w:pos="1605" w:val="left"/>
        </w:tabs>
        <w:numPr>
          <w:ilvl w:val="2"/>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if such Settlement Date is a Funded Settlement Date, the Cash Collections Advance calculated by the Calculation Agent on the Calculation Date preceding such Funded Settlement Date and to the extent paid by the Centralising Unit on the Purchaser's Account; plus</w:t>
      </w:r>
    </w:p>
    <w:p>
      <w:pPr>
        <w:spacing w:after="0" w:line="67" w:lineRule="exact"/>
        <w:rPr>
          <w:rFonts w:ascii="Times New Roman" w:cs="Times New Roman" w:eastAsia="Times New Roman" w:hAnsi="Times New Roman"/>
          <w:sz w:val="20"/>
          <w:szCs w:val="20"/>
          <w:color w:val="auto"/>
        </w:rPr>
      </w:pPr>
    </w:p>
    <w:p>
      <w:pPr>
        <w:ind w:left="1280" w:hanging="634"/>
        <w:spacing w:after="0" w:line="353" w:lineRule="auto"/>
        <w:tabs>
          <w:tab w:leader="none" w:pos="1092"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Deemed Collections determined to have occurred in accordance with Article 26.2 during the period between the Assessment Date relating to the immediately preceding Settlement Date and the immediately preceding Assessment Date;</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95" w:lineRule="exact"/>
        <w:rPr>
          <w:sz w:val="20"/>
          <w:szCs w:val="20"/>
          <w:color w:val="auto"/>
        </w:rPr>
      </w:pPr>
    </w:p>
    <w:p>
      <w:pPr>
        <w:ind w:left="640" w:hanging="632"/>
        <w:spacing w:after="0" w:line="338" w:lineRule="auto"/>
        <w:tabs>
          <w:tab w:leader="none" w:pos="467"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Settlement Date other than the Initial Settlement Date during the Replenishment Period, as long as the Sellers act as collection agents in respect of any Sold Receivables and in relation to the Seller(s) acting as collection agents, and for which an Assessment Report and a List of Purchasable Receivables have not been provided pursuant Article 10.2.1(vii):</w:t>
      </w:r>
    </w:p>
    <w:p>
      <w:pPr>
        <w:spacing w:after="0" w:line="81" w:lineRule="exact"/>
        <w:rPr>
          <w:rFonts w:ascii="Times New Roman" w:cs="Times New Roman" w:eastAsia="Times New Roman" w:hAnsi="Times New Roman"/>
          <w:sz w:val="20"/>
          <w:szCs w:val="20"/>
          <w:color w:val="auto"/>
        </w:rPr>
      </w:pPr>
    </w:p>
    <w:p>
      <w:pPr>
        <w:ind w:left="1920" w:hanging="1264"/>
        <w:spacing w:after="0" w:line="353" w:lineRule="auto"/>
        <w:tabs>
          <w:tab w:leader="none" w:pos="1106"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any Actual Collections during the period between the Assessment Date relating to the immediately preceding Settlement Date and the immediately preceding Assessment Date;</w:t>
      </w:r>
    </w:p>
    <w:p>
      <w:pPr>
        <w:spacing w:after="0" w:line="52" w:lineRule="exact"/>
        <w:rPr>
          <w:rFonts w:ascii="Times New Roman" w:cs="Times New Roman" w:eastAsia="Times New Roman" w:hAnsi="Times New Roman"/>
          <w:sz w:val="20"/>
          <w:szCs w:val="20"/>
          <w:color w:val="auto"/>
        </w:rPr>
      </w:pPr>
    </w:p>
    <w:p>
      <w:pPr>
        <w:ind w:left="1920" w:hanging="636"/>
        <w:spacing w:after="0" w:line="334" w:lineRule="auto"/>
        <w:tabs>
          <w:tab w:leader="none" w:pos="1634"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any amount received on each of the Purchaser's Collection Accounts (net of any debit made on such Purchaser's Collection Account, corresponding to errors, reverse entries, unpaid amounts and returns in relation to payments already made on such Collection Account) by the debiting of such Collection Accounts during the period between the Assessment Date relating to the immediately preceding Settlement Date and the immediately preceding Assessment Date;</w:t>
      </w:r>
    </w:p>
    <w:p>
      <w:pPr>
        <w:spacing w:after="0" w:line="73" w:lineRule="exact"/>
        <w:rPr>
          <w:rFonts w:ascii="Times New Roman" w:cs="Times New Roman" w:eastAsia="Times New Roman" w:hAnsi="Times New Roman"/>
          <w:sz w:val="20"/>
          <w:szCs w:val="20"/>
          <w:color w:val="auto"/>
        </w:rPr>
      </w:pPr>
    </w:p>
    <w:p>
      <w:pPr>
        <w:ind w:left="1920" w:right="20" w:hanging="636"/>
        <w:spacing w:after="0" w:line="353" w:lineRule="auto"/>
        <w:tabs>
          <w:tab w:leader="none" w:pos="1605"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if such Settlement Date is a Funded Settlement Date, the Cash Collections Advance calculated by the Calculation Agent for such Settlement Date and to the extent paid by the Centralising Unit on the Purchaser's Account; plus</w:t>
      </w:r>
    </w:p>
    <w:p>
      <w:pPr>
        <w:spacing w:after="0" w:line="52" w:lineRule="exact"/>
        <w:rPr>
          <w:rFonts w:ascii="Times New Roman" w:cs="Times New Roman" w:eastAsia="Times New Roman" w:hAnsi="Times New Roman"/>
          <w:sz w:val="20"/>
          <w:szCs w:val="20"/>
          <w:color w:val="auto"/>
        </w:rPr>
      </w:pPr>
    </w:p>
    <w:p>
      <w:pPr>
        <w:ind w:left="1280" w:hanging="634"/>
        <w:spacing w:after="0" w:line="353" w:lineRule="auto"/>
        <w:tabs>
          <w:tab w:leader="none" w:pos="1092"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Deemed Collections determined to have occurred in accordance with Article 26.2 during the period between the Assessment Date relating to the immediately preceding Settlement Date and the immediately preceding Assessment Date;</w:t>
      </w:r>
    </w:p>
    <w:p>
      <w:pPr>
        <w:spacing w:after="0" w:line="52" w:lineRule="exact"/>
        <w:rPr>
          <w:rFonts w:ascii="Times New Roman" w:cs="Times New Roman" w:eastAsia="Times New Roman" w:hAnsi="Times New Roman"/>
          <w:sz w:val="20"/>
          <w:szCs w:val="20"/>
          <w:color w:val="auto"/>
        </w:rPr>
      </w:pPr>
    </w:p>
    <w:p>
      <w:pPr>
        <w:ind w:left="640" w:hanging="632"/>
        <w:spacing w:after="0" w:line="367" w:lineRule="auto"/>
        <w:tabs>
          <w:tab w:leader="none" w:pos="485"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in the event of the termination of the collection mandate given to any Seller and in relation to the Sellers for which the collection mandate has been terminated and until the Program Expiry Date:</w:t>
      </w:r>
    </w:p>
    <w:p>
      <w:pPr>
        <w:spacing w:after="0" w:line="39" w:lineRule="exact"/>
        <w:rPr>
          <w:rFonts w:ascii="Times New Roman" w:cs="Times New Roman" w:eastAsia="Times New Roman" w:hAnsi="Times New Roman"/>
          <w:sz w:val="20"/>
          <w:szCs w:val="20"/>
          <w:color w:val="auto"/>
        </w:rPr>
      </w:pPr>
    </w:p>
    <w:p>
      <w:pPr>
        <w:ind w:left="1280" w:right="20" w:hanging="634"/>
        <w:spacing w:after="0" w:line="353" w:lineRule="auto"/>
        <w:tabs>
          <w:tab w:leader="none" w:pos="1070"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collections received by the Purchaser which have actually been paid by the Debtors or by any other person obliged to make payment in respect of such Sold Receivables; plus</w:t>
      </w:r>
    </w:p>
    <w:p>
      <w:pPr>
        <w:spacing w:after="0" w:line="5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1"/>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Deemed Collections determined to have occurred in accordance with Article 26.2; and</w:t>
      </w:r>
    </w:p>
    <w:p>
      <w:pPr>
        <w:spacing w:after="0" w:line="188" w:lineRule="exact"/>
        <w:rPr>
          <w:rFonts w:ascii="Times New Roman" w:cs="Times New Roman" w:eastAsia="Times New Roman" w:hAnsi="Times New Roman"/>
          <w:sz w:val="20"/>
          <w:szCs w:val="20"/>
          <w:color w:val="auto"/>
        </w:rPr>
      </w:pPr>
    </w:p>
    <w:p>
      <w:pPr>
        <w:ind w:left="640" w:hanging="632"/>
        <w:spacing w:after="0" w:line="345" w:lineRule="auto"/>
        <w:tabs>
          <w:tab w:leader="none" w:pos="449"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Program Expiry Date, all cash collections received by the Purchaser which have actually been paid by the Debtors or by any other person obliged to make payment in respect of such Sold Receivables, increased by all Actual Collections kept by the Purchaser and which have actually been paid by the Sellers daily up to the preceding Assessment Date.</w:t>
      </w:r>
    </w:p>
    <w:p>
      <w:pPr>
        <w:spacing w:after="0" w:line="57"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in relation to any entity, any other entity, which either directly or indirectly controls, is controlled by, or is under common control with, such an entity:</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95" w:lineRule="exact"/>
        <w:rPr>
          <w:sz w:val="20"/>
          <w:szCs w:val="20"/>
          <w:color w:val="auto"/>
        </w:rPr>
      </w:pPr>
    </w:p>
    <w:p>
      <w:pPr>
        <w:ind w:left="640" w:hanging="632"/>
        <w:spacing w:after="0" w:line="353" w:lineRule="auto"/>
        <w:tabs>
          <w:tab w:leader="none" w:pos="46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those entities located within the French jurisdiction, the term "control", shall have the meaning set out in article L.233-3 of the French Commercial Code (</w:t>
      </w:r>
      <w:r>
        <w:rPr>
          <w:rFonts w:ascii="Times New Roman" w:cs="Times New Roman" w:eastAsia="Times New Roman" w:hAnsi="Times New Roman"/>
          <w:sz w:val="20"/>
          <w:szCs w:val="20"/>
          <w:i w:val="1"/>
          <w:iCs w:val="1"/>
          <w:color w:val="auto"/>
        </w:rPr>
        <w:t>Code de commerce</w:t>
      </w:r>
      <w:r>
        <w:rPr>
          <w:rFonts w:ascii="Times New Roman" w:cs="Times New Roman" w:eastAsia="Times New Roman" w:hAnsi="Times New Roman"/>
          <w:sz w:val="20"/>
          <w:szCs w:val="20"/>
          <w:color w:val="auto"/>
        </w:rPr>
        <w:t>); and</w:t>
      </w:r>
    </w:p>
    <w:p>
      <w:pPr>
        <w:spacing w:after="0" w:line="52" w:lineRule="exact"/>
        <w:rPr>
          <w:rFonts w:ascii="Times New Roman" w:cs="Times New Roman" w:eastAsia="Times New Roman" w:hAnsi="Times New Roman"/>
          <w:sz w:val="20"/>
          <w:szCs w:val="20"/>
          <w:color w:val="auto"/>
        </w:rPr>
      </w:pPr>
    </w:p>
    <w:p>
      <w:pPr>
        <w:ind w:left="640" w:right="20" w:hanging="632"/>
        <w:spacing w:after="0" w:line="367" w:lineRule="auto"/>
        <w:tabs>
          <w:tab w:leader="none" w:pos="552"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those entities which are not located in France, the term control, shall mean the relationship between a parent company and a subsidiary as defined in article 1 of Directive 83/349/EEC.</w:t>
      </w:r>
    </w:p>
    <w:p>
      <w:pPr>
        <w:spacing w:after="0" w:line="3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CREDIT AGRICOLE CORPORATE AND INVESTMENT BANK, in its capacity as agent in the context of the Securitisation Transaction.</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 Account</w:t>
      </w:r>
      <w:r>
        <w:rPr>
          <w:rFonts w:ascii="Times New Roman" w:cs="Times New Roman" w:eastAsia="Times New Roman" w:hAnsi="Times New Roman"/>
          <w:sz w:val="20"/>
          <w:szCs w:val="20"/>
          <w:color w:val="auto"/>
        </w:rPr>
        <w:t>" means the account number 30002/00869/9E/2017B-13, opened by the Agent in the books of CREDIT AGRICOLE CORPORATE AND INVESTMENT BANK.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general master purchase agreement, as amended and/or supplemented from time to time.</w:t>
      </w:r>
    </w:p>
    <w:p>
      <w:pPr>
        <w:spacing w:after="0" w:line="202"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Alternative Funding Letter</w:t>
      </w:r>
      <w:r>
        <w:rPr>
          <w:rFonts w:ascii="Times New Roman" w:cs="Times New Roman" w:eastAsia="Times New Roman" w:hAnsi="Times New Roman"/>
          <w:sz w:val="20"/>
          <w:szCs w:val="20"/>
          <w:color w:val="auto"/>
        </w:rPr>
        <w:t>" means, with respect to LMA S.A. in its capacity as Issuer, (i) the alternative funding letter dated on the 2025 Amendment Date between the Lead Arranger, the Centralising Unit, the Sellers pursuant to which the Lead Arranger undertakes to provide the Purchaser with alternative funding in the circumstances set out in such letter or (ii) any subsequent alternative funding letter entered into between the same parties.</w:t>
      </w:r>
    </w:p>
    <w:p>
      <w:pPr>
        <w:spacing w:after="0" w:line="66" w:lineRule="exact"/>
        <w:rPr>
          <w:sz w:val="20"/>
          <w:szCs w:val="20"/>
          <w:color w:val="auto"/>
        </w:rPr>
      </w:pPr>
    </w:p>
    <w:p>
      <w:pPr>
        <w:jc w:val="both"/>
        <w:ind w:right="20"/>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Amended Invoice</w:t>
      </w:r>
      <w:r>
        <w:rPr>
          <w:rFonts w:ascii="Times New Roman" w:cs="Times New Roman" w:eastAsia="Times New Roman" w:hAnsi="Times New Roman"/>
          <w:sz w:val="20"/>
          <w:szCs w:val="20"/>
          <w:color w:val="auto"/>
        </w:rPr>
        <w:t>" means the sums corresponding to any Sold Receivable, which has been the subject of an issued invoice, and which, in order to (i) take into account the commercial practices of the Sellers or (ii) amend any material errors appearing on such invoice, has been cancelled and replaced by a new invoice.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Amortisation Period</w:t>
      </w:r>
      <w:r>
        <w:rPr>
          <w:rFonts w:ascii="Times New Roman" w:cs="Times New Roman" w:eastAsia="Times New Roman" w:hAnsi="Times New Roman"/>
          <w:sz w:val="20"/>
          <w:szCs w:val="20"/>
          <w:color w:val="auto"/>
        </w:rPr>
        <w:t>" means the period of time commencing on the Commitment Expiry Date and ending on the Program Expiry Date.</w:t>
      </w:r>
    </w:p>
    <w:p>
      <w:pPr>
        <w:spacing w:after="0" w:line="18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article 17 of the Act no. 2016-1691 dated 9 December 2016 on transparency, fight against corruption and modernisation of the economic life as well as the decrees adopted for its implementation (the "</w:t>
      </w:r>
      <w:r>
        <w:rPr>
          <w:rFonts w:ascii="Times New Roman" w:cs="Times New Roman" w:eastAsia="Times New Roman" w:hAnsi="Times New Roman"/>
          <w:sz w:val="20"/>
          <w:szCs w:val="20"/>
          <w:b w:val="1"/>
          <w:bCs w:val="1"/>
          <w:color w:val="auto"/>
        </w:rPr>
        <w:t>Sapin II Act</w:t>
      </w:r>
      <w:r>
        <w:rPr>
          <w:rFonts w:ascii="Times New Roman" w:cs="Times New Roman" w:eastAsia="Times New Roman" w:hAnsi="Times New Roman"/>
          <w:sz w:val="20"/>
          <w:szCs w:val="20"/>
          <w:color w:val="auto"/>
        </w:rPr>
        <w:t>"), the United-Kingdom Bribery Act 2010 (the "</w:t>
      </w:r>
      <w:r>
        <w:rPr>
          <w:rFonts w:ascii="Times New Roman" w:cs="Times New Roman" w:eastAsia="Times New Roman" w:hAnsi="Times New Roman"/>
          <w:sz w:val="20"/>
          <w:szCs w:val="20"/>
          <w:b w:val="1"/>
          <w:bCs w:val="1"/>
          <w:color w:val="auto"/>
        </w:rPr>
        <w:t>Bribery Act</w:t>
      </w:r>
      <w:r>
        <w:rPr>
          <w:rFonts w:ascii="Times New Roman" w:cs="Times New Roman" w:eastAsia="Times New Roman" w:hAnsi="Times New Roman"/>
          <w:sz w:val="20"/>
          <w:szCs w:val="20"/>
          <w:color w:val="auto"/>
        </w:rPr>
        <w:t>") and the United States Foreign Corrupt Practices Act of 1977 (the "</w:t>
      </w:r>
      <w:r>
        <w:rPr>
          <w:rFonts w:ascii="Times New Roman" w:cs="Times New Roman" w:eastAsia="Times New Roman" w:hAnsi="Times New Roman"/>
          <w:sz w:val="20"/>
          <w:szCs w:val="20"/>
          <w:b w:val="1"/>
          <w:bCs w:val="1"/>
          <w:color w:val="auto"/>
        </w:rPr>
        <w:t>Foreign Corrupt Practices Act</w:t>
      </w:r>
      <w:r>
        <w:rPr>
          <w:rFonts w:ascii="Times New Roman" w:cs="Times New Roman" w:eastAsia="Times New Roman" w:hAnsi="Times New Roman"/>
          <w:sz w:val="20"/>
          <w:szCs w:val="20"/>
          <w:color w:val="auto"/>
        </w:rPr>
        <w:t>"), as amended from time to time, and any similar laws or regulations aiming at preventing and/or sanctioning corruption, influence peddling and more generally offenses against probity in effect in jurisdictions in which GOODYEAR EUROPE BV, the Centralising Unit and the Sellers do business.</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9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Waiver or Amendment</w:t>
      </w:r>
      <w:r>
        <w:rPr>
          <w:rFonts w:ascii="Times New Roman" w:cs="Times New Roman" w:eastAsia="Times New Roman" w:hAnsi="Times New Roman"/>
          <w:sz w:val="20"/>
          <w:szCs w:val="20"/>
          <w:color w:val="auto"/>
        </w:rPr>
        <w:t>" means a waiver concerning</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or amendment of, any of the events set forth in Article 11.3(xiv) (including the related definitions) and the corresponding provision and definitions of the European Credit Facility that is approved by any combination of the lenders under the European Credit Facility, the Liquidity Banks and the Fund Subscribers representing more than 50% of the aggregate amount of (i) all loans and unused commitments under the European Credit Facility plus (ii) commitments pursuant to Liquidity Agreements and Fund Subscription Agreements (without double-counting in respect of Liquidity Banks that are parties to both a Liquidity Agreement and a Fund Subscription Agreement) to provide the outstanding amount of the Purchaser's Funding, in each case as of the date of such approval</w:t>
      </w:r>
      <w:r>
        <w:rPr>
          <w:rFonts w:ascii="Arial" w:cs="Arial" w:eastAsia="Arial" w:hAnsi="Arial"/>
          <w:sz w:val="20"/>
          <w:szCs w:val="20"/>
          <w:color w:val="auto"/>
        </w:rPr>
        <w:t>.</w:t>
      </w:r>
    </w:p>
    <w:p>
      <w:pPr>
        <w:spacing w:after="0" w:line="6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Assessment Date</w:t>
      </w:r>
      <w:r>
        <w:rPr>
          <w:rFonts w:ascii="Times New Roman" w:cs="Times New Roman" w:eastAsia="Times New Roman" w:hAnsi="Times New Roman"/>
          <w:sz w:val="20"/>
          <w:szCs w:val="20"/>
          <w:color w:val="auto"/>
        </w:rPr>
        <w:t>" means each of the dates identified as such in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it being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for as long as no Bi-monthly Management Period is outstanding, only those dates identified as "Funded Assessment Date"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shall be considered as "Assessment Date".</w:t>
      </w:r>
    </w:p>
    <w:p>
      <w:pPr>
        <w:spacing w:after="0" w:line="5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Assessment Report</w:t>
      </w:r>
      <w:r>
        <w:rPr>
          <w:rFonts w:ascii="Times New Roman" w:cs="Times New Roman" w:eastAsia="Times New Roman" w:hAnsi="Times New Roman"/>
          <w:sz w:val="20"/>
          <w:szCs w:val="20"/>
          <w:color w:val="auto"/>
        </w:rPr>
        <w:t>" means the assessment report drawn up on each Information Date as of the preceding Assessment Date in accordance with Article 20, substantially in the form of SCHEDULE 3 or as modified by mutual agreement between the Centralising Unit, the Purchaser, and the Agent.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Costs</w:t>
      </w:r>
      <w:r>
        <w:rPr>
          <w:rFonts w:ascii="Times New Roman" w:cs="Times New Roman" w:eastAsia="Times New Roman" w:hAnsi="Times New Roman"/>
          <w:sz w:val="20"/>
          <w:szCs w:val="20"/>
          <w:color w:val="auto"/>
        </w:rPr>
        <w:t>" means the amount calculated in accordance with SCHEDULE 16 - B of this Agreement.</w:t>
      </w:r>
    </w:p>
    <w:p>
      <w:pPr>
        <w:spacing w:after="0" w:line="189"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Funds</w:t>
      </w:r>
      <w:r>
        <w:rPr>
          <w:rFonts w:ascii="Times New Roman" w:cs="Times New Roman" w:eastAsia="Times New Roman" w:hAnsi="Times New Roman"/>
          <w:sz w:val="19"/>
          <w:szCs w:val="19"/>
          <w:color w:val="auto"/>
        </w:rPr>
        <w:t>" means, on any date, and with regard to the Securitisation Transaction, any sums received by or on behalf of the Purchaser and required to be held by or on behalf of the Purchaser or paid to the Centralising Unit, the Sellers or GOODYEAR EUROPE BV pursuant to the Securitisation Transaction after the allocations of funds, and subject to the order of priority, provided for under Article 14.</w:t>
      </w:r>
    </w:p>
    <w:p>
      <w:pPr>
        <w:spacing w:after="0" w:line="37"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Back-Up Servicer</w:t>
      </w:r>
      <w:r>
        <w:rPr>
          <w:rFonts w:ascii="Times New Roman" w:cs="Times New Roman" w:eastAsia="Times New Roman" w:hAnsi="Times New Roman"/>
          <w:sz w:val="20"/>
          <w:szCs w:val="20"/>
          <w:color w:val="auto"/>
        </w:rPr>
        <w:t>" means any entity appointed by the Purchaser to replace or assist the Sellers in the collection and servicing of the Sold Receivables.</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Back-Up Servicer Report</w:t>
      </w:r>
      <w:r>
        <w:rPr>
          <w:rFonts w:ascii="Times New Roman" w:cs="Times New Roman" w:eastAsia="Times New Roman" w:hAnsi="Times New Roman"/>
          <w:sz w:val="20"/>
          <w:szCs w:val="20"/>
          <w:color w:val="auto"/>
        </w:rPr>
        <w:t>" means the assessment report to be drawn up, as the case may be, by the Back-Up Servicer on each Information Date.</w:t>
      </w:r>
    </w:p>
    <w:p>
      <w:pPr>
        <w:spacing w:after="0" w:line="3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 Commitment Letter</w:t>
      </w:r>
      <w:r>
        <w:rPr>
          <w:rFonts w:ascii="Times New Roman" w:cs="Times New Roman" w:eastAsia="Times New Roman" w:hAnsi="Times New Roman"/>
          <w:sz w:val="20"/>
          <w:szCs w:val="20"/>
          <w:color w:val="auto"/>
        </w:rPr>
        <w:t>" means the commitment letter entered into on the 2025 Amendment Date by and between CREDIT AGRICOLE CORPORATE AND INVESTMENT BANK, in its capacity as Liquidity Bank and Fund Subscriber, on the one hand, and the Centralising Unit and the Sellers on the other hand, pursuant to which CREDIT AGRICOLE CORPORATE AND INVESTMENT BANK undertakes, vis-à-vis the Centralising Unit and the Sellers, to provide the Purchaser with an alternative funding, subject to the conditions provided in such letter, as amended or supplemented from time to time.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Beginning of Month Purchase Date</w:t>
      </w:r>
      <w:r>
        <w:rPr>
          <w:rFonts w:ascii="Times New Roman" w:cs="Times New Roman" w:eastAsia="Times New Roman" w:hAnsi="Times New Roman"/>
          <w:sz w:val="20"/>
          <w:szCs w:val="20"/>
          <w:color w:val="auto"/>
        </w:rPr>
        <w:t>" means the first Business Day of each calendar month during the Replenishment Period.</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91"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Bill of Exchange</w:t>
      </w:r>
      <w:r>
        <w:rPr>
          <w:rFonts w:ascii="Times New Roman" w:cs="Times New Roman" w:eastAsia="Times New Roman" w:hAnsi="Times New Roman"/>
          <w:sz w:val="20"/>
          <w:szCs w:val="20"/>
          <w:color w:val="auto"/>
        </w:rPr>
        <w:t>" means (a) any negotiable instrument in the form of a bill of exchange (</w:t>
      </w:r>
      <w:r>
        <w:rPr>
          <w:rFonts w:ascii="Times New Roman" w:cs="Times New Roman" w:eastAsia="Times New Roman" w:hAnsi="Times New Roman"/>
          <w:sz w:val="20"/>
          <w:szCs w:val="20"/>
          <w:i w:val="1"/>
          <w:iCs w:val="1"/>
          <w:color w:val="auto"/>
        </w:rPr>
        <w:t>lettre de change, effet de commerce, letra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cambio</w:t>
      </w:r>
      <w:r>
        <w:rPr>
          <w:rFonts w:ascii="Times New Roman" w:cs="Times New Roman" w:eastAsia="Times New Roman" w:hAnsi="Times New Roman"/>
          <w:sz w:val="20"/>
          <w:szCs w:val="20"/>
          <w:color w:val="auto"/>
        </w:rPr>
        <w:t>) or promissory note (</w:t>
      </w:r>
      <w:r>
        <w:rPr>
          <w:rFonts w:ascii="Times New Roman" w:cs="Times New Roman" w:eastAsia="Times New Roman" w:hAnsi="Times New Roman"/>
          <w:sz w:val="20"/>
          <w:szCs w:val="20"/>
          <w:i w:val="1"/>
          <w:iCs w:val="1"/>
          <w:color w:val="auto"/>
        </w:rPr>
        <w:t>billet à ordre, pagaré</w:t>
      </w:r>
      <w:r>
        <w:rPr>
          <w:rFonts w:ascii="Times New Roman" w:cs="Times New Roman" w:eastAsia="Times New Roman" w:hAnsi="Times New Roman"/>
          <w:sz w:val="20"/>
          <w:szCs w:val="20"/>
          <w:color w:val="auto"/>
        </w:rPr>
        <w:t>) or (b) in the case of any UK Seller, a bill of exchange as defined in the Bills of 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 1882 or (c) in the case of the German Seller, any bills of exchange (</w:t>
      </w:r>
      <w:r>
        <w:rPr>
          <w:rFonts w:ascii="Times New Roman" w:cs="Times New Roman" w:eastAsia="Times New Roman" w:hAnsi="Times New Roman"/>
          <w:sz w:val="20"/>
          <w:szCs w:val="20"/>
          <w:i w:val="1"/>
          <w:iCs w:val="1"/>
          <w:color w:val="auto"/>
        </w:rPr>
        <w:t>gezogene Wechsel</w:t>
      </w:r>
      <w:r>
        <w:rPr>
          <w:rFonts w:ascii="Times New Roman" w:cs="Times New Roman" w:eastAsia="Times New Roman" w:hAnsi="Times New Roman"/>
          <w:sz w:val="20"/>
          <w:szCs w:val="20"/>
          <w:color w:val="auto"/>
        </w:rPr>
        <w:t>) issued by such German Seller (with full liability) and accepted by the relevant Debtor and blank-endorsed by such German Seller at a place in Germany or promissory notes (</w:t>
      </w:r>
      <w:r>
        <w:rPr>
          <w:rFonts w:ascii="Times New Roman" w:cs="Times New Roman" w:eastAsia="Times New Roman" w:hAnsi="Times New Roman"/>
          <w:sz w:val="20"/>
          <w:szCs w:val="20"/>
          <w:i w:val="1"/>
          <w:iCs w:val="1"/>
          <w:color w:val="auto"/>
        </w:rPr>
        <w:t>eigene Wechsel</w:t>
      </w:r>
      <w:r>
        <w:rPr>
          <w:rFonts w:ascii="Times New Roman" w:cs="Times New Roman" w:eastAsia="Times New Roman" w:hAnsi="Times New Roman"/>
          <w:sz w:val="20"/>
          <w:szCs w:val="20"/>
          <w:color w:val="auto"/>
        </w:rPr>
        <w:t xml:space="preserve">) issued and accepted by the relevant Debtor and blank-endorsed by such German Seller at a place in Germany (with full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that </w:t>
      </w:r>
      <w:r>
        <w:rPr>
          <w:rFonts w:ascii="Times New Roman" w:cs="Times New Roman" w:eastAsia="Times New Roman" w:hAnsi="Times New Roman"/>
          <w:sz w:val="20"/>
          <w:szCs w:val="20"/>
          <w:color w:val="auto"/>
        </w:rPr>
        <w:t>(i) any such bill of exchange has been issued pursuant to the German Bills of Exchange Act (as in effect on the relevant purchase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complies with all requirements as to form under the German Bills of Exchange Act (</w:t>
      </w:r>
      <w:r>
        <w:rPr>
          <w:rFonts w:ascii="Times New Roman" w:cs="Times New Roman" w:eastAsia="Times New Roman" w:hAnsi="Times New Roman"/>
          <w:sz w:val="20"/>
          <w:szCs w:val="20"/>
          <w:i w:val="1"/>
          <w:iCs w:val="1"/>
          <w:color w:val="auto"/>
        </w:rPr>
        <w:t>formell ordnungsgemäßer Wechsel</w:t>
      </w:r>
      <w:r>
        <w:rPr>
          <w:rFonts w:ascii="Times New Roman" w:cs="Times New Roman" w:eastAsia="Times New Roman" w:hAnsi="Times New Roman"/>
          <w:sz w:val="20"/>
          <w:szCs w:val="20"/>
          <w:color w:val="auto"/>
        </w:rPr>
        <w:t>) and is free of any corrections; (ii) the currency of the Bill of Exchange is Euro; and (iii) the Bill of Exchange is fully enforceable against the relevant Debtor, freely transferable, and free from any liens or other rights of third parties, or their equivalent issued by a Seller in connection with any Remaining Purchasable Receivables.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Bi-monthly Management Period</w:t>
      </w:r>
      <w:r>
        <w:rPr>
          <w:rFonts w:ascii="Times New Roman" w:cs="Times New Roman" w:eastAsia="Times New Roman" w:hAnsi="Times New Roman"/>
          <w:sz w:val="20"/>
          <w:szCs w:val="20"/>
          <w:color w:val="auto"/>
        </w:rPr>
        <w:t>" means any period:</w:t>
      </w:r>
    </w:p>
    <w:p>
      <w:pPr>
        <w:spacing w:after="0" w:line="189" w:lineRule="exact"/>
        <w:rPr>
          <w:sz w:val="20"/>
          <w:szCs w:val="20"/>
          <w:color w:val="auto"/>
        </w:rPr>
      </w:pPr>
    </w:p>
    <w:p>
      <w:pPr>
        <w:ind w:left="1160" w:hanging="514"/>
        <w:spacing w:after="0" w:line="357" w:lineRule="auto"/>
        <w:tabs>
          <w:tab w:leader="none" w:pos="1147"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starting from the first date identified as an "Intermediary Assessment Date" on SCHEDULE 9 (</w:t>
      </w:r>
      <w:r>
        <w:rPr>
          <w:rFonts w:ascii="Times New Roman" w:cs="Times New Roman" w:eastAsia="Times New Roman" w:hAnsi="Times New Roman"/>
          <w:sz w:val="20"/>
          <w:szCs w:val="20"/>
          <w:i w:val="1"/>
          <w:iCs w:val="1"/>
          <w:color w:val="auto"/>
        </w:rPr>
        <w:t>List of Calendar Dates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Transaction</w:t>
      </w:r>
      <w:r>
        <w:rPr>
          <w:rFonts w:ascii="Times New Roman" w:cs="Times New Roman" w:eastAsia="Times New Roman" w:hAnsi="Times New Roman"/>
          <w:sz w:val="20"/>
          <w:szCs w:val="20"/>
          <w:color w:val="auto"/>
        </w:rPr>
        <w:t>) following the occurrence of a Collection Rating Trigger Event; and</w:t>
      </w:r>
    </w:p>
    <w:p>
      <w:pPr>
        <w:spacing w:after="0" w:line="48" w:lineRule="exact"/>
        <w:rPr>
          <w:rFonts w:ascii="Times New Roman" w:cs="Times New Roman" w:eastAsia="Times New Roman" w:hAnsi="Times New Roman"/>
          <w:sz w:val="20"/>
          <w:szCs w:val="20"/>
          <w:color w:val="auto"/>
        </w:rPr>
      </w:pPr>
    </w:p>
    <w:p>
      <w:pPr>
        <w:ind w:left="1160" w:hanging="514"/>
        <w:spacing w:after="0" w:line="353" w:lineRule="auto"/>
        <w:tabs>
          <w:tab w:leader="none" w:pos="1148"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ending on the earlier of the date on which such Collection Rating Trigger Event is no longer outstanding or has been waived by the Purchaser;</w:t>
      </w:r>
    </w:p>
    <w:p>
      <w:pPr>
        <w:spacing w:after="0" w:line="61" w:lineRule="exact"/>
        <w:rPr>
          <w:rFonts w:ascii="Times New Roman" w:cs="Times New Roman" w:eastAsia="Times New Roman" w:hAnsi="Times New Roman"/>
          <w:sz w:val="20"/>
          <w:szCs w:val="20"/>
          <w:color w:val="auto"/>
        </w:rPr>
      </w:pPr>
    </w:p>
    <w:p>
      <w:pPr>
        <w:jc w:val="both"/>
        <w:ind w:left="340" w:hanging="332"/>
        <w:spacing w:after="0" w:line="335" w:lineRule="auto"/>
        <w:tabs>
          <w:tab w:leader="none" w:pos="34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it being 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the ending date of such Bi-monthly Management Period intervenes between an Information Date relating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identified as an "Intermediary Settlement Date" on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and such latter date, such ending date shall deem to occur on the Business Day following such date identified as an "Intermediary Settlement Date" on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w:t>
      </w:r>
    </w:p>
    <w:p>
      <w:pPr>
        <w:spacing w:after="0" w:line="66"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or a Sunday on which banks are open for business in Paris, Luxembourg, Madrid, Frankfurt, Rome, London, Jersey and New York and which is a T2 Day.</w:t>
      </w:r>
    </w:p>
    <w:p>
      <w:pPr>
        <w:spacing w:after="0" w:line="45"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CACEIS BANK FRANCE</w:t>
      </w:r>
      <w:r>
        <w:rPr>
          <w:rFonts w:ascii="Times New Roman" w:cs="Times New Roman" w:eastAsia="Times New Roman" w:hAnsi="Times New Roman"/>
          <w:sz w:val="20"/>
          <w:szCs w:val="20"/>
          <w:color w:val="auto"/>
        </w:rPr>
        <w:t>", a limited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duly licensed as a credit institution (</w:t>
      </w:r>
      <w:r>
        <w:rPr>
          <w:rFonts w:ascii="Times New Roman" w:cs="Times New Roman" w:eastAsia="Times New Roman" w:hAnsi="Times New Roman"/>
          <w:sz w:val="20"/>
          <w:szCs w:val="20"/>
          <w:i w:val="1"/>
          <w:iCs w:val="1"/>
          <w:color w:val="auto"/>
        </w:rPr>
        <w:t>établissement de crédit</w:t>
      </w:r>
      <w:r>
        <w:rPr>
          <w:rFonts w:ascii="Times New Roman" w:cs="Times New Roman" w:eastAsia="Times New Roman" w:hAnsi="Times New Roman"/>
          <w:sz w:val="20"/>
          <w:szCs w:val="20"/>
          <w:color w:val="auto"/>
        </w:rPr>
        <w:t xml:space="preserve">) by the </w:t>
      </w:r>
      <w:r>
        <w:rPr>
          <w:rFonts w:ascii="Times New Roman" w:cs="Times New Roman" w:eastAsia="Times New Roman" w:hAnsi="Times New Roman"/>
          <w:sz w:val="20"/>
          <w:szCs w:val="20"/>
          <w:i w:val="1"/>
          <w:iCs w:val="1"/>
          <w:color w:val="auto"/>
        </w:rPr>
        <w:t>Autorité de contrôle prudentiel et de résolution</w:t>
      </w:r>
      <w:r>
        <w:rPr>
          <w:rFonts w:ascii="Times New Roman" w:cs="Times New Roman" w:eastAsia="Times New Roman" w:hAnsi="Times New Roman"/>
          <w:sz w:val="20"/>
          <w:szCs w:val="20"/>
          <w:color w:val="auto"/>
        </w:rPr>
        <w:t>, registered with the trade 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Paris under number 692 024 722, whose registered office is located at 1 place Valhubert 75013 Paris</w:t>
      </w:r>
      <w:r>
        <w:rPr>
          <w:rFonts w:ascii="Verdana" w:cs="Verdana" w:eastAsia="Verdana" w:hAnsi="Verdana"/>
          <w:sz w:val="17"/>
          <w:szCs w:val="17"/>
          <w:color w:val="0D0D0D"/>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Agent</w:t>
      </w:r>
      <w:r>
        <w:rPr>
          <w:rFonts w:ascii="Times New Roman" w:cs="Times New Roman" w:eastAsia="Times New Roman" w:hAnsi="Times New Roman"/>
          <w:sz w:val="20"/>
          <w:szCs w:val="20"/>
          <w:color w:val="auto"/>
        </w:rPr>
        <w:t>" means CREDIT AGRICOLE CORPORATE AND INVESTMENT BANK.</w:t>
      </w:r>
    </w:p>
    <w:p>
      <w:pPr>
        <w:spacing w:after="0" w:line="189"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xml:space="preserve">" means each of the dates identified as such in SCHEDULE 9 and on which, in particular, the Agent shall make the calculations specified in Article 10.3, </w:t>
      </w:r>
      <w:r>
        <w:rPr>
          <w:rFonts w:ascii="Times New Roman" w:cs="Times New Roman" w:eastAsia="Times New Roman" w:hAnsi="Times New Roman"/>
          <w:sz w:val="20"/>
          <w:szCs w:val="20"/>
          <w:i w:val="1"/>
          <w:iCs w:val="1"/>
          <w:u w:val="single" w:color="auto"/>
          <w:color w:val="auto"/>
        </w:rPr>
        <w:t>it being provided</w:t>
      </w:r>
      <w:r>
        <w:rPr>
          <w:rFonts w:ascii="Times New Roman" w:cs="Times New Roman" w:eastAsia="Times New Roman" w:hAnsi="Times New Roman"/>
          <w:sz w:val="20"/>
          <w:szCs w:val="20"/>
          <w:color w:val="auto"/>
        </w:rPr>
        <w:t xml:space="preserve"> that for as long as no Bi-monthly Management Period is outstanding, only those dates identified as "Funded Calculation Date" in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shall be considered as a "Calculation Date".</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9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Letter</w:t>
      </w:r>
      <w:r>
        <w:rPr>
          <w:rFonts w:ascii="Times New Roman" w:cs="Times New Roman" w:eastAsia="Times New Roman" w:hAnsi="Times New Roman"/>
          <w:sz w:val="20"/>
          <w:szCs w:val="20"/>
          <w:color w:val="auto"/>
        </w:rPr>
        <w:t>" means any letter substantially in the form of SCHEDULE 13, to be sent by the Agent in accordance with Article 10.3.1(v).</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Collections Advance</w:t>
      </w:r>
      <w:r>
        <w:rPr>
          <w:rFonts w:ascii="Times New Roman" w:cs="Times New Roman" w:eastAsia="Times New Roman" w:hAnsi="Times New Roman"/>
          <w:sz w:val="20"/>
          <w:szCs w:val="20"/>
          <w:color w:val="auto"/>
        </w:rPr>
        <w:t>" means an amount equal to the aggregate amount of the Assignment Costs, as defined in SCHEDULE 16 B.</w:t>
      </w:r>
    </w:p>
    <w:p>
      <w:pPr>
        <w:spacing w:after="0" w:line="202"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Centralising Unit</w:t>
      </w:r>
      <w:r>
        <w:rPr>
          <w:rFonts w:ascii="Times New Roman" w:cs="Times New Roman" w:eastAsia="Times New Roman" w:hAnsi="Times New Roman"/>
          <w:sz w:val="20"/>
          <w:szCs w:val="20"/>
          <w:color w:val="auto"/>
        </w:rPr>
        <w:t>" means DUNLOP TYRES LTD which shall act on behalf of the Sellers in relation to the implementation of the Securitisation Transaction.</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Centralising Unit's Account</w:t>
      </w:r>
      <w:r>
        <w:rPr>
          <w:rFonts w:ascii="Times New Roman" w:cs="Times New Roman" w:eastAsia="Times New Roman" w:hAnsi="Times New Roman"/>
          <w:sz w:val="20"/>
          <w:szCs w:val="20"/>
          <w:color w:val="auto"/>
        </w:rPr>
        <w:t>" means the account number FR76 3148 9000 1000 2420 9337 647 opened by the Centralising Unit in the books of CREDIT AGRICOLE CORPORATE AND INVESTMENT BANK.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10 December 2004.</w:t>
      </w:r>
    </w:p>
    <w:p>
      <w:pPr>
        <w:spacing w:after="0" w:line="189"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Collection Account</w:t>
      </w:r>
      <w:r>
        <w:rPr>
          <w:rFonts w:ascii="Times New Roman" w:cs="Times New Roman" w:eastAsia="Times New Roman" w:hAnsi="Times New Roman"/>
          <w:sz w:val="20"/>
          <w:szCs w:val="20"/>
          <w:color w:val="auto"/>
        </w:rPr>
        <w:t xml:space="preserve">" means any collection account opened in any of the jurisdictions concerned by the Securitisation Transaction held by any Seller, the Purchaser and/or the Italian Issuer and which is governed by and/or subject to the relevant Collection Account Agreement, </w:t>
      </w:r>
      <w:r>
        <w:rPr>
          <w:rFonts w:ascii="Times New Roman" w:cs="Times New Roman" w:eastAsia="Times New Roman" w:hAnsi="Times New Roman"/>
          <w:sz w:val="20"/>
          <w:szCs w:val="20"/>
          <w:i w:val="1"/>
          <w:iCs w:val="1"/>
          <w:u w:val="single" w:color="auto"/>
          <w:color w:val="auto"/>
        </w:rPr>
        <w:t>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being provided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list of the Collection Accounts as of the 2025 Amendment Date is attached in SCHEDULE 18 (</w:t>
      </w:r>
      <w:r>
        <w:rPr>
          <w:rFonts w:ascii="Times New Roman" w:cs="Times New Roman" w:eastAsia="Times New Roman" w:hAnsi="Times New Roman"/>
          <w:sz w:val="20"/>
          <w:szCs w:val="20"/>
          <w:i w:val="1"/>
          <w:iCs w:val="1"/>
          <w:color w:val="auto"/>
        </w:rPr>
        <w:t>List of the Collection Accounts (as of the 2025 Amendment Date)</w:t>
      </w: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Collection Account Agreement</w:t>
      </w:r>
      <w:r>
        <w:rPr>
          <w:rFonts w:ascii="Times New Roman" w:cs="Times New Roman" w:eastAsia="Times New Roman" w:hAnsi="Times New Roman"/>
          <w:sz w:val="20"/>
          <w:szCs w:val="20"/>
          <w:color w:val="auto"/>
        </w:rPr>
        <w:t xml:space="preserve">" means any of the agreements to which,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Purchaser and the relevant Seller are parties and relating to the collection of the Sold Receivables and the related security agreements over the balance of the relevant Collection Account governed by the respective laws of the jurisdiction in which such Collection Account is located (including any deeds of charge executed between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Purchaser and the UK Seller and any </w:t>
      </w:r>
      <w:r>
        <w:rPr>
          <w:rFonts w:ascii="Times New Roman" w:cs="Times New Roman" w:eastAsia="Times New Roman" w:hAnsi="Times New Roman"/>
          <w:sz w:val="20"/>
          <w:szCs w:val="20"/>
          <w:i w:val="1"/>
          <w:iCs w:val="1"/>
          <w:color w:val="auto"/>
        </w:rPr>
        <w:t>compte d'affectation spéciale</w:t>
      </w:r>
      <w:r>
        <w:rPr>
          <w:rFonts w:ascii="Times New Roman" w:cs="Times New Roman" w:eastAsia="Times New Roman" w:hAnsi="Times New Roman"/>
          <w:sz w:val="20"/>
          <w:szCs w:val="20"/>
          <w:color w:val="auto"/>
        </w:rPr>
        <w:t xml:space="preserve"> entered into by the French Seller), as amended and restated from time to time.</w:t>
      </w:r>
    </w:p>
    <w:p>
      <w:pPr>
        <w:spacing w:after="0" w:line="69"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Collections for Set-off</w:t>
      </w:r>
      <w:r>
        <w:rPr>
          <w:rFonts w:ascii="Times New Roman" w:cs="Times New Roman" w:eastAsia="Times New Roman" w:hAnsi="Times New Roman"/>
          <w:sz w:val="20"/>
          <w:szCs w:val="20"/>
          <w:color w:val="auto"/>
        </w:rPr>
        <w:t>" means, with respect to any Seller and with respect to any Funded Settlement Date Reference Period, Intermediary Settlement Date Reference Period or Monthly Reference Period, the sum of the Actual Collections received by such Seller and of the Deemed Collections deemed to have been received by such Seller during such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Collection Mandate</w:t>
      </w:r>
      <w:r>
        <w:rPr>
          <w:rFonts w:ascii="Times New Roman" w:cs="Times New Roman" w:eastAsia="Times New Roman" w:hAnsi="Times New Roman"/>
          <w:sz w:val="20"/>
          <w:szCs w:val="20"/>
          <w:color w:val="auto"/>
        </w:rPr>
        <w:t>" means the mandate granted by the Purchaser to each Seller pursuant to Article 19.1.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Collection Rating Trigger Event</w:t>
      </w:r>
      <w:r>
        <w:rPr>
          <w:rFonts w:ascii="Times New Roman" w:cs="Times New Roman" w:eastAsia="Times New Roman" w:hAnsi="Times New Roman"/>
          <w:sz w:val="20"/>
          <w:szCs w:val="20"/>
          <w:color w:val="auto"/>
        </w:rPr>
        <w:t>" means the occurrence of any of the following events:</w:t>
      </w:r>
    </w:p>
    <w:p>
      <w:pPr>
        <w:spacing w:after="0" w:line="193" w:lineRule="exact"/>
        <w:rPr>
          <w:sz w:val="20"/>
          <w:szCs w:val="20"/>
          <w:color w:val="auto"/>
        </w:rPr>
      </w:pPr>
    </w:p>
    <w:p>
      <w:pPr>
        <w:ind w:left="280" w:hanging="272"/>
        <w:spacing w:after="0"/>
        <w:tabs>
          <w:tab w:leader="none" w:pos="28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rating assigned by Moody's to GOODYEAR and known as the "LT Corp Family Rating" becomes B1 or lower;</w:t>
      </w:r>
    </w:p>
    <w:p>
      <w:pPr>
        <w:spacing w:after="0" w:line="188" w:lineRule="exact"/>
        <w:rPr>
          <w:rFonts w:ascii="Times New Roman" w:cs="Times New Roman" w:eastAsia="Times New Roman" w:hAnsi="Times New Roman"/>
          <w:sz w:val="20"/>
          <w:szCs w:val="20"/>
          <w:color w:val="auto"/>
        </w:rPr>
      </w:pPr>
    </w:p>
    <w:p>
      <w:pPr>
        <w:ind w:left="500" w:hanging="492"/>
        <w:spacing w:after="0" w:line="353" w:lineRule="auto"/>
        <w:tabs>
          <w:tab w:leader="none" w:pos="304"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rating assigned by Standard &amp; Poor's to GOODYEAR and known as the "LT Foreign Issuer Credit Rating" becomes B+ or lower.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Comfort Letter</w:t>
      </w:r>
      <w:r>
        <w:rPr>
          <w:rFonts w:ascii="Times New Roman" w:cs="Times New Roman" w:eastAsia="Times New Roman" w:hAnsi="Times New Roman"/>
          <w:sz w:val="20"/>
          <w:szCs w:val="20"/>
          <w:color w:val="auto"/>
        </w:rPr>
        <w:t>" means any of the comfort letters granted by GOODYEAR EUROPE BV in the form agreed between the Parties.</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9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Discount</w:t>
      </w:r>
      <w:r>
        <w:rPr>
          <w:rFonts w:ascii="Times New Roman" w:cs="Times New Roman" w:eastAsia="Times New Roman" w:hAnsi="Times New Roman"/>
          <w:sz w:val="20"/>
          <w:szCs w:val="20"/>
          <w:color w:val="auto"/>
        </w:rPr>
        <w:t>" means, in relation to any Sold Receivable, any decrease in the face value of such receivable resulting from the granting of a discount for prompt payment, for quantity or as fidelity premium.</w:t>
      </w:r>
    </w:p>
    <w:p>
      <w:pPr>
        <w:spacing w:after="0" w:line="4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the commitment of the Purchaser to purchase Ongoing Purchasable Receivables and Remaining Purchasable Receivables from the Sellers, in accordance with this Agreement and the Receivables Purchase Agreements, subject to the conditions precedent and conditions subsequent set forth hereunder and thereunder.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Expiry Date</w:t>
      </w:r>
      <w:r>
        <w:rPr>
          <w:rFonts w:ascii="Times New Roman" w:cs="Times New Roman" w:eastAsia="Times New Roman" w:hAnsi="Times New Roman"/>
          <w:sz w:val="20"/>
          <w:szCs w:val="20"/>
          <w:color w:val="auto"/>
        </w:rPr>
        <w:t>" means the earliest of the following dates:</w:t>
      </w:r>
    </w:p>
    <w:p>
      <w:pPr>
        <w:spacing w:after="0" w:line="193" w:lineRule="exact"/>
        <w:rPr>
          <w:sz w:val="20"/>
          <w:szCs w:val="20"/>
          <w:color w:val="auto"/>
        </w:rPr>
      </w:pPr>
    </w:p>
    <w:p>
      <w:pPr>
        <w:ind w:left="640" w:hanging="632"/>
        <w:spacing w:after="0" w:line="353" w:lineRule="auto"/>
        <w:tabs>
          <w:tab w:leader="none" w:pos="425"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Commitment Non-Renewal in relation to all Liquidity Agreements and all Fund Subscription Agreements, the expiry date of all such Liquidity Agreements and Fund Subscription Agreements;</w:t>
      </w:r>
    </w:p>
    <w:p>
      <w:pPr>
        <w:spacing w:after="0" w:line="5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Funded Settlement Date of October 2032 (included);</w:t>
      </w:r>
    </w:p>
    <w:p>
      <w:pPr>
        <w:spacing w:after="0" w:line="202"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Commitment is terminated in accordance with Articles 6.1.2, 11, 12 and 13; and</w:t>
      </w:r>
    </w:p>
    <w:p>
      <w:pPr>
        <w:spacing w:after="0" w:line="188"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Centralising Unit requests the termination of the Replenishment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Non-Renewal</w:t>
      </w:r>
      <w:r>
        <w:rPr>
          <w:rFonts w:ascii="Times New Roman" w:cs="Times New Roman" w:eastAsia="Times New Roman" w:hAnsi="Times New Roman"/>
          <w:sz w:val="20"/>
          <w:szCs w:val="20"/>
          <w:color w:val="auto"/>
        </w:rPr>
        <w:t>" means either (i) a Liquidity Commitment Non-Renewal or a (ii) Subscription Commitment Non-Renewal.</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Conformity Warranties</w:t>
      </w:r>
      <w:r>
        <w:rPr>
          <w:rFonts w:ascii="Times New Roman" w:cs="Times New Roman" w:eastAsia="Times New Roman" w:hAnsi="Times New Roman"/>
          <w:sz w:val="20"/>
          <w:szCs w:val="20"/>
          <w:color w:val="auto"/>
        </w:rPr>
        <w:t>" means the warranties given by each Seller to the Purchaser in accordance with Article 17 (</w:t>
      </w:r>
      <w:r>
        <w:rPr>
          <w:rFonts w:ascii="Times New Roman" w:cs="Times New Roman" w:eastAsia="Times New Roman" w:hAnsi="Times New Roman"/>
          <w:sz w:val="20"/>
          <w:szCs w:val="20"/>
          <w:i w:val="1"/>
          <w:iCs w:val="1"/>
          <w:color w:val="auto"/>
        </w:rPr>
        <w:t>Conformity Warranties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 Ongoing Purchasable Receivable and Remaining Purchasable Receivables</w:t>
      </w:r>
      <w:r>
        <w:rPr>
          <w:rFonts w:ascii="Times New Roman" w:cs="Times New Roman" w:eastAsia="Times New Roman" w:hAnsi="Times New Roman"/>
          <w:sz w:val="20"/>
          <w:szCs w:val="20"/>
          <w:color w:val="auto"/>
        </w:rPr>
        <w:t>).</w:t>
      </w:r>
    </w:p>
    <w:p>
      <w:pPr>
        <w:spacing w:after="0" w:line="45"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AGRICOLE CORPORATE AND INVESTMENT BANK</w:t>
      </w:r>
      <w:r>
        <w:rPr>
          <w:rFonts w:ascii="Times New Roman" w:cs="Times New Roman" w:eastAsia="Times New Roman" w:hAnsi="Times New Roman"/>
          <w:sz w:val="20"/>
          <w:szCs w:val="20"/>
          <w:color w:val="auto"/>
        </w:rPr>
        <w:t>" means CREDIT AGRICOLE CORPORATE AND INVESTMENT BANK, a company incorporated under French law and authorised as a credit institution (</w:t>
      </w:r>
      <w:r>
        <w:rPr>
          <w:rFonts w:ascii="Times New Roman" w:cs="Times New Roman" w:eastAsia="Times New Roman" w:hAnsi="Times New Roman"/>
          <w:sz w:val="20"/>
          <w:szCs w:val="20"/>
          <w:i w:val="1"/>
          <w:iCs w:val="1"/>
          <w:color w:val="auto"/>
        </w:rPr>
        <w:t>établissement de crédit</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 Nanterre under the number 304 187 70.</w:t>
      </w:r>
    </w:p>
    <w:p>
      <w:pPr>
        <w:spacing w:after="0" w:line="64"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and Collection Policies</w:t>
      </w:r>
      <w:r>
        <w:rPr>
          <w:rFonts w:ascii="Times New Roman" w:cs="Times New Roman" w:eastAsia="Times New Roman" w:hAnsi="Times New Roman"/>
          <w:sz w:val="20"/>
          <w:szCs w:val="20"/>
          <w:color w:val="auto"/>
        </w:rPr>
        <w:t>" means the credit, servicing and collection procedures adopted by the Sellers, as annexed in SCHEDULE 20 as updated from time to time (as the case may be in accordance with Article 12.1.2(ii)).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Impaired Debtor</w:t>
      </w:r>
      <w:r>
        <w:rPr>
          <w:rFonts w:ascii="Times New Roman" w:cs="Times New Roman" w:eastAsia="Times New Roman" w:hAnsi="Times New Roman"/>
          <w:sz w:val="20"/>
          <w:szCs w:val="20"/>
          <w:color w:val="auto"/>
        </w:rPr>
        <w:t>" means a Debtor which:</w:t>
      </w:r>
    </w:p>
    <w:p>
      <w:pPr>
        <w:spacing w:after="0" w:line="193" w:lineRule="exact"/>
        <w:rPr>
          <w:sz w:val="20"/>
          <w:szCs w:val="20"/>
          <w:color w:val="auto"/>
        </w:rPr>
      </w:pPr>
    </w:p>
    <w:p>
      <w:pPr>
        <w:ind w:left="2140" w:hanging="346"/>
        <w:spacing w:after="0"/>
        <w:tabs>
          <w:tab w:leader="none" w:pos="214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subject to Insolvency Proceedings; or</w:t>
      </w:r>
    </w:p>
    <w:p>
      <w:pPr>
        <w:spacing w:after="0" w:line="188" w:lineRule="exact"/>
        <w:rPr>
          <w:rFonts w:ascii="Times New Roman" w:cs="Times New Roman" w:eastAsia="Times New Roman" w:hAnsi="Times New Roman"/>
          <w:sz w:val="20"/>
          <w:szCs w:val="20"/>
          <w:color w:val="auto"/>
        </w:rPr>
      </w:pPr>
    </w:p>
    <w:p>
      <w:pPr>
        <w:jc w:val="both"/>
        <w:ind w:left="2160" w:hanging="366"/>
        <w:spacing w:after="0" w:line="333" w:lineRule="auto"/>
        <w:tabs>
          <w:tab w:leader="none" w:pos="2154"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Insolvency Proceedings or had a court granting its creditors a final non-appealable right of enforcement or material damages as a result of a missed payment, in each case within three years prior to the invoicing date of the relevant Sold Receivable or has undergone a debt restructuring process with regard to its non-performing exposures within</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9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three years prior to the date of the Transfer Deed relating to such Sold Receivable.</w:t>
      </w:r>
    </w:p>
    <w:p>
      <w:pPr>
        <w:spacing w:after="0" w:line="18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Note</w:t>
      </w:r>
      <w:r>
        <w:rPr>
          <w:rFonts w:ascii="Times New Roman" w:cs="Times New Roman" w:eastAsia="Times New Roman" w:hAnsi="Times New Roman"/>
          <w:sz w:val="20"/>
          <w:szCs w:val="20"/>
          <w:color w:val="auto"/>
        </w:rPr>
        <w:t>" means, in relation to any Sold Receivable, any decrease in the face value of such receivable or any cancellation of such receivable granted by any Seller in accordance with its Credit and Collection Policies, other than a Credit Note over Snow Tyres and a credit note resulting from Year End Rebates.</w:t>
      </w:r>
    </w:p>
    <w:p>
      <w:pPr>
        <w:spacing w:after="0" w:line="5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Note over Snow Tyres</w:t>
      </w:r>
      <w:r>
        <w:rPr>
          <w:rFonts w:ascii="Times New Roman" w:cs="Times New Roman" w:eastAsia="Times New Roman" w:hAnsi="Times New Roman"/>
          <w:sz w:val="20"/>
          <w:szCs w:val="20"/>
          <w:color w:val="auto"/>
        </w:rPr>
        <w:t>" means, in relation to any Sold Receivable, any decrease in the face value of such receivable or any cancellation of such receivable granted by any Seller (i) in accordance with its respective Credit and Collection Policies and (ii) to a customer subsequent to the taking back by the said Seller of snow tyres.</w:t>
      </w:r>
    </w:p>
    <w:p>
      <w:pPr>
        <w:spacing w:after="0" w:line="62"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Account</w:t>
      </w:r>
      <w:r>
        <w:rPr>
          <w:rFonts w:ascii="Times New Roman" w:cs="Times New Roman" w:eastAsia="Times New Roman" w:hAnsi="Times New Roman"/>
          <w:sz w:val="20"/>
          <w:szCs w:val="20"/>
          <w:color w:val="auto"/>
        </w:rPr>
        <w:t>" means the current account relationship established between the Centralising Unit, acting in the name and on behalf of the Sellers and the Purchaser pursuant to the provisions of Article 5 (</w:t>
      </w:r>
      <w:r>
        <w:rPr>
          <w:rFonts w:ascii="Times New Roman" w:cs="Times New Roman" w:eastAsia="Times New Roman" w:hAnsi="Times New Roman"/>
          <w:sz w:val="20"/>
          <w:szCs w:val="20"/>
          <w:i w:val="1"/>
          <w:iCs w:val="1"/>
          <w:color w:val="auto"/>
        </w:rPr>
        <w:t>Current Account</w:t>
      </w:r>
      <w:r>
        <w:rPr>
          <w:rFonts w:ascii="Times New Roman" w:cs="Times New Roman" w:eastAsia="Times New Roman" w:hAnsi="Times New Roman"/>
          <w:sz w:val="20"/>
          <w:szCs w:val="20"/>
          <w:color w:val="auto"/>
        </w:rPr>
        <w:t>).</w:t>
      </w:r>
    </w:p>
    <w:p>
      <w:pPr>
        <w:spacing w:after="0" w:line="58"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Custodian</w:t>
      </w:r>
      <w:r>
        <w:rPr>
          <w:rFonts w:ascii="Times New Roman" w:cs="Times New Roman" w:eastAsia="Times New Roman" w:hAnsi="Times New Roman"/>
          <w:sz w:val="20"/>
          <w:szCs w:val="20"/>
          <w:color w:val="auto"/>
        </w:rPr>
        <w:t>" means CREDIT AGRICOLE CORPORATE AND INVESTMENT BANK, acting in its capacity as Custodian (</w:t>
      </w:r>
      <w:r>
        <w:rPr>
          <w:rFonts w:ascii="Times New Roman" w:cs="Times New Roman" w:eastAsia="Times New Roman" w:hAnsi="Times New Roman"/>
          <w:sz w:val="20"/>
          <w:szCs w:val="20"/>
          <w:i w:val="1"/>
          <w:iCs w:val="1"/>
          <w:color w:val="auto"/>
        </w:rPr>
        <w:t>dépositaire</w:t>
      </w:r>
      <w:r>
        <w:rPr>
          <w:rFonts w:ascii="Times New Roman" w:cs="Times New Roman" w:eastAsia="Times New Roman" w:hAnsi="Times New Roman"/>
          <w:sz w:val="20"/>
          <w:szCs w:val="20"/>
          <w:color w:val="auto"/>
        </w:rPr>
        <w:t>) of the assets of the Fund within the meaning of articles L. 214-175-2 to L. 214-175-8 of the French Monetary and Financial Code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monétaire et financier</w:t>
      </w:r>
      <w:r>
        <w:rPr>
          <w:rFonts w:ascii="Times New Roman" w:cs="Times New Roman" w:eastAsia="Times New Roman" w:hAnsi="Times New Roman"/>
          <w:sz w:val="20"/>
          <w:szCs w:val="20"/>
          <w:color w:val="auto"/>
        </w:rPr>
        <w:t>).</w:t>
      </w:r>
    </w:p>
    <w:p>
      <w:pPr>
        <w:spacing w:after="0" w:line="6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Custodian Agreement</w:t>
      </w:r>
      <w:r>
        <w:rPr>
          <w:rFonts w:ascii="Times New Roman" w:cs="Times New Roman" w:eastAsia="Times New Roman" w:hAnsi="Times New Roman"/>
          <w:sz w:val="20"/>
          <w:szCs w:val="20"/>
          <w:color w:val="auto"/>
        </w:rPr>
        <w:t>" means the custodian agreement entered into on or about the 2021 Amendment Date between the Management Company and the Custodian.</w:t>
      </w:r>
    </w:p>
    <w:p>
      <w:pPr>
        <w:spacing w:after="0" w:line="4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 - Suppliers outstanding</w:t>
      </w:r>
      <w:r>
        <w:rPr>
          <w:rFonts w:ascii="Times New Roman" w:cs="Times New Roman" w:eastAsia="Times New Roman" w:hAnsi="Times New Roman"/>
          <w:sz w:val="20"/>
          <w:szCs w:val="20"/>
          <w:color w:val="auto"/>
        </w:rPr>
        <w:t>" means the lowest of the two following amounts: (i) the amount of Eligible Receivables hold by the Sellers against Debtors that are also suppliers of the Sellers, such as declared in the relevant Assessment Report and (ii) the amount of the debt of the Sellers towards the Debtors that are also suppliers of the Sellers, such as declared in the relevant Assessment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DAC 6</w:t>
      </w:r>
      <w:r>
        <w:rPr>
          <w:rFonts w:ascii="Times New Roman" w:cs="Times New Roman" w:eastAsia="Times New Roman" w:hAnsi="Times New Roman"/>
          <w:sz w:val="20"/>
          <w:szCs w:val="20"/>
          <w:color w:val="auto"/>
        </w:rPr>
        <w:t>" means the Council Directive (EU) of 25 May 2018 (2018/822/UE) amending Directive 2011/16/EU.</w:t>
      </w:r>
    </w:p>
    <w:p>
      <w:pPr>
        <w:spacing w:after="0" w:line="189"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Escrow Agent</w:t>
      </w:r>
      <w:r>
        <w:rPr>
          <w:rFonts w:ascii="Times New Roman" w:cs="Times New Roman" w:eastAsia="Times New Roman" w:hAnsi="Times New Roman"/>
          <w:sz w:val="20"/>
          <w:szCs w:val="20"/>
          <w:color w:val="auto"/>
        </w:rPr>
        <w:t>" means Dr. Wolfgang Hanf or any substitute appointed in accordance with the provisions of the Data Escrow Agreement.</w:t>
      </w:r>
    </w:p>
    <w:p>
      <w:pPr>
        <w:spacing w:after="0" w:line="58"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Escrow Agreement</w:t>
      </w:r>
      <w:r>
        <w:rPr>
          <w:rFonts w:ascii="Times New Roman" w:cs="Times New Roman" w:eastAsia="Times New Roman" w:hAnsi="Times New Roman"/>
          <w:sz w:val="20"/>
          <w:szCs w:val="20"/>
          <w:color w:val="auto"/>
        </w:rPr>
        <w:t>" means (i) the agreement called "</w:t>
      </w:r>
      <w:r>
        <w:rPr>
          <w:rFonts w:ascii="Times New Roman" w:cs="Times New Roman" w:eastAsia="Times New Roman" w:hAnsi="Times New Roman"/>
          <w:sz w:val="20"/>
          <w:szCs w:val="20"/>
          <w:i w:val="1"/>
          <w:iCs w:val="1"/>
          <w:color w:val="auto"/>
        </w:rPr>
        <w:t>Data Escrow Agreement</w:t>
      </w:r>
      <w:r>
        <w:rPr>
          <w:rFonts w:ascii="Times New Roman" w:cs="Times New Roman" w:eastAsia="Times New Roman" w:hAnsi="Times New Roman"/>
          <w:sz w:val="20"/>
          <w:szCs w:val="20"/>
          <w:color w:val="auto"/>
        </w:rPr>
        <w:t>" entered into on 19 December 2018 between the Sellers, the Centralising Unit, the Purchaser, the Agent and the Data Escrow Agent or (ii) any substitute agreement to be entered into upon the occurrence of a Collection Rating Trigger Event pursuant to the terms of such Data Escrow Agreement or as otherwise agreed by the parties thereto, in each case as amended, supplemented or amended and restated from time to time.</w:t>
      </w:r>
    </w:p>
    <w:p>
      <w:pPr>
        <w:spacing w:after="0" w:line="6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w:t>
      </w:r>
      <w:r>
        <w:rPr>
          <w:rFonts w:ascii="Times New Roman" w:cs="Times New Roman" w:eastAsia="Times New Roman" w:hAnsi="Times New Roman"/>
          <w:sz w:val="20"/>
          <w:szCs w:val="20"/>
          <w:color w:val="auto"/>
        </w:rPr>
        <w:t>" means, in relation to any Sold Receivable or Refinanced Sold Receivable, the person obligated to make payment of the underlying trade receivable.</w:t>
      </w:r>
    </w:p>
    <w:p>
      <w:pPr>
        <w:spacing w:after="0" w:line="5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Deemed Collections</w:t>
      </w:r>
      <w:r>
        <w:rPr>
          <w:rFonts w:ascii="Times New Roman" w:cs="Times New Roman" w:eastAsia="Times New Roman" w:hAnsi="Times New Roman"/>
          <w:sz w:val="20"/>
          <w:szCs w:val="20"/>
          <w:color w:val="auto"/>
        </w:rPr>
        <w:t>" means any amount that any Seller is deemed to have received in the circumstances set out in Article 26 (</w:t>
      </w:r>
      <w:r>
        <w:rPr>
          <w:rFonts w:ascii="Times New Roman" w:cs="Times New Roman" w:eastAsia="Times New Roman" w:hAnsi="Times New Roman"/>
          <w:sz w:val="20"/>
          <w:szCs w:val="20"/>
          <w:i w:val="1"/>
          <w:iCs w:val="1"/>
          <w:color w:val="auto"/>
        </w:rPr>
        <w:t>Deemed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Collections</w:t>
      </w:r>
      <w:r>
        <w:rPr>
          <w:rFonts w:ascii="Times New Roman" w:cs="Times New Roman" w:eastAsia="Times New Roman" w:hAnsi="Times New Roman"/>
          <w:sz w:val="20"/>
          <w:szCs w:val="20"/>
          <w:color w:val="auto"/>
        </w:rPr>
        <w:t>), and notably any Deemed Extinguished Receivables.</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Deemed Extinguished Receivables</w:t>
      </w:r>
      <w:r>
        <w:rPr>
          <w:rFonts w:ascii="Times New Roman" w:cs="Times New Roman" w:eastAsia="Times New Roman" w:hAnsi="Times New Roman"/>
          <w:sz w:val="20"/>
          <w:szCs w:val="20"/>
          <w:color w:val="auto"/>
        </w:rPr>
        <w:t>" has the meaning set forth in Article 26 (</w:t>
      </w:r>
      <w:r>
        <w:rPr>
          <w:rFonts w:ascii="Times New Roman" w:cs="Times New Roman" w:eastAsia="Times New Roman" w:hAnsi="Times New Roman"/>
          <w:sz w:val="20"/>
          <w:szCs w:val="20"/>
          <w:i w:val="1"/>
          <w:iCs w:val="1"/>
          <w:color w:val="auto"/>
        </w:rPr>
        <w:t>Deemed Collections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Percentage</w:t>
      </w:r>
      <w:r>
        <w:rPr>
          <w:rFonts w:ascii="Times New Roman" w:cs="Times New Roman" w:eastAsia="Times New Roman" w:hAnsi="Times New Roman"/>
          <w:sz w:val="20"/>
          <w:szCs w:val="20"/>
          <w:color w:val="auto"/>
        </w:rPr>
        <w:t>" means on any Assessment Date preceding a Funded Settlement Date, the ratio expressed as a percentage of:</w:t>
      </w:r>
    </w:p>
    <w:p>
      <w:pPr>
        <w:spacing w:after="0" w:line="193" w:lineRule="exact"/>
        <w:rPr>
          <w:sz w:val="20"/>
          <w:szCs w:val="20"/>
          <w:color w:val="auto"/>
        </w:rPr>
      </w:pPr>
    </w:p>
    <w:p>
      <w:pPr>
        <w:ind w:left="640" w:hanging="632"/>
        <w:spacing w:after="0" w:line="360" w:lineRule="auto"/>
        <w:tabs>
          <w:tab w:leader="none" w:pos="396"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Outstanding Amount of Defaulted Receivables and Doubtful Receivables that were neither Defaulted Receivables nor Doubtful Receivables as of the Assessment Date relating to the preceding Funded Settlement Date and (b) the Outstanding Amount of Refinanced Defaulted Receivables and Refinanced Doubtful Receivables that were neither Refinanced Defaulted Receivables nor Refinanced Doubtful Receivables as of the Assessment Date relating to such preceding Funded Settlement Date; and</w:t>
      </w:r>
    </w:p>
    <w:p>
      <w:pPr>
        <w:spacing w:after="0" w:line="52" w:lineRule="exact"/>
        <w:rPr>
          <w:rFonts w:ascii="Times New Roman" w:cs="Times New Roman" w:eastAsia="Times New Roman" w:hAnsi="Times New Roman"/>
          <w:sz w:val="19"/>
          <w:szCs w:val="19"/>
          <w:color w:val="auto"/>
        </w:rPr>
      </w:pPr>
    </w:p>
    <w:p>
      <w:pPr>
        <w:ind w:left="640" w:right="20" w:hanging="632"/>
        <w:spacing w:after="0" w:line="338" w:lineRule="auto"/>
        <w:tabs>
          <w:tab w:leader="none" w:pos="527"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the Sold Receivables purchased by the Purchaser and the Outstanding Amount of the Refinanced Sold Receivables purchased by the Italian Issuer, in each case between the 6th Funded Settlement Date (excluded) preceding such Funded Settlement Date and the 5th Funded Settlement Date (included) preceding such Funded Settlement Date.</w:t>
      </w:r>
    </w:p>
    <w:p>
      <w:pPr>
        <w:spacing w:after="0" w:line="77"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Defaulted Receivable</w:t>
      </w:r>
      <w:r>
        <w:rPr>
          <w:rFonts w:ascii="Times New Roman" w:cs="Times New Roman" w:eastAsia="Times New Roman" w:hAnsi="Times New Roman"/>
          <w:sz w:val="20"/>
          <w:szCs w:val="20"/>
          <w:color w:val="auto"/>
        </w:rPr>
        <w:t>" means, on any Calculation Date, any Sold Receivable which, as of the preceding Assessment Date, is not a Doubtful Receivable transferred back to the Sellers and which has any of the following characteristics:</w:t>
      </w:r>
    </w:p>
    <w:p>
      <w:pPr>
        <w:spacing w:after="0" w:line="49" w:lineRule="exact"/>
        <w:rPr>
          <w:sz w:val="20"/>
          <w:szCs w:val="20"/>
          <w:color w:val="auto"/>
        </w:rPr>
      </w:pPr>
    </w:p>
    <w:p>
      <w:pPr>
        <w:ind w:left="640" w:hanging="632"/>
        <w:spacing w:after="0" w:line="353" w:lineRule="auto"/>
        <w:tabs>
          <w:tab w:leader="none" w:pos="525"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remains unpaid by its relevant Debtor for more than ninety (90) days after the Maturity Date of such Sold Receivable;</w:t>
      </w:r>
    </w:p>
    <w:p>
      <w:pPr>
        <w:spacing w:after="0" w:line="52" w:lineRule="exact"/>
        <w:rPr>
          <w:rFonts w:ascii="Times New Roman" w:cs="Times New Roman" w:eastAsia="Times New Roman" w:hAnsi="Times New Roman"/>
          <w:sz w:val="20"/>
          <w:szCs w:val="20"/>
          <w:color w:val="auto"/>
        </w:rPr>
      </w:pPr>
    </w:p>
    <w:p>
      <w:pPr>
        <w:ind w:left="640" w:hanging="632"/>
        <w:spacing w:after="0" w:line="353" w:lineRule="auto"/>
        <w:tabs>
          <w:tab w:leader="none" w:pos="517"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is owed by a Debtor which is subject to Insolvency Proceedings and has not been counted under paragraph (i) above; or</w:t>
      </w:r>
    </w:p>
    <w:p>
      <w:pPr>
        <w:spacing w:after="0" w:line="65" w:lineRule="exact"/>
        <w:rPr>
          <w:rFonts w:ascii="Times New Roman" w:cs="Times New Roman" w:eastAsia="Times New Roman" w:hAnsi="Times New Roman"/>
          <w:sz w:val="20"/>
          <w:szCs w:val="20"/>
          <w:color w:val="auto"/>
        </w:rPr>
      </w:pPr>
    </w:p>
    <w:p>
      <w:pPr>
        <w:ind w:left="640" w:hanging="632"/>
        <w:spacing w:after="0" w:line="353" w:lineRule="auto"/>
        <w:tabs>
          <w:tab w:leader="none" w:pos="499"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has been or, under the relevant Seller's Credit and Collection Policies, would have been written off as uncollectible and has not been counted under paragraph (i) or (ii) above.</w:t>
      </w:r>
    </w:p>
    <w:p>
      <w:pPr>
        <w:spacing w:after="0" w:line="48"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Deferred Purchase Price</w:t>
      </w:r>
      <w:r>
        <w:rPr>
          <w:rFonts w:ascii="Times New Roman" w:cs="Times New Roman" w:eastAsia="Times New Roman" w:hAnsi="Times New Roman"/>
          <w:sz w:val="20"/>
          <w:szCs w:val="20"/>
          <w:color w:val="auto"/>
        </w:rPr>
        <w:t>" means the relevant amount determined in accordance with the formula set forth in schedule 3 of the French Receivables Purchase Agreement, in schedule 4 of the German Receivables Purchase Agreement, in schedule 3 of the UK Receivables Purchase Agreement, and in schedule 3 of the Spanish Receivables Purchase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Delinquency Percentage</w:t>
      </w:r>
      <w:r>
        <w:rPr>
          <w:rFonts w:ascii="Times New Roman" w:cs="Times New Roman" w:eastAsia="Times New Roman" w:hAnsi="Times New Roman"/>
          <w:sz w:val="20"/>
          <w:szCs w:val="20"/>
          <w:color w:val="auto"/>
        </w:rPr>
        <w:t>" means on any Assessment Date preceding a Funded Settlement Date, the ratio expressed as a percentage of:</w:t>
      </w:r>
    </w:p>
    <w:p>
      <w:pPr>
        <w:spacing w:after="0" w:line="193" w:lineRule="exact"/>
        <w:rPr>
          <w:sz w:val="20"/>
          <w:szCs w:val="20"/>
          <w:color w:val="auto"/>
        </w:rPr>
      </w:pPr>
    </w:p>
    <w:p>
      <w:pPr>
        <w:ind w:left="640" w:hanging="632"/>
        <w:spacing w:after="0" w:line="333" w:lineRule="auto"/>
        <w:tabs>
          <w:tab w:leader="none" w:pos="417"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Outstanding Amount of Delinquent Receivables and Doubtful Receivables that were neither Delinquent Receivables nor Doubtful Receivables as of the Assessment Date relating to the preceding Funded Settlement Date and (b) the Outstanding Amount of Refinanced Delinquent Receivables and Refinanced Doubtful Receivables that were neither Refinanced Delinquent Receivables nor Refinanced Doubtful Receivables as of the Assessment Date relating to the preceding Funded Settlement Date; and</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95" w:lineRule="exact"/>
        <w:rPr>
          <w:sz w:val="20"/>
          <w:szCs w:val="20"/>
          <w:color w:val="auto"/>
        </w:rPr>
      </w:pPr>
    </w:p>
    <w:p>
      <w:pPr>
        <w:ind w:left="640" w:hanging="632"/>
        <w:spacing w:after="0" w:line="338" w:lineRule="auto"/>
        <w:tabs>
          <w:tab w:leader="none" w:pos="527"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the Sold Receivables purchased by the Purchaser and the Outstanding Amount of the Refinanced Sold Receivables purchased by the Italian Issuer, in each case between the 5th Funded Settlement Date (excluded) before such Funded Settlement Date and the 4th Funded Settlement Date (included) before such Funded Settlement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Delinquent Receivable</w:t>
      </w:r>
      <w:r>
        <w:rPr>
          <w:rFonts w:ascii="Times New Roman" w:cs="Times New Roman" w:eastAsia="Times New Roman" w:hAnsi="Times New Roman"/>
          <w:sz w:val="20"/>
          <w:szCs w:val="20"/>
          <w:color w:val="auto"/>
        </w:rPr>
        <w:t>" means, on any Assessment Date, any Sold Receivable which is not a Doubtful Receivable transferred back to the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Sellers and which has any of the following characteristics:</w:t>
      </w:r>
    </w:p>
    <w:p>
      <w:pPr>
        <w:spacing w:after="0" w:line="189" w:lineRule="exact"/>
        <w:rPr>
          <w:sz w:val="20"/>
          <w:szCs w:val="20"/>
          <w:color w:val="auto"/>
        </w:rPr>
      </w:pPr>
    </w:p>
    <w:p>
      <w:pPr>
        <w:ind w:left="640" w:hanging="632"/>
        <w:spacing w:after="0" w:line="353" w:lineRule="auto"/>
        <w:tabs>
          <w:tab w:leader="none" w:pos="542"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remains unpaid by its relevant Debtor for more than sixty (60) days after the Maturity Date of such Sold Receivable;</w:t>
      </w:r>
    </w:p>
    <w:p>
      <w:pPr>
        <w:spacing w:after="0" w:line="52" w:lineRule="exact"/>
        <w:rPr>
          <w:rFonts w:ascii="Times New Roman" w:cs="Times New Roman" w:eastAsia="Times New Roman" w:hAnsi="Times New Roman"/>
          <w:sz w:val="20"/>
          <w:szCs w:val="20"/>
          <w:color w:val="auto"/>
        </w:rPr>
      </w:pPr>
    </w:p>
    <w:p>
      <w:pPr>
        <w:ind w:left="640" w:hanging="632"/>
        <w:spacing w:after="0" w:line="353" w:lineRule="auto"/>
        <w:tabs>
          <w:tab w:leader="none" w:pos="517"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is owed by a Debtor which is subject to Insolvency Proceedings and has not been counted under paragraph (i) above; or</w:t>
      </w:r>
    </w:p>
    <w:p>
      <w:pPr>
        <w:spacing w:after="0" w:line="65" w:lineRule="exact"/>
        <w:rPr>
          <w:rFonts w:ascii="Times New Roman" w:cs="Times New Roman" w:eastAsia="Times New Roman" w:hAnsi="Times New Roman"/>
          <w:sz w:val="20"/>
          <w:szCs w:val="20"/>
          <w:color w:val="auto"/>
        </w:rPr>
      </w:pPr>
    </w:p>
    <w:p>
      <w:pPr>
        <w:ind w:left="640" w:hanging="632"/>
        <w:spacing w:after="0" w:line="353" w:lineRule="auto"/>
        <w:tabs>
          <w:tab w:leader="none" w:pos="499"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has been or, under the relevant Seller's Credit and Collection Policies, would have been written off as uncollectible and has not been counted under paragraph (i) or (ii) above.</w:t>
      </w:r>
    </w:p>
    <w:p>
      <w:pPr>
        <w:spacing w:after="0" w:line="48"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Fee</w:t>
      </w:r>
      <w:r>
        <w:rPr>
          <w:rFonts w:ascii="Times New Roman" w:cs="Times New Roman" w:eastAsia="Times New Roman" w:hAnsi="Times New Roman"/>
          <w:sz w:val="20"/>
          <w:szCs w:val="20"/>
          <w:color w:val="auto"/>
        </w:rPr>
        <w:t>" means the fee due to CREDIT AGRICOLE CORPORATE AND INVESTMENT BANK, in the conditions set forth in article 8 of the Master Senior Deposit Agreement and which shall be paid by ESTER to CREDIT AGRICOLE CORPORATE AND INVESTMENT BANK, or any credit institution which replaces the latter for the purposes of carrying out its functions under the Master Senior Deposit Agreement, as a remuneration for its undertaking to make the Senior Deposit on a periodic basis during the Replenishment Period. It is agreed that the Deposit Fee shall be paid to CREDIT AGRICOLE CORPORATE AND INVESTMENT BANK, or any other credit institution which replaces the latter for the purposes of carrying out its functions under the Master Senior Deposit Agreement, even after the transfer to the Fund of receivables in repayment of the Senior Deposit.</w:t>
      </w:r>
    </w:p>
    <w:p>
      <w:pPr>
        <w:spacing w:after="0" w:line="6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Depositor</w:t>
      </w:r>
      <w:r>
        <w:rPr>
          <w:rFonts w:ascii="Times New Roman" w:cs="Times New Roman" w:eastAsia="Times New Roman" w:hAnsi="Times New Roman"/>
          <w:sz w:val="20"/>
          <w:szCs w:val="20"/>
          <w:color w:val="auto"/>
        </w:rPr>
        <w:t>" means CREDIT AGRICOLE CORPORATE AND INVESTMENT BANK acting in its capacity as depositor pursuant to the Master Senior Deposit Agreement and any successor, transferee or assignee.</w:t>
      </w:r>
    </w:p>
    <w:p>
      <w:pPr>
        <w:spacing w:after="0" w:line="5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Dilution Percentage</w:t>
      </w:r>
      <w:r>
        <w:rPr>
          <w:rFonts w:ascii="Times New Roman" w:cs="Times New Roman" w:eastAsia="Times New Roman" w:hAnsi="Times New Roman"/>
          <w:sz w:val="20"/>
          <w:szCs w:val="20"/>
          <w:color w:val="auto"/>
        </w:rPr>
        <w:t>" means as calculated on any Calculation Date preceding a Funded Settlement Date, the ratio expressed as a percentage of:</w:t>
      </w:r>
    </w:p>
    <w:p>
      <w:pPr>
        <w:spacing w:after="0" w:line="49" w:lineRule="exact"/>
        <w:rPr>
          <w:sz w:val="20"/>
          <w:szCs w:val="20"/>
          <w:color w:val="auto"/>
        </w:rPr>
      </w:pPr>
    </w:p>
    <w:p>
      <w:pPr>
        <w:ind w:left="640" w:hanging="632"/>
        <w:spacing w:after="0" w:line="353" w:lineRule="auto"/>
        <w:tabs>
          <w:tab w:leader="none" w:pos="477"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Credit Notes and Refinanced Credit Notes issued between the Assessment Date (included) preceding such Funded Settlement Date and the Assessment Date (excluded) preceding the preceding Funded Settlement Date; and</w:t>
      </w:r>
    </w:p>
    <w:p>
      <w:pPr>
        <w:spacing w:after="0" w:line="52" w:lineRule="exact"/>
        <w:rPr>
          <w:rFonts w:ascii="Times New Roman" w:cs="Times New Roman" w:eastAsia="Times New Roman" w:hAnsi="Times New Roman"/>
          <w:sz w:val="20"/>
          <w:szCs w:val="20"/>
          <w:color w:val="auto"/>
        </w:rPr>
      </w:pPr>
    </w:p>
    <w:p>
      <w:pPr>
        <w:ind w:left="640" w:hanging="632"/>
        <w:spacing w:after="0" w:line="345" w:lineRule="auto"/>
        <w:tabs>
          <w:tab w:leader="none" w:pos="527"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the Sold Receivables purchased by the Purchaser and the Outstanding Amount of the Refinanced Sold Receivables purchased by the Italian Issuer, in each case between the Funded Settlement Date (excluded) before the last Assessment Date and the last Funded Settlement Date (included) preceding such last Assessment Date.</w:t>
      </w:r>
    </w:p>
    <w:p>
      <w:pPr>
        <w:spacing w:after="0" w:line="57"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Amount</w:t>
      </w:r>
      <w:r>
        <w:rPr>
          <w:rFonts w:ascii="Times New Roman" w:cs="Times New Roman" w:eastAsia="Times New Roman" w:hAnsi="Times New Roman"/>
          <w:sz w:val="20"/>
          <w:szCs w:val="20"/>
          <w:color w:val="auto"/>
        </w:rPr>
        <w:t>" means the relevant amount determined in accordance with the formula set forth in schedule 2 of the French Receivables Purchase Agreement, in schedule 3 of the German</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95" w:lineRule="exact"/>
        <w:rPr>
          <w:sz w:val="20"/>
          <w:szCs w:val="20"/>
          <w:color w:val="auto"/>
        </w:rPr>
      </w:pPr>
    </w:p>
    <w:p>
      <w:pPr>
        <w:spacing w:after="0" w:line="353" w:lineRule="auto"/>
        <w:rPr>
          <w:sz w:val="20"/>
          <w:szCs w:val="20"/>
          <w:color w:val="auto"/>
        </w:rPr>
      </w:pPr>
      <w:r>
        <w:rPr>
          <w:rFonts w:ascii="Times New Roman" w:cs="Times New Roman" w:eastAsia="Times New Roman" w:hAnsi="Times New Roman"/>
          <w:sz w:val="20"/>
          <w:szCs w:val="20"/>
          <w:color w:val="auto"/>
        </w:rPr>
        <w:t>Purchasable Receivables Agreement, in schedule 2 of the UK Receivables Purchase Agreement, and in schedule 2 of the Spanish Receivables Purchase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Rate</w:t>
      </w:r>
      <w:r>
        <w:rPr>
          <w:rFonts w:ascii="Times New Roman" w:cs="Times New Roman" w:eastAsia="Times New Roman" w:hAnsi="Times New Roman"/>
          <w:sz w:val="20"/>
          <w:szCs w:val="20"/>
          <w:color w:val="auto"/>
        </w:rPr>
        <w:t>" has the meaning set forth in SCHEDULE 16 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Reserve</w:t>
      </w:r>
      <w:r>
        <w:rPr>
          <w:rFonts w:ascii="Times New Roman" w:cs="Times New Roman" w:eastAsia="Times New Roman" w:hAnsi="Times New Roman"/>
          <w:sz w:val="20"/>
          <w:szCs w:val="20"/>
          <w:color w:val="auto"/>
        </w:rPr>
        <w:t>" means the amount calculated in accordance with SCHEDULE 16 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Reserve Rate</w:t>
      </w:r>
      <w:r>
        <w:rPr>
          <w:rFonts w:ascii="Times New Roman" w:cs="Times New Roman" w:eastAsia="Times New Roman" w:hAnsi="Times New Roman"/>
          <w:sz w:val="20"/>
          <w:szCs w:val="20"/>
          <w:color w:val="auto"/>
        </w:rPr>
        <w:t>" means the amount calculated in accordance with schedule 1 of the Master Subordinated Deposit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Distributed Amounts</w:t>
      </w:r>
      <w:r>
        <w:rPr>
          <w:rFonts w:ascii="Times New Roman" w:cs="Times New Roman" w:eastAsia="Times New Roman" w:hAnsi="Times New Roman"/>
          <w:sz w:val="20"/>
          <w:szCs w:val="20"/>
          <w:color w:val="auto"/>
        </w:rPr>
        <w:t>" means, on any Settlement Date during the Amortisation Period, the sum of:</w:t>
      </w:r>
    </w:p>
    <w:p>
      <w:pPr>
        <w:spacing w:after="0" w:line="193" w:lineRule="exact"/>
        <w:rPr>
          <w:sz w:val="20"/>
          <w:szCs w:val="20"/>
          <w:color w:val="auto"/>
        </w:rPr>
      </w:pPr>
    </w:p>
    <w:p>
      <w:pPr>
        <w:ind w:left="280" w:hanging="272"/>
        <w:spacing w:after="0"/>
        <w:tabs>
          <w:tab w:leader="none" w:pos="28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Adjusted Collections as determined as of such date;</w:t>
      </w:r>
    </w:p>
    <w:p>
      <w:pPr>
        <w:spacing w:after="0" w:line="188" w:lineRule="exact"/>
        <w:rPr>
          <w:rFonts w:ascii="Times New Roman" w:cs="Times New Roman" w:eastAsia="Times New Roman" w:hAnsi="Times New Roman"/>
          <w:sz w:val="20"/>
          <w:szCs w:val="20"/>
          <w:color w:val="auto"/>
        </w:rPr>
      </w:pPr>
    </w:p>
    <w:p>
      <w:pPr>
        <w:ind w:left="640" w:hanging="632"/>
        <w:spacing w:after="0" w:line="353" w:lineRule="auto"/>
        <w:tabs>
          <w:tab w:leader="none" w:pos="322"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in the Purchaser's Account as of the last Assessment Date, within the limit of the sums in the Purchaser's Account on such Settlement Date;</w:t>
      </w:r>
    </w:p>
    <w:p>
      <w:pPr>
        <w:spacing w:after="0" w:line="65" w:lineRule="exact"/>
        <w:rPr>
          <w:rFonts w:ascii="Times New Roman" w:cs="Times New Roman" w:eastAsia="Times New Roman" w:hAnsi="Times New Roman"/>
          <w:sz w:val="20"/>
          <w:szCs w:val="20"/>
          <w:color w:val="auto"/>
        </w:rPr>
      </w:pPr>
    </w:p>
    <w:p>
      <w:pPr>
        <w:ind w:left="640" w:hanging="632"/>
        <w:spacing w:after="0" w:line="338" w:lineRule="auto"/>
        <w:tabs>
          <w:tab w:leader="none" w:pos="352"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in each Purchaser's Collection Account (net of any debit made on such Purchaser's Collection Account, corresponding to errors, reverse entries, unpaid amounts and returns in relation to payments already made on the corresponding Collection Account) as of the last Assessment Date, within the limit of the sums in each Purchaser's Collection Account on such Settlement Date;</w:t>
      </w:r>
    </w:p>
    <w:p>
      <w:pPr>
        <w:spacing w:after="0" w:line="67" w:lineRule="exact"/>
        <w:rPr>
          <w:rFonts w:ascii="Times New Roman" w:cs="Times New Roman" w:eastAsia="Times New Roman" w:hAnsi="Times New Roman"/>
          <w:sz w:val="20"/>
          <w:szCs w:val="20"/>
          <w:color w:val="auto"/>
        </w:rPr>
      </w:pPr>
    </w:p>
    <w:p>
      <w:pPr>
        <w:ind w:left="640" w:hanging="632"/>
        <w:spacing w:after="0" w:line="353" w:lineRule="auto"/>
        <w:tabs>
          <w:tab w:leader="none" w:pos="335"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Refinanced Received Net Amount, as calculated for such Settlement Date, in accordance with the provisions of the Italian Subscription Agreement; and</w:t>
      </w:r>
    </w:p>
    <w:p>
      <w:pPr>
        <w:spacing w:after="0" w:line="52" w:lineRule="exact"/>
        <w:rPr>
          <w:rFonts w:ascii="Times New Roman" w:cs="Times New Roman" w:eastAsia="Times New Roman" w:hAnsi="Times New Roman"/>
          <w:sz w:val="20"/>
          <w:szCs w:val="20"/>
          <w:color w:val="auto"/>
        </w:rPr>
      </w:pPr>
    </w:p>
    <w:p>
      <w:pPr>
        <w:ind w:left="640" w:right="20" w:hanging="632"/>
        <w:spacing w:after="0" w:line="367" w:lineRule="auto"/>
        <w:tabs>
          <w:tab w:leader="none" w:pos="34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proceeds of the Actual Collections received by the Purchaser in accordance with Article 21.2 and not yet allocated in accordance with Article 14 (</w:t>
      </w:r>
      <w:r>
        <w:rPr>
          <w:rFonts w:ascii="Times New Roman" w:cs="Times New Roman" w:eastAsia="Times New Roman" w:hAnsi="Times New Roman"/>
          <w:sz w:val="20"/>
          <w:szCs w:val="20"/>
          <w:i w:val="1"/>
          <w:iCs w:val="1"/>
          <w:color w:val="auto"/>
        </w:rPr>
        <w:t>Order of the Priority during the Amortisation Period</w:t>
      </w:r>
      <w:r>
        <w:rPr>
          <w:rFonts w:ascii="Times New Roman" w:cs="Times New Roman" w:eastAsia="Times New Roman" w:hAnsi="Times New Roman"/>
          <w:sz w:val="20"/>
          <w:szCs w:val="20"/>
          <w:color w:val="auto"/>
        </w:rPr>
        <w:t>).</w:t>
      </w:r>
    </w:p>
    <w:p>
      <w:pPr>
        <w:spacing w:after="0" w:line="3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Doubtful Receivable</w:t>
      </w:r>
      <w:r>
        <w:rPr>
          <w:rFonts w:ascii="Times New Roman" w:cs="Times New Roman" w:eastAsia="Times New Roman" w:hAnsi="Times New Roman"/>
          <w:sz w:val="20"/>
          <w:szCs w:val="20"/>
          <w:color w:val="auto"/>
        </w:rPr>
        <w:t>" means on any Assessment Date any Sold Receivable which is, according to the Accounting Principles, doubtful given the situation of the Debtor, open to challenge, impaired, non-performing or classified to the similar effect under those Accounting Principles.</w:t>
      </w:r>
    </w:p>
    <w:p>
      <w:pPr>
        <w:spacing w:after="0" w:line="6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Downgrading Event</w:t>
      </w:r>
      <w:r>
        <w:rPr>
          <w:rFonts w:ascii="Times New Roman" w:cs="Times New Roman" w:eastAsia="Times New Roman" w:hAnsi="Times New Roman"/>
          <w:sz w:val="20"/>
          <w:szCs w:val="20"/>
          <w:color w:val="auto"/>
        </w:rPr>
        <w:t>" means, in relation to a Liquidity Bank, the downgrading of its rating by a Rating Agency under A1 (for Moody's), P1 (for Standard &amp; Poor's) or F1 (for Fitch Ratings).</w:t>
      </w:r>
    </w:p>
    <w:p>
      <w:pPr>
        <w:spacing w:after="0" w:line="3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Euro Short-Term Rate</w:t>
      </w:r>
      <w:r>
        <w:rPr>
          <w:rFonts w:ascii="Times New Roman" w:cs="Times New Roman" w:eastAsia="Times New Roman" w:hAnsi="Times New Roman"/>
          <w:sz w:val="20"/>
          <w:szCs w:val="20"/>
          <w:color w:val="auto"/>
        </w:rPr>
        <w:t>" means the unsecured overnight interest rate administered by the European Central Bank which reflects the wholesale Euro unsecured overnight borrowing costs of banks located in the Euro area and is published on each T2 Day by the European Central Bank at 08:00 (Brussels time).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Amortisation Event</w:t>
      </w:r>
      <w:r>
        <w:rPr>
          <w:rFonts w:ascii="Times New Roman" w:cs="Times New Roman" w:eastAsia="Times New Roman" w:hAnsi="Times New Roman"/>
          <w:sz w:val="20"/>
          <w:szCs w:val="20"/>
          <w:color w:val="auto"/>
        </w:rPr>
        <w:t>" means any of the events set out in Article 11 (</w:t>
      </w:r>
      <w:r>
        <w:rPr>
          <w:rFonts w:ascii="Times New Roman" w:cs="Times New Roman" w:eastAsia="Times New Roman" w:hAnsi="Times New Roman"/>
          <w:sz w:val="20"/>
          <w:szCs w:val="20"/>
          <w:i w:val="1"/>
          <w:iCs w:val="1"/>
          <w:color w:val="auto"/>
        </w:rPr>
        <w:t>Early Amortisation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Signature Regulation</w:t>
      </w:r>
      <w:r>
        <w:rPr>
          <w:rFonts w:ascii="Times New Roman" w:cs="Times New Roman" w:eastAsia="Times New Roman" w:hAnsi="Times New Roman"/>
          <w:sz w:val="20"/>
          <w:szCs w:val="20"/>
          <w:color w:val="auto"/>
        </w:rPr>
        <w:t>" means EU Regulation No 910/2014 of the European Parliament and of the Council of 23 July 2014 on electronic identification and trust services for electronic transactions in the internal market and repealing Directive 1999/93/EC (as amended, restated and/or replaced from time to time).</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Debtor</w:t>
      </w:r>
      <w:r>
        <w:rPr>
          <w:rFonts w:ascii="Times New Roman" w:cs="Times New Roman" w:eastAsia="Times New Roman" w:hAnsi="Times New Roman"/>
          <w:sz w:val="20"/>
          <w:szCs w:val="20"/>
          <w:color w:val="auto"/>
        </w:rPr>
        <w:t>" means a Debtor having the characteristics described in detail in article 8 of each Receivables Purchase Agreement.</w:t>
      </w:r>
    </w:p>
    <w:p>
      <w:pPr>
        <w:spacing w:after="0" w:line="189"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Receivable</w:t>
      </w:r>
      <w:r>
        <w:rPr>
          <w:rFonts w:ascii="Times New Roman" w:cs="Times New Roman" w:eastAsia="Times New Roman" w:hAnsi="Times New Roman"/>
          <w:sz w:val="20"/>
          <w:szCs w:val="20"/>
          <w:color w:val="auto"/>
        </w:rPr>
        <w:t>" means any Sold Receivable which has the following characteristics on the Settlement Date during the Replenishment Period:</w:t>
      </w:r>
    </w:p>
    <w:p>
      <w:pPr>
        <w:spacing w:after="0" w:line="62" w:lineRule="exact"/>
        <w:rPr>
          <w:sz w:val="20"/>
          <w:szCs w:val="20"/>
          <w:color w:val="auto"/>
        </w:rPr>
      </w:pPr>
    </w:p>
    <w:p>
      <w:pPr>
        <w:ind w:left="780" w:hanging="772"/>
        <w:spacing w:after="0" w:line="353" w:lineRule="auto"/>
        <w:tabs>
          <w:tab w:leader="none" w:pos="769"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Sold Receivable corresponds to a delivery of goods which has been made or to a service which has been performed and such Sold Receivable has been invoiced;</w:t>
      </w:r>
    </w:p>
    <w:p>
      <w:pPr>
        <w:spacing w:after="0" w:line="52" w:lineRule="exact"/>
        <w:rPr>
          <w:rFonts w:ascii="Times New Roman" w:cs="Times New Roman" w:eastAsia="Times New Roman" w:hAnsi="Times New Roman"/>
          <w:sz w:val="20"/>
          <w:szCs w:val="20"/>
          <w:color w:val="auto"/>
        </w:rPr>
      </w:pPr>
    </w:p>
    <w:p>
      <w:pPr>
        <w:ind w:left="780" w:hanging="772"/>
        <w:spacing w:after="0" w:line="353" w:lineRule="auto"/>
        <w:tabs>
          <w:tab w:leader="none" w:pos="77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Date of such Sold Receivable is not later than the earlier of (1) 190 days after the Assessment Date preceding such Settlement Date and (2) any maturity date for the Sold Receivable prescribed by mandatory statutory law;</w:t>
      </w:r>
    </w:p>
    <w:p>
      <w:pPr>
        <w:spacing w:after="0" w:line="52" w:lineRule="exact"/>
        <w:rPr>
          <w:rFonts w:ascii="Times New Roman" w:cs="Times New Roman" w:eastAsia="Times New Roman" w:hAnsi="Times New Roman"/>
          <w:sz w:val="20"/>
          <w:szCs w:val="20"/>
          <w:color w:val="auto"/>
        </w:rPr>
      </w:pPr>
    </w:p>
    <w:p>
      <w:pPr>
        <w:ind w:left="780" w:right="20" w:hanging="772"/>
        <w:spacing w:after="0" w:line="353" w:lineRule="auto"/>
        <w:tabs>
          <w:tab w:leader="none" w:pos="771"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has not remained unpaid by the relevant Debtor for more than 72 days after the Maturity Date of such Sold Receivable;</w:t>
      </w:r>
    </w:p>
    <w:p>
      <w:pPr>
        <w:spacing w:after="0" w:line="65" w:lineRule="exact"/>
        <w:rPr>
          <w:rFonts w:ascii="Times New Roman" w:cs="Times New Roman" w:eastAsia="Times New Roman" w:hAnsi="Times New Roman"/>
          <w:sz w:val="20"/>
          <w:szCs w:val="20"/>
          <w:color w:val="auto"/>
        </w:rPr>
      </w:pPr>
    </w:p>
    <w:p>
      <w:pPr>
        <w:jc w:val="both"/>
        <w:ind w:left="780" w:hanging="772"/>
        <w:spacing w:after="0" w:line="333" w:lineRule="auto"/>
        <w:tabs>
          <w:tab w:leader="none" w:pos="773"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Debtor of such Sold Receivable has a V.A.T or a CMS identification number indicated in the electronic support attached to the relevant Transfer Deed delivered to the Purchaser in relation to such Sold Receivable and such Sold Receivable is identified on such electronic support in a manner which complies with the electronic exchange procedures agreed between the Agent, the Purchaser, the Centralising Unit and the Sellers; and</w:t>
      </w:r>
    </w:p>
    <w:p>
      <w:pPr>
        <w:spacing w:after="0" w:line="73"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Sold Receivable is not a Net Miscellaneous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End of Month Cut-Off Date</w:t>
      </w:r>
      <w:r>
        <w:rPr>
          <w:rFonts w:ascii="Times New Roman" w:cs="Times New Roman" w:eastAsia="Times New Roman" w:hAnsi="Times New Roman"/>
          <w:sz w:val="20"/>
          <w:szCs w:val="20"/>
          <w:color w:val="auto"/>
        </w:rPr>
        <w:t>" means the last calendar day of each calendar month.</w:t>
      </w:r>
    </w:p>
    <w:p>
      <w:pPr>
        <w:spacing w:after="0" w:line="17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ESTER</w:t>
      </w:r>
      <w:r>
        <w:rPr>
          <w:rFonts w:ascii="Times New Roman" w:cs="Times New Roman" w:eastAsia="Times New Roman" w:hAnsi="Times New Roman"/>
          <w:sz w:val="20"/>
          <w:szCs w:val="20"/>
          <w:color w:val="auto"/>
        </w:rPr>
        <w:t>" means ESTER FINANCE TECHNOLOGIES S.A., a company incorporated under French law and authorised as a specialized credit institution (</w:t>
      </w:r>
      <w:r>
        <w:rPr>
          <w:rFonts w:ascii="Times New Roman" w:cs="Times New Roman" w:eastAsia="Times New Roman" w:hAnsi="Times New Roman"/>
          <w:sz w:val="20"/>
          <w:szCs w:val="20"/>
          <w:i w:val="1"/>
          <w:iCs w:val="1"/>
          <w:color w:val="auto"/>
        </w:rPr>
        <w:t>établissement de crédit spécialisé</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 Nanterre under the number 414 886 226.</w:t>
      </w:r>
    </w:p>
    <w:p>
      <w:pPr>
        <w:spacing w:after="0" w:line="103"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EURIBOR</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a period equal in length to the relevant period.</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EURIBOR is not officially displayed for the relevant period, the EURIBOR applicable to the relevant period shall be the rate which results from interpolating on a linear basis between (i) the applicable EURIBOR rate for the longest period (for which EURIBOR is available) which is less than the relevant period and (ii) the applicable EURIBOR rate for the shortest period (for which EURIBOR is available) which exceeds the relevant period.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the event (a) the methodology, formula or other means of determining EURIBOR has materially changed (as determined in good faith by the Calculation Agent), or (b) EURIBOR ceases, temporary or permanently to be available, any reference in the Agreement to EURIBOR shall be deemed to be a reference to:</w:t>
      </w:r>
    </w:p>
    <w:p>
      <w:pPr>
        <w:spacing w:after="0" w:line="202" w:lineRule="exact"/>
        <w:rPr>
          <w:sz w:val="20"/>
          <w:szCs w:val="20"/>
          <w:color w:val="auto"/>
        </w:rPr>
      </w:pPr>
    </w:p>
    <w:p>
      <w:pPr>
        <w:ind w:left="780" w:hanging="772"/>
        <w:spacing w:after="0" w:line="353" w:lineRule="auto"/>
        <w:tabs>
          <w:tab w:leader="none" w:pos="774"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formally designated, nominated or recommended as the replacement rate for EURIBOR by the administrator of EURIBOR, or</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95" w:lineRule="exact"/>
        <w:rPr>
          <w:sz w:val="20"/>
          <w:szCs w:val="20"/>
          <w:color w:val="auto"/>
        </w:rPr>
      </w:pPr>
    </w:p>
    <w:p>
      <w:pPr>
        <w:jc w:val="both"/>
        <w:ind w:left="780" w:hanging="772"/>
        <w:spacing w:after="0" w:line="338" w:lineRule="auto"/>
        <w:tabs>
          <w:tab w:leader="none" w:pos="771"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no such designated rate referred to in paragraph (a) above, the rate defined or recommended by any applicable central bank, regulator or other supervisory authority or a group of them, or any working group or committee sponsored or chaired by, or constituted at the request of, any of them or the Financial Stability Board, or</w:t>
      </w:r>
    </w:p>
    <w:p>
      <w:pPr>
        <w:spacing w:after="0" w:line="81" w:lineRule="exact"/>
        <w:rPr>
          <w:rFonts w:ascii="Times New Roman" w:cs="Times New Roman" w:eastAsia="Times New Roman" w:hAnsi="Times New Roman"/>
          <w:sz w:val="20"/>
          <w:szCs w:val="20"/>
          <w:color w:val="auto"/>
        </w:rPr>
      </w:pPr>
    </w:p>
    <w:p>
      <w:pPr>
        <w:jc w:val="both"/>
        <w:ind w:left="780" w:hanging="772"/>
        <w:spacing w:after="0" w:line="324" w:lineRule="auto"/>
        <w:tabs>
          <w:tab w:leader="none" w:pos="774"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no such defined or recommended rate referred to in paragraph (a) and (b) above, the rate as agreed by the Parties as the appropriate rate to replace EURIBOR, provided that until the Parties have agreed on another appropriate replacement rate, the</w:t>
      </w:r>
    </w:p>
    <w:p>
      <w:pPr>
        <w:jc w:val="both"/>
        <w:ind w:left="78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relevant applicable rate shall be the applicable €STR as determined on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Business Day immediately preceding the Calculation Date plus the spread equal to EURIBOR minus €STR as of the last date on which both rates were published, it being understood that if EURIBOR is published again, the applicable rate shall be EURIBOR as from the date on which EURIBOR is published again,</w:t>
      </w:r>
    </w:p>
    <w:p>
      <w:pPr>
        <w:spacing w:after="0" w:line="10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fallback in paragraph (c) is not available, the relevant cost of funds as agreed by the Lead Arranger.</w:t>
      </w:r>
    </w:p>
    <w:p>
      <w:pPr>
        <w:spacing w:after="0" w:line="18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EUR</w:t>
      </w:r>
      <w:r>
        <w:rPr>
          <w:rFonts w:ascii="Times New Roman" w:cs="Times New Roman" w:eastAsia="Times New Roman" w:hAnsi="Times New Roman"/>
          <w:sz w:val="20"/>
          <w:szCs w:val="20"/>
          <w:color w:val="auto"/>
        </w:rPr>
        <w:t>" means the currency of the participating Member States in accordance with the definition given under article 119-2 of the Treaty on the Functioning of the European Union and in Council Regulation (EC) n. 974/98 of May 3, 1998 on the introduction of the euro.</w:t>
      </w:r>
    </w:p>
    <w:p>
      <w:pPr>
        <w:spacing w:after="0" w:line="62"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Credit Facility</w:t>
      </w:r>
      <w:r>
        <w:rPr>
          <w:rFonts w:ascii="Times New Roman" w:cs="Times New Roman" w:eastAsia="Times New Roman" w:hAnsi="Times New Roman"/>
          <w:sz w:val="20"/>
          <w:szCs w:val="20"/>
          <w:color w:val="auto"/>
        </w:rPr>
        <w:t>" means the Amended and Restated Revolving Credit Agreement, dated as of 12 October 2022 as amended and restated, refinanced, replaced or otherwise modified from time to time, among GOODYEAR EUROPE BV, the other borrowers thereunder, the lenders thereunder, JPMSE, as administrative agent, and the other parties thereto.</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Separation of Flows</w:t>
      </w:r>
      <w:r>
        <w:rPr>
          <w:rFonts w:ascii="Times New Roman" w:cs="Times New Roman" w:eastAsia="Times New Roman" w:hAnsi="Times New Roman"/>
          <w:sz w:val="20"/>
          <w:szCs w:val="20"/>
          <w:color w:val="auto"/>
        </w:rPr>
        <w:t>" means any Early Amortisation Event and, in any case, the starting of the Amortisation Period.</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Rate</w:t>
      </w:r>
      <w:r>
        <w:rPr>
          <w:rFonts w:ascii="Times New Roman" w:cs="Times New Roman" w:eastAsia="Times New Roman" w:hAnsi="Times New Roman"/>
          <w:sz w:val="20"/>
          <w:szCs w:val="20"/>
          <w:color w:val="auto"/>
        </w:rPr>
        <w:t>" means, at any time, the rate of exchange of GBP for Euro, as it appears on the Internet site of the Banque de France at close of business on the Business Day preceding the last Assessment Date.</w:t>
      </w:r>
    </w:p>
    <w:p>
      <w:pPr>
        <w:spacing w:after="0" w:line="45"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Debtor</w:t>
      </w:r>
      <w:r>
        <w:rPr>
          <w:rFonts w:ascii="Times New Roman" w:cs="Times New Roman" w:eastAsia="Times New Roman" w:hAnsi="Times New Roman"/>
          <w:sz w:val="20"/>
          <w:szCs w:val="20"/>
          <w:color w:val="auto"/>
        </w:rPr>
        <w:t>" means any debtor mentioned in the list set forth in SCHEDULE 12, as may be modified by mutual agreement between the Centralising Unit, the Purchaser and the Agent, in accordance with the provisions of Article 33.</w:t>
      </w:r>
    </w:p>
    <w:p>
      <w:pPr>
        <w:spacing w:after="0" w:line="3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File Collections</w:t>
      </w:r>
      <w:r>
        <w:rPr>
          <w:rFonts w:ascii="Times New Roman" w:cs="Times New Roman" w:eastAsia="Times New Roman" w:hAnsi="Times New Roman"/>
          <w:sz w:val="20"/>
          <w:szCs w:val="20"/>
          <w:color w:val="auto"/>
        </w:rPr>
        <w:t>" means, with respect to any period, all collections (excluding Deemed Collections) on Sold Receivables which, on the basis of the information included in any Assessment Report and the electronic date file attached thereto, were expected to be received during such period by a Seller as calculated by the Agent on the basis of the Assessment Reports and the electronic support attached thereto.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Covenants</w:t>
      </w:r>
      <w:r>
        <w:rPr>
          <w:rFonts w:ascii="Times New Roman" w:cs="Times New Roman" w:eastAsia="Times New Roman" w:hAnsi="Times New Roman"/>
          <w:sz w:val="20"/>
          <w:szCs w:val="20"/>
          <w:color w:val="auto"/>
        </w:rPr>
        <w:t>" means the financial covenants set forth in Article 11.3(xiv) and the related definitions.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Indebtedness</w:t>
      </w:r>
      <w:r>
        <w:rPr>
          <w:rFonts w:ascii="Times New Roman" w:cs="Times New Roman" w:eastAsia="Times New Roman" w:hAnsi="Times New Roman"/>
          <w:sz w:val="20"/>
          <w:szCs w:val="20"/>
          <w:color w:val="auto"/>
        </w:rPr>
        <w:t>" means, in relation to any person:</w:t>
      </w:r>
    </w:p>
    <w:p>
      <w:pPr>
        <w:sectPr>
          <w:pgSz w:w="11900" w:h="16838" w:orient="portrait"/>
          <w:cols w:equalWidth="0" w:num="1">
            <w:col w:w="11240"/>
          </w:cols>
          <w:pgMar w:left="320" w:top="1440" w:right="339" w:bottom="1440" w:gutter="0" w:footer="0" w:header="0"/>
        </w:sectPr>
      </w:pPr>
    </w:p>
    <w:bookmarkStart w:id="243" w:name="page244"/>
    <w:bookmarkEnd w:id="243"/>
    <w:p>
      <w:pPr>
        <w:ind w:left="400" w:hanging="392"/>
        <w:spacing w:after="0"/>
        <w:tabs>
          <w:tab w:leader="none" w:pos="40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for monies borrowed or raised by that person;</w:t>
      </w:r>
    </w:p>
    <w:p>
      <w:pPr>
        <w:spacing w:after="0" w:line="269" w:lineRule="exact"/>
        <w:rPr>
          <w:rFonts w:ascii="Times New Roman" w:cs="Times New Roman" w:eastAsia="Times New Roman" w:hAnsi="Times New Roman"/>
          <w:sz w:val="20"/>
          <w:szCs w:val="20"/>
          <w:color w:val="auto"/>
        </w:rPr>
      </w:pPr>
    </w:p>
    <w:p>
      <w:pPr>
        <w:ind w:left="780" w:hanging="772"/>
        <w:spacing w:after="0" w:line="353" w:lineRule="auto"/>
        <w:tabs>
          <w:tab w:leader="none" w:pos="45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 or contingent) of that person under any guarantee, security, indemnity or other commitment designed to protect any creditor against loss in respect of any Financial Indebtedness of any third party;</w:t>
      </w:r>
    </w:p>
    <w:p>
      <w:pPr>
        <w:spacing w:after="0" w:line="52"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under or in respect of any acceptance credit opened on behalf of that person;</w:t>
      </w:r>
    </w:p>
    <w:p>
      <w:pPr>
        <w:spacing w:after="0" w:line="188" w:lineRule="exact"/>
        <w:rPr>
          <w:rFonts w:ascii="Times New Roman" w:cs="Times New Roman" w:eastAsia="Times New Roman" w:hAnsi="Times New Roman"/>
          <w:sz w:val="20"/>
          <w:szCs w:val="20"/>
          <w:color w:val="auto"/>
        </w:rPr>
      </w:pPr>
    </w:p>
    <w:p>
      <w:pPr>
        <w:ind w:left="780" w:hanging="772"/>
        <w:spacing w:after="0" w:line="353" w:lineRule="auto"/>
        <w:tabs>
          <w:tab w:leader="none" w:pos="498"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under any debenture, note, bond, certificate of deposit, cash certificate, Bill of Exchange, commercial paper or similar instrument on which that person is liable as drawer, acceptor, endorser, issuers or otherwise;</w:t>
      </w:r>
    </w:p>
    <w:p>
      <w:pPr>
        <w:spacing w:after="0" w:line="65" w:lineRule="exact"/>
        <w:rPr>
          <w:rFonts w:ascii="Times New Roman" w:cs="Times New Roman" w:eastAsia="Times New Roman" w:hAnsi="Times New Roman"/>
          <w:sz w:val="20"/>
          <w:szCs w:val="20"/>
          <w:color w:val="auto"/>
        </w:rPr>
      </w:pPr>
    </w:p>
    <w:p>
      <w:pPr>
        <w:ind w:left="780" w:hanging="772"/>
        <w:spacing w:after="0" w:line="338" w:lineRule="auto"/>
        <w:tabs>
          <w:tab w:leader="none" w:pos="546"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for money owing in respect of any interest rate swap or currency swap, such indebtedness to be measured on a marked-to-market basis at the relevant time and to include, vis-à-vis any particular counterparty, application of the relevant ISDA or FBF netting procedures; and</w:t>
      </w:r>
    </w:p>
    <w:p>
      <w:pPr>
        <w:spacing w:after="0" w:line="67"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obligations under any lease entered into for the purpose of obtaining or raising finance.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Free Equity Amount</w:t>
      </w:r>
      <w:r>
        <w:rPr>
          <w:rFonts w:ascii="Times New Roman" w:cs="Times New Roman" w:eastAsia="Times New Roman" w:hAnsi="Times New Roman"/>
          <w:sz w:val="20"/>
          <w:szCs w:val="20"/>
          <w:color w:val="auto"/>
        </w:rPr>
        <w:t>" shall have the meaning as set forth in Article 3.6.3.</w:t>
      </w:r>
    </w:p>
    <w:p>
      <w:pPr>
        <w:spacing w:after="0" w:line="189"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French Financial Guarantee Agreement</w:t>
      </w:r>
      <w:r>
        <w:rPr>
          <w:rFonts w:ascii="Times New Roman" w:cs="Times New Roman" w:eastAsia="Times New Roman" w:hAnsi="Times New Roman"/>
          <w:sz w:val="20"/>
          <w:szCs w:val="20"/>
          <w:color w:val="auto"/>
        </w:rPr>
        <w:t xml:space="preserve">" means a French law financial guarantee agreement entered into between,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the Purchaser, the Depositor and the Fund (as represented by the Management Company), by which the Purchaser will transfer by way of security (</w:t>
      </w:r>
      <w:r>
        <w:rPr>
          <w:rFonts w:ascii="Times New Roman" w:cs="Times New Roman" w:eastAsia="Times New Roman" w:hAnsi="Times New Roman"/>
          <w:sz w:val="20"/>
          <w:szCs w:val="20"/>
          <w:i w:val="1"/>
          <w:iCs w:val="1"/>
          <w:color w:val="auto"/>
        </w:rPr>
        <w:t>remettre en pleine propriété à titre de garantie</w:t>
      </w:r>
      <w:r>
        <w:rPr>
          <w:rFonts w:ascii="Times New Roman" w:cs="Times New Roman" w:eastAsia="Times New Roman" w:hAnsi="Times New Roman"/>
          <w:sz w:val="20"/>
          <w:szCs w:val="20"/>
          <w:color w:val="auto"/>
        </w:rPr>
        <w:t>) title to all the Sold Receivables to the Fund to secure its financial obligations under the Senior Deposit assigned by the Purchaser to the Fund in accordance with article L. 211-38 to L. 211-40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French Seller</w:t>
      </w:r>
      <w:r>
        <w:rPr>
          <w:rFonts w:ascii="Times New Roman" w:cs="Times New Roman" w:eastAsia="Times New Roman" w:hAnsi="Times New Roman"/>
          <w:sz w:val="20"/>
          <w:szCs w:val="20"/>
          <w:color w:val="auto"/>
        </w:rPr>
        <w:t>" means GOODYEAR FRANCE S.A.S., or any New Seller that is organized under French law.</w:t>
      </w:r>
    </w:p>
    <w:p>
      <w:pPr>
        <w:spacing w:after="0" w:line="189"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French RPA Sellers</w:t>
      </w:r>
      <w:r>
        <w:rPr>
          <w:rFonts w:ascii="Times New Roman" w:cs="Times New Roman" w:eastAsia="Times New Roman" w:hAnsi="Times New Roman"/>
          <w:sz w:val="20"/>
          <w:szCs w:val="20"/>
          <w:color w:val="auto"/>
        </w:rPr>
        <w:t>" means the French Seller and the Luxembourg Seller in their capacity as Sellers under the French Receivables Purchase Agreement.</w:t>
      </w:r>
    </w:p>
    <w:p>
      <w:pPr>
        <w:spacing w:after="0" w:line="31"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xml:space="preserve">" means FCT Triple P, a </w:t>
      </w:r>
      <w:r>
        <w:rPr>
          <w:rFonts w:ascii="Times New Roman" w:cs="Times New Roman" w:eastAsia="Times New Roman" w:hAnsi="Times New Roman"/>
          <w:sz w:val="20"/>
          <w:szCs w:val="20"/>
          <w:i w:val="1"/>
          <w:iCs w:val="1"/>
          <w:color w:val="auto"/>
        </w:rPr>
        <w:t>fonds commun de titrisation</w:t>
      </w:r>
      <w:r>
        <w:rPr>
          <w:rFonts w:ascii="Times New Roman" w:cs="Times New Roman" w:eastAsia="Times New Roman" w:hAnsi="Times New Roman"/>
          <w:sz w:val="20"/>
          <w:szCs w:val="20"/>
          <w:color w:val="auto"/>
        </w:rPr>
        <w:t>, set up by the Management Company and the Custodian in accordance with the provisions of Articles L.214-24 I), II), XI) and XII), L.214-166-1, L.214-167 I), L.214-168 to L.214-175-8, L.214-180 to L.214-186, L.231-4, L.231-7 and R.214-217 to R.214-235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 for the purposes of the Securitisation Transaction.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 Subscriber</w:t>
      </w:r>
      <w:r>
        <w:rPr>
          <w:rFonts w:ascii="Times New Roman" w:cs="Times New Roman" w:eastAsia="Times New Roman" w:hAnsi="Times New Roman"/>
          <w:sz w:val="20"/>
          <w:szCs w:val="20"/>
          <w:color w:val="auto"/>
        </w:rPr>
        <w:t>" means CREDIT AGRICOLE CORPORATE AND INVESTMENT BANK.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 Subscriber Option</w:t>
      </w:r>
      <w:r>
        <w:rPr>
          <w:rFonts w:ascii="Times New Roman" w:cs="Times New Roman" w:eastAsia="Times New Roman" w:hAnsi="Times New Roman"/>
          <w:sz w:val="20"/>
          <w:szCs w:val="20"/>
          <w:color w:val="auto"/>
        </w:rPr>
        <w:t>" has the meaning ascribed to such term in paragraph (F) of the preamble of the Agreement.</w:t>
      </w:r>
    </w:p>
    <w:p>
      <w:pPr>
        <w:sectPr>
          <w:pgSz w:w="11900" w:h="16838" w:orient="portrait"/>
          <w:cols w:equalWidth="0" w:num="1">
            <w:col w:w="11240"/>
          </w:cols>
          <w:pgMar w:left="320" w:top="1386" w:right="339" w:bottom="1440" w:gutter="0" w:footer="0" w:header="0"/>
        </w:sectPr>
      </w:pPr>
    </w:p>
    <w:bookmarkStart w:id="244" w:name="page245"/>
    <w:bookmarkEnd w:id="244"/>
    <w:p>
      <w:pPr>
        <w:spacing w:after="0" w:line="9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 Subscription Agreement</w:t>
      </w:r>
      <w:r>
        <w:rPr>
          <w:rFonts w:ascii="Times New Roman" w:cs="Times New Roman" w:eastAsia="Times New Roman" w:hAnsi="Times New Roman"/>
          <w:sz w:val="20"/>
          <w:szCs w:val="20"/>
          <w:color w:val="auto"/>
        </w:rPr>
        <w:t>" means any subscription agreement entered into between the Fund and the Fund Subscriber pursuant to which the Fund Subscriber has undertaken to subscribe for units issued by the Fund.</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Funded Assessment Date</w:t>
      </w:r>
      <w:r>
        <w:rPr>
          <w:rFonts w:ascii="Times New Roman" w:cs="Times New Roman" w:eastAsia="Times New Roman" w:hAnsi="Times New Roman"/>
          <w:sz w:val="20"/>
          <w:szCs w:val="20"/>
          <w:color w:val="auto"/>
        </w:rPr>
        <w:t>" means each of the Assessment Dates relating to a Funded Settlement Date as identified in SCHEDULE 9 (</w:t>
      </w:r>
      <w:r>
        <w:rPr>
          <w:rFonts w:ascii="Times New Roman" w:cs="Times New Roman" w:eastAsia="Times New Roman" w:hAnsi="Times New Roman"/>
          <w:sz w:val="20"/>
          <w:szCs w:val="20"/>
          <w:i w:val="1"/>
          <w:iCs w:val="1"/>
          <w:color w:val="auto"/>
        </w:rPr>
        <w:t>List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Calendar Dates of the Transaction</w:t>
      </w:r>
      <w:r>
        <w:rPr>
          <w:rFonts w:ascii="Times New Roman" w:cs="Times New Roman" w:eastAsia="Times New Roman" w:hAnsi="Times New Roman"/>
          <w:sz w:val="20"/>
          <w:szCs w:val="20"/>
          <w:color w:val="auto"/>
        </w:rPr>
        <w:t>).</w:t>
      </w:r>
    </w:p>
    <w:p>
      <w:pPr>
        <w:spacing w:after="0" w:line="3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Funded Settlement Date</w:t>
      </w:r>
      <w:r>
        <w:rPr>
          <w:rFonts w:ascii="Times New Roman" w:cs="Times New Roman" w:eastAsia="Times New Roman" w:hAnsi="Times New Roman"/>
          <w:sz w:val="20"/>
          <w:szCs w:val="20"/>
          <w:color w:val="auto"/>
        </w:rPr>
        <w:t>" means the Initial Settlement Date and each of the dates identified as "Funded Settlement Date" in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falling on or prior to the Program Expiry Date.</w:t>
      </w:r>
    </w:p>
    <w:p>
      <w:pPr>
        <w:spacing w:after="0" w:line="45"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Funded Settlement Date Reference Period</w:t>
      </w:r>
      <w:r>
        <w:rPr>
          <w:rFonts w:ascii="Times New Roman" w:cs="Times New Roman" w:eastAsia="Times New Roman" w:hAnsi="Times New Roman"/>
          <w:sz w:val="20"/>
          <w:szCs w:val="20"/>
          <w:color w:val="auto"/>
        </w:rPr>
        <w:t>" means, with respect to any Reference Funded Settlement Date before the Commitment Expiry Date, during any Bi-monthly Management Period, the period starting on the Intermediary Assessment Date (excluded) of the calendar month immediately following such Reference Funded Settlement Date and ending (i) on the following Funded Assessment Date (included) or (ii) if an Early Amortisation Event occurs before such Funded Assessment Date, on the date of such Early Amortisation Event.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means, in relation to any person, the generally accepted accounting principles in the jurisdiction in which such person is organized.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GBP</w:t>
      </w:r>
      <w:r>
        <w:rPr>
          <w:rFonts w:ascii="Times New Roman" w:cs="Times New Roman" w:eastAsia="Times New Roman" w:hAnsi="Times New Roman"/>
          <w:sz w:val="20"/>
          <w:szCs w:val="20"/>
          <w:color w:val="auto"/>
        </w:rPr>
        <w:t>" means the currency which is legal tender in the United Kingdom at the present time, or any other currency that may replace 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German Seller</w:t>
      </w:r>
      <w:r>
        <w:rPr>
          <w:rFonts w:ascii="Times New Roman" w:cs="Times New Roman" w:eastAsia="Times New Roman" w:hAnsi="Times New Roman"/>
          <w:sz w:val="20"/>
          <w:szCs w:val="20"/>
          <w:color w:val="auto"/>
        </w:rPr>
        <w:t>" means GOODYEAR GERMANY GmbH or any New Seller that is organized under German law.</w:t>
      </w:r>
    </w:p>
    <w:p>
      <w:pPr>
        <w:spacing w:after="0" w:line="189"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German RPA Sellers</w:t>
      </w:r>
      <w:r>
        <w:rPr>
          <w:rFonts w:ascii="Times New Roman" w:cs="Times New Roman" w:eastAsia="Times New Roman" w:hAnsi="Times New Roman"/>
          <w:sz w:val="20"/>
          <w:szCs w:val="20"/>
          <w:color w:val="auto"/>
        </w:rPr>
        <w:t>" means the German Seller and the Luxembourg Seller in their capacity as Sellers under the German Receivables Purchase Agreement.</w:t>
      </w:r>
    </w:p>
    <w:p>
      <w:pPr>
        <w:spacing w:after="0" w:line="5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GOODYEAR</w:t>
      </w:r>
      <w:r>
        <w:rPr>
          <w:rFonts w:ascii="Times New Roman" w:cs="Times New Roman" w:eastAsia="Times New Roman" w:hAnsi="Times New Roman"/>
          <w:sz w:val="20"/>
          <w:szCs w:val="20"/>
          <w:color w:val="auto"/>
        </w:rPr>
        <w:t xml:space="preserve">" means the parent company of the Goodyear Group,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GOODYEAR TIRE &amp; RUBBER COMPANY, a company incorporated under the laws of Ohio, having its registered office at 200 Innovation Way, Akron, Ohio, United States of America.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GOODYEAR Group</w:t>
      </w:r>
      <w:r>
        <w:rPr>
          <w:rFonts w:ascii="Times New Roman" w:cs="Times New Roman" w:eastAsia="Times New Roman" w:hAnsi="Times New Roman"/>
          <w:sz w:val="20"/>
          <w:szCs w:val="20"/>
          <w:color w:val="auto"/>
        </w:rPr>
        <w:t>" means the group of entities comprised of GOODYEAR and its Affiliates.</w:t>
      </w:r>
    </w:p>
    <w:p>
      <w:pPr>
        <w:spacing w:after="0" w:line="18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GOODYEAR EUROPE BV</w:t>
      </w:r>
      <w:r>
        <w:rPr>
          <w:rFonts w:ascii="Times New Roman" w:cs="Times New Roman" w:eastAsia="Times New Roman" w:hAnsi="Times New Roman"/>
          <w:sz w:val="20"/>
          <w:szCs w:val="20"/>
          <w:color w:val="auto"/>
        </w:rPr>
        <w:t>" means the GOODYEAR EUROPE B.V., parent company of the French, German, Luxembourg, UK and Spanish Sellers, incorporated under the laws of the Netherlands, having its registered office at Ledeboerstraat 21, 5048AC Tilburg, The Netherlands, and registered with the Dutch commercial register under the number 33225215.</w:t>
      </w:r>
    </w:p>
    <w:p>
      <w:pPr>
        <w:spacing w:after="0" w:line="5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Authorisation</w:t>
      </w:r>
      <w:r>
        <w:rPr>
          <w:rFonts w:ascii="Times New Roman" w:cs="Times New Roman" w:eastAsia="Times New Roman" w:hAnsi="Times New Roman"/>
          <w:sz w:val="20"/>
          <w:szCs w:val="20"/>
          <w:color w:val="auto"/>
        </w:rPr>
        <w:t>" means any authorization given by any "Governmental Authority" as such term is defined in the European Credit Facility.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in relation to any Debtor, the group of entities comprised of this Debtor and its Affiliates.</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9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Immobilisation Indemnity</w:t>
      </w:r>
      <w:r>
        <w:rPr>
          <w:rFonts w:ascii="Times New Roman" w:cs="Times New Roman" w:eastAsia="Times New Roman" w:hAnsi="Times New Roman"/>
          <w:sz w:val="20"/>
          <w:szCs w:val="20"/>
          <w:color w:val="auto"/>
        </w:rPr>
        <w:t>" means any immobilisation indemnity paid by ESTER to the Depositor in accordance with the Master Senior Deposit Agreement.</w:t>
      </w:r>
    </w:p>
    <w:p>
      <w:pPr>
        <w:spacing w:after="0" w:line="4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Increase in the Subordinated Deposit</w:t>
      </w:r>
      <w:r>
        <w:rPr>
          <w:rFonts w:ascii="Times New Roman" w:cs="Times New Roman" w:eastAsia="Times New Roman" w:hAnsi="Times New Roman"/>
          <w:sz w:val="20"/>
          <w:szCs w:val="20"/>
          <w:color w:val="auto"/>
        </w:rPr>
        <w:t>" means, on any Settlement Date during the Replenishment Period, the excess of (a) the amount of the Subordinated Deposit on such Settlement Date in accordance with the Master Subordinated Deposit Agreement over (b) the amount of the Subordinated Deposit on the preceding Settlement Date.</w:t>
      </w:r>
    </w:p>
    <w:p>
      <w:pPr>
        <w:spacing w:after="0" w:line="5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Date</w:t>
      </w:r>
      <w:r>
        <w:rPr>
          <w:rFonts w:ascii="Times New Roman" w:cs="Times New Roman" w:eastAsia="Times New Roman" w:hAnsi="Times New Roman"/>
          <w:sz w:val="20"/>
          <w:szCs w:val="20"/>
          <w:color w:val="auto"/>
        </w:rPr>
        <w:t xml:space="preserve">" means each of the dates identified as such in SCHEDULE 9 and on which the Centralising Unit, acting in the name and on behalf of the Sellers, is required to transmit to the Agent the Assessment Report prepared as of the preceding Assessment Date, as well as the List of Purchasable Receivables, </w:t>
      </w:r>
      <w:r>
        <w:rPr>
          <w:rFonts w:ascii="Times New Roman" w:cs="Times New Roman" w:eastAsia="Times New Roman" w:hAnsi="Times New Roman"/>
          <w:sz w:val="20"/>
          <w:szCs w:val="20"/>
          <w:i w:val="1"/>
          <w:iCs w:val="1"/>
          <w:u w:val="single" w:color="auto"/>
          <w:color w:val="auto"/>
        </w:rPr>
        <w:t>it being provided</w:t>
      </w:r>
      <w:r>
        <w:rPr>
          <w:rFonts w:ascii="Times New Roman" w:cs="Times New Roman" w:eastAsia="Times New Roman" w:hAnsi="Times New Roman"/>
          <w:sz w:val="20"/>
          <w:szCs w:val="20"/>
          <w:color w:val="auto"/>
        </w:rPr>
        <w:t xml:space="preserve"> that for as long as no Bi-monthly Management Period is outstanding, only those dates identified as "Funded Information Date" in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shall be considered as "Information Date".</w:t>
      </w:r>
    </w:p>
    <w:p>
      <w:pPr>
        <w:spacing w:after="0" w:line="69"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Purchase Price</w:t>
      </w:r>
      <w:r>
        <w:rPr>
          <w:rFonts w:ascii="Times New Roman" w:cs="Times New Roman" w:eastAsia="Times New Roman" w:hAnsi="Times New Roman"/>
          <w:sz w:val="20"/>
          <w:szCs w:val="20"/>
          <w:color w:val="auto"/>
        </w:rPr>
        <w:t>" means, in relation to any Remaining Purchasable Receivable or Ongoing Purchasable Receivable acquired or to be acquired by the Purchaser in respect of each Seller, the Outstanding Amount of such Remaining Purchasable Receivable or Ongoing Purchasable Receivable less, in each case, the applicable Discount Amount.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Settlement Date</w:t>
      </w:r>
      <w:r>
        <w:rPr>
          <w:rFonts w:ascii="Times New Roman" w:cs="Times New Roman" w:eastAsia="Times New Roman" w:hAnsi="Times New Roman"/>
          <w:sz w:val="20"/>
          <w:szCs w:val="20"/>
          <w:color w:val="auto"/>
        </w:rPr>
        <w:t>" means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December 2004.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Proceedings</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760" w:hanging="752"/>
        <w:spacing w:after="0"/>
        <w:tabs>
          <w:tab w:leader="none" w:pos="76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being resident in France or having its principal place of business in France:</w:t>
      </w:r>
    </w:p>
    <w:p>
      <w:pPr>
        <w:spacing w:after="0" w:line="184" w:lineRule="exact"/>
        <w:rPr>
          <w:rFonts w:ascii="Times New Roman" w:cs="Times New Roman" w:eastAsia="Times New Roman" w:hAnsi="Times New Roman"/>
          <w:sz w:val="20"/>
          <w:szCs w:val="20"/>
          <w:color w:val="auto"/>
        </w:rPr>
      </w:pPr>
    </w:p>
    <w:p>
      <w:pPr>
        <w:ind w:left="1540" w:hanging="767"/>
        <w:spacing w:after="0" w:line="335" w:lineRule="auto"/>
        <w:tabs>
          <w:tab w:leader="none" w:pos="1079"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such person being unable to pay its debt as they fall due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in accordance with article L. 631-1 of French Commercial Code (</w:t>
      </w:r>
      <w:r>
        <w:rPr>
          <w:rFonts w:ascii="Times New Roman" w:cs="Times New Roman" w:eastAsia="Times New Roman" w:hAnsi="Times New Roman"/>
          <w:sz w:val="20"/>
          <w:szCs w:val="20"/>
          <w:i w:val="1"/>
          <w:iCs w:val="1"/>
          <w:color w:val="auto"/>
        </w:rPr>
        <w:t>Code de commerce</w:t>
      </w:r>
      <w:r>
        <w:rPr>
          <w:rFonts w:ascii="Times New Roman" w:cs="Times New Roman" w:eastAsia="Times New Roman" w:hAnsi="Times New Roman"/>
          <w:sz w:val="20"/>
          <w:szCs w:val="20"/>
          <w:color w:val="auto"/>
        </w:rPr>
        <w:t>), or initiating voluntary arrangements with its creditors (</w:t>
      </w:r>
      <w:r>
        <w:rPr>
          <w:rFonts w:ascii="Times New Roman" w:cs="Times New Roman" w:eastAsia="Times New Roman" w:hAnsi="Times New Roman"/>
          <w:sz w:val="20"/>
          <w:szCs w:val="20"/>
          <w:i w:val="1"/>
          <w:iCs w:val="1"/>
          <w:color w:val="auto"/>
        </w:rPr>
        <w:t>règlement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amiable</w:t>
      </w:r>
      <w:r>
        <w:rPr>
          <w:rFonts w:ascii="Times New Roman" w:cs="Times New Roman" w:eastAsia="Times New Roman" w:hAnsi="Times New Roman"/>
          <w:sz w:val="20"/>
          <w:szCs w:val="20"/>
          <w:color w:val="auto"/>
        </w:rPr>
        <w:t>) or being subject to insolvency proceedings opened by a competent court (</w:t>
      </w:r>
      <w:r>
        <w:rPr>
          <w:rFonts w:ascii="Times New Roman" w:cs="Times New Roman" w:eastAsia="Times New Roman" w:hAnsi="Times New Roman"/>
          <w:sz w:val="20"/>
          <w:szCs w:val="20"/>
          <w:i w:val="1"/>
          <w:iCs w:val="1"/>
          <w:color w:val="auto"/>
        </w:rPr>
        <w:t>sauvegarde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sauvegarde accélérée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redressement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liquidation judiciaire</w:t>
      </w:r>
      <w:r>
        <w:rPr>
          <w:rFonts w:ascii="Times New Roman" w:cs="Times New Roman" w:eastAsia="Times New Roman" w:hAnsi="Times New Roman"/>
          <w:sz w:val="20"/>
          <w:szCs w:val="20"/>
          <w:color w:val="auto"/>
        </w:rPr>
        <w:t>), all of which as construed by articles L.611-1</w:t>
      </w:r>
      <w:r>
        <w:rPr>
          <w:rFonts w:ascii="Times New Roman" w:cs="Times New Roman" w:eastAsia="Times New Roman" w:hAnsi="Times New Roman"/>
          <w:sz w:val="20"/>
          <w:szCs w:val="20"/>
          <w:i w:val="1"/>
          <w:iCs w:val="1"/>
          <w:color w:val="auto"/>
        </w:rPr>
        <w:t xml:space="preserve"> et seq</w:t>
      </w:r>
      <w:r>
        <w:rPr>
          <w:rFonts w:ascii="Times New Roman" w:cs="Times New Roman" w:eastAsia="Times New Roman" w:hAnsi="Times New Roman"/>
          <w:sz w:val="20"/>
          <w:szCs w:val="20"/>
          <w:color w:val="auto"/>
        </w:rPr>
        <w:t>. of the French Commercial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Code or, as the case may be, by articles L.620-1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of the French Commercial Code;</w:t>
      </w:r>
    </w:p>
    <w:p>
      <w:pPr>
        <w:spacing w:after="0" w:line="68" w:lineRule="exact"/>
        <w:rPr>
          <w:rFonts w:ascii="Times New Roman" w:cs="Times New Roman" w:eastAsia="Times New Roman" w:hAnsi="Times New Roman"/>
          <w:sz w:val="20"/>
          <w:szCs w:val="20"/>
          <w:color w:val="auto"/>
        </w:rPr>
      </w:pPr>
    </w:p>
    <w:p>
      <w:pPr>
        <w:ind w:left="1540" w:right="20" w:hanging="767"/>
        <w:spacing w:after="0" w:line="357" w:lineRule="auto"/>
        <w:tabs>
          <w:tab w:leader="none" w:pos="1049"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auditor of such person has declared an alert procedure (</w:t>
      </w:r>
      <w:r>
        <w:rPr>
          <w:rFonts w:ascii="Times New Roman" w:cs="Times New Roman" w:eastAsia="Times New Roman" w:hAnsi="Times New Roman"/>
          <w:sz w:val="20"/>
          <w:szCs w:val="20"/>
          <w:i w:val="1"/>
          <w:iCs w:val="1"/>
          <w:color w:val="auto"/>
        </w:rPr>
        <w:t>procédure d'alerte</w:t>
      </w:r>
      <w:r>
        <w:rPr>
          <w:rFonts w:ascii="Times New Roman" w:cs="Times New Roman" w:eastAsia="Times New Roman" w:hAnsi="Times New Roman"/>
          <w:sz w:val="20"/>
          <w:szCs w:val="20"/>
          <w:color w:val="auto"/>
        </w:rPr>
        <w:t>) within the meaning of article L. 234-1 of the French Commercial Code (</w:t>
      </w:r>
      <w:r>
        <w:rPr>
          <w:rFonts w:ascii="Times New Roman" w:cs="Times New Roman" w:eastAsia="Times New Roman" w:hAnsi="Times New Roman"/>
          <w:sz w:val="20"/>
          <w:szCs w:val="20"/>
          <w:i w:val="1"/>
          <w:iCs w:val="1"/>
          <w:color w:val="auto"/>
        </w:rPr>
        <w:t>Code de commerce</w:t>
      </w:r>
      <w:r>
        <w:rPr>
          <w:rFonts w:ascii="Times New Roman" w:cs="Times New Roman" w:eastAsia="Times New Roman" w:hAnsi="Times New Roman"/>
          <w:sz w:val="20"/>
          <w:szCs w:val="20"/>
          <w:color w:val="auto"/>
        </w:rPr>
        <w:t>);</w:t>
      </w:r>
    </w:p>
    <w:p>
      <w:pPr>
        <w:spacing w:after="0" w:line="44" w:lineRule="exact"/>
        <w:rPr>
          <w:rFonts w:ascii="Times New Roman" w:cs="Times New Roman" w:eastAsia="Times New Roman" w:hAnsi="Times New Roman"/>
          <w:sz w:val="20"/>
          <w:szCs w:val="20"/>
          <w:color w:val="auto"/>
        </w:rPr>
      </w:pPr>
    </w:p>
    <w:p>
      <w:pPr>
        <w:ind w:left="780" w:right="20" w:hanging="772"/>
        <w:spacing w:after="0" w:line="371" w:lineRule="auto"/>
        <w:tabs>
          <w:tab w:leader="none" w:pos="77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being resident in Germany or having its center of main interests in Germany (hereinafter the "</w:t>
      </w:r>
      <w:r>
        <w:rPr>
          <w:rFonts w:ascii="Times New Roman" w:cs="Times New Roman" w:eastAsia="Times New Roman" w:hAnsi="Times New Roman"/>
          <w:sz w:val="20"/>
          <w:szCs w:val="20"/>
          <w:b w:val="1"/>
          <w:bCs w:val="1"/>
          <w:color w:val="auto"/>
        </w:rPr>
        <w:t>German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Resident</w:t>
      </w:r>
      <w:r>
        <w:rPr>
          <w:rFonts w:ascii="Times New Roman" w:cs="Times New Roman" w:eastAsia="Times New Roman" w:hAnsi="Times New Roman"/>
          <w:sz w:val="20"/>
          <w:szCs w:val="20"/>
          <w:color w:val="auto"/>
        </w:rPr>
        <w:t>"):</w:t>
      </w:r>
    </w:p>
    <w:p>
      <w:pPr>
        <w:spacing w:after="0" w:line="31" w:lineRule="exact"/>
        <w:rPr>
          <w:rFonts w:ascii="Times New Roman" w:cs="Times New Roman" w:eastAsia="Times New Roman" w:hAnsi="Times New Roman"/>
          <w:sz w:val="20"/>
          <w:szCs w:val="20"/>
          <w:color w:val="auto"/>
        </w:rPr>
      </w:pPr>
    </w:p>
    <w:p>
      <w:pPr>
        <w:jc w:val="both"/>
        <w:ind w:left="1540" w:hanging="767"/>
        <w:spacing w:after="0" w:line="389" w:lineRule="auto"/>
        <w:tabs>
          <w:tab w:leader="none" w:pos="1529" w:val="left"/>
        </w:tabs>
        <w:numPr>
          <w:ilvl w:val="1"/>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German Resident is (i) overindebted (</w:t>
      </w:r>
      <w:r>
        <w:rPr>
          <w:rFonts w:ascii="Times New Roman" w:cs="Times New Roman" w:eastAsia="Times New Roman" w:hAnsi="Times New Roman"/>
          <w:sz w:val="19"/>
          <w:szCs w:val="19"/>
          <w:i w:val="1"/>
          <w:iCs w:val="1"/>
          <w:color w:val="auto"/>
        </w:rPr>
        <w:t>überschuldet</w:t>
      </w:r>
      <w:r>
        <w:rPr>
          <w:rFonts w:ascii="Times New Roman" w:cs="Times New Roman" w:eastAsia="Times New Roman" w:hAnsi="Times New Roman"/>
          <w:sz w:val="19"/>
          <w:szCs w:val="19"/>
          <w:color w:val="auto"/>
        </w:rPr>
        <w:t>), unable to pay its debts as they fall due (</w:t>
      </w:r>
      <w:r>
        <w:rPr>
          <w:rFonts w:ascii="Times New Roman" w:cs="Times New Roman" w:eastAsia="Times New Roman" w:hAnsi="Times New Roman"/>
          <w:sz w:val="19"/>
          <w:szCs w:val="19"/>
          <w:i w:val="1"/>
          <w:iCs w:val="1"/>
          <w:color w:val="auto"/>
        </w:rPr>
        <w:t>zahlungsunfähig</w:t>
      </w:r>
      <w:r>
        <w:rPr>
          <w:rFonts w:ascii="Times New Roman" w:cs="Times New Roman" w:eastAsia="Times New Roman" w:hAnsi="Times New Roman"/>
          <w:sz w:val="19"/>
          <w:szCs w:val="19"/>
          <w:color w:val="auto"/>
        </w:rPr>
        <w:t>) or such status is imminent (</w:t>
      </w:r>
      <w:r>
        <w:rPr>
          <w:rFonts w:ascii="Times New Roman" w:cs="Times New Roman" w:eastAsia="Times New Roman" w:hAnsi="Times New Roman"/>
          <w:sz w:val="19"/>
          <w:szCs w:val="19"/>
          <w:i w:val="1"/>
          <w:iCs w:val="1"/>
          <w:color w:val="auto"/>
        </w:rPr>
        <w:t>drohende Zahlungsunfähigkeit</w:t>
      </w:r>
      <w:r>
        <w:rPr>
          <w:rFonts w:ascii="Times New Roman" w:cs="Times New Roman" w:eastAsia="Times New Roman" w:hAnsi="Times New Roman"/>
          <w:sz w:val="19"/>
          <w:szCs w:val="19"/>
          <w:color w:val="auto"/>
        </w:rPr>
        <w:t>) in accordance with Sections 17 to 19 of the German Insolvency Code;</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95" w:lineRule="exact"/>
        <w:rPr>
          <w:sz w:val="20"/>
          <w:szCs w:val="20"/>
          <w:color w:val="auto"/>
        </w:rPr>
      </w:pPr>
    </w:p>
    <w:p>
      <w:pPr>
        <w:ind w:left="1512" w:hanging="747"/>
        <w:spacing w:after="0"/>
        <w:tabs>
          <w:tab w:leader="none" w:pos="1512"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Resident commences negotiations with its creditors to reach a moratorium or ceases to make payments;</w:t>
      </w:r>
    </w:p>
    <w:p>
      <w:pPr>
        <w:spacing w:after="0" w:line="188" w:lineRule="exact"/>
        <w:rPr>
          <w:rFonts w:ascii="Times New Roman" w:cs="Times New Roman" w:eastAsia="Times New Roman" w:hAnsi="Times New Roman"/>
          <w:sz w:val="20"/>
          <w:szCs w:val="20"/>
          <w:color w:val="auto"/>
        </w:rPr>
      </w:pPr>
    </w:p>
    <w:p>
      <w:pPr>
        <w:jc w:val="both"/>
        <w:ind w:left="1532" w:hanging="767"/>
        <w:spacing w:after="0" w:line="345" w:lineRule="auto"/>
        <w:tabs>
          <w:tab w:leader="none" w:pos="1521"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Resident is subject to any (preliminary) insolvency proceedings pursuant to the German Insolvency Code, in particular without limitation if a German insolvency court appointed a (preliminary) insolvency administrator or issued any preliminary measures pursuant to Section 21 of the German Insolvency Code in respect of the German Resident;</w:t>
      </w:r>
    </w:p>
    <w:p>
      <w:pPr>
        <w:spacing w:after="0" w:line="57" w:lineRule="exact"/>
        <w:rPr>
          <w:rFonts w:ascii="Times New Roman" w:cs="Times New Roman" w:eastAsia="Times New Roman" w:hAnsi="Times New Roman"/>
          <w:sz w:val="20"/>
          <w:szCs w:val="20"/>
          <w:color w:val="auto"/>
        </w:rPr>
      </w:pPr>
    </w:p>
    <w:p>
      <w:pPr>
        <w:ind w:left="1512" w:hanging="747"/>
        <w:spacing w:after="0"/>
        <w:tabs>
          <w:tab w:leader="none" w:pos="1512"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Resident is subject to any winding up, dissolution or liquidation proceedings (</w:t>
      </w:r>
      <w:r>
        <w:rPr>
          <w:rFonts w:ascii="Times New Roman" w:cs="Times New Roman" w:eastAsia="Times New Roman" w:hAnsi="Times New Roman"/>
          <w:sz w:val="20"/>
          <w:szCs w:val="20"/>
          <w:i w:val="1"/>
          <w:iCs w:val="1"/>
          <w:color w:val="auto"/>
        </w:rPr>
        <w:t>Liquidationsverfahren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532" w:hanging="767"/>
        <w:spacing w:after="0" w:line="353" w:lineRule="auto"/>
        <w:tabs>
          <w:tab w:leader="none" w:pos="1521"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Resident is subject to any restructuring proceedings, in particular without limitation under the German Corporate Stabilization and Restructuring Act (</w:t>
      </w:r>
      <w:r>
        <w:rPr>
          <w:rFonts w:ascii="Times New Roman" w:cs="Times New Roman" w:eastAsia="Times New Roman" w:hAnsi="Times New Roman"/>
          <w:sz w:val="20"/>
          <w:szCs w:val="20"/>
          <w:i w:val="1"/>
          <w:iCs w:val="1"/>
          <w:color w:val="auto"/>
        </w:rPr>
        <w:t>Unternehmens-stabilisierungs- und Restrukturierungsgesetz</w:t>
      </w:r>
      <w:r>
        <w:rPr>
          <w:rFonts w:ascii="Times New Roman" w:cs="Times New Roman" w:eastAsia="Times New Roman" w:hAnsi="Times New Roman"/>
          <w:sz w:val="20"/>
          <w:szCs w:val="20"/>
          <w:color w:val="auto"/>
        </w:rPr>
        <w:t>);</w:t>
      </w:r>
    </w:p>
    <w:p>
      <w:pPr>
        <w:spacing w:after="0" w:line="52" w:lineRule="exact"/>
        <w:rPr>
          <w:rFonts w:ascii="Times New Roman" w:cs="Times New Roman" w:eastAsia="Times New Roman" w:hAnsi="Times New Roman"/>
          <w:sz w:val="20"/>
          <w:szCs w:val="20"/>
          <w:color w:val="auto"/>
        </w:rPr>
      </w:pPr>
    </w:p>
    <w:p>
      <w:pPr>
        <w:ind w:left="1532" w:right="20" w:hanging="767"/>
        <w:spacing w:after="0" w:line="353" w:lineRule="auto"/>
        <w:tabs>
          <w:tab w:leader="none" w:pos="1521"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 similar to the German law proceeding set out above in this sub-clause (ii) but governed under any other law than German law is instituted against the German Resident;</w:t>
      </w:r>
    </w:p>
    <w:p>
      <w:pPr>
        <w:spacing w:after="0" w:line="61"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any person being resident in Spain or having the center of its interests in Spain, (hereinafter, the "</w:t>
      </w:r>
      <w:r>
        <w:rPr>
          <w:rFonts w:ascii="Times New Roman" w:cs="Times New Roman" w:eastAsia="Times New Roman" w:hAnsi="Times New Roman"/>
          <w:sz w:val="19"/>
          <w:szCs w:val="19"/>
          <w:b w:val="1"/>
          <w:bCs w:val="1"/>
          <w:color w:val="auto"/>
        </w:rPr>
        <w:t>Spanish Resident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left="1532" w:hanging="767"/>
        <w:spacing w:after="0" w:line="340" w:lineRule="auto"/>
        <w:tabs>
          <w:tab w:leader="none" w:pos="1521"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Spanish Resident is unable to pay its debts as they fall due (</w:t>
      </w:r>
      <w:r>
        <w:rPr>
          <w:rFonts w:ascii="Times New Roman" w:cs="Times New Roman" w:eastAsia="Times New Roman" w:hAnsi="Times New Roman"/>
          <w:sz w:val="20"/>
          <w:szCs w:val="20"/>
          <w:i w:val="1"/>
          <w:iCs w:val="1"/>
          <w:color w:val="auto"/>
        </w:rPr>
        <w:t>estado de insolvencia actual</w:t>
      </w:r>
      <w:r>
        <w:rPr>
          <w:rFonts w:ascii="Times New Roman" w:cs="Times New Roman" w:eastAsia="Times New Roman" w:hAnsi="Times New Roman"/>
          <w:sz w:val="20"/>
          <w:szCs w:val="20"/>
          <w:color w:val="auto"/>
        </w:rPr>
        <w:t>), on regular basis, or is in an imminent insolvency status (</w:t>
      </w:r>
      <w:r>
        <w:rPr>
          <w:rFonts w:ascii="Times New Roman" w:cs="Times New Roman" w:eastAsia="Times New Roman" w:hAnsi="Times New Roman"/>
          <w:sz w:val="20"/>
          <w:szCs w:val="20"/>
          <w:i w:val="1"/>
          <w:iCs w:val="1"/>
          <w:color w:val="auto"/>
        </w:rPr>
        <w:t>estado de insolvencia inminente</w:t>
      </w:r>
      <w:r>
        <w:rPr>
          <w:rFonts w:ascii="Times New Roman" w:cs="Times New Roman" w:eastAsia="Times New Roman" w:hAnsi="Times New Roman"/>
          <w:sz w:val="20"/>
          <w:szCs w:val="20"/>
          <w:color w:val="auto"/>
        </w:rPr>
        <w:t>) within the meaning of article 2 of the Spanish Insolvency Act;</w:t>
      </w:r>
    </w:p>
    <w:p>
      <w:pPr>
        <w:spacing w:after="0" w:line="62" w:lineRule="exact"/>
        <w:rPr>
          <w:rFonts w:ascii="Times New Roman" w:cs="Times New Roman" w:eastAsia="Times New Roman" w:hAnsi="Times New Roman"/>
          <w:sz w:val="20"/>
          <w:szCs w:val="20"/>
          <w:color w:val="auto"/>
        </w:rPr>
      </w:pPr>
    </w:p>
    <w:p>
      <w:pPr>
        <w:jc w:val="both"/>
        <w:ind w:left="1532" w:hanging="767"/>
        <w:spacing w:after="0" w:line="330" w:lineRule="auto"/>
        <w:tabs>
          <w:tab w:leader="none" w:pos="1521"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declaración de concurso</w:t>
      </w:r>
      <w:r>
        <w:rPr>
          <w:rFonts w:ascii="Times New Roman" w:cs="Times New Roman" w:eastAsia="Times New Roman" w:hAnsi="Times New Roman"/>
          <w:sz w:val="20"/>
          <w:szCs w:val="20"/>
          <w:color w:val="auto"/>
        </w:rPr>
        <w:t xml:space="preserve"> (without prejudice to its </w:t>
      </w:r>
      <w:r>
        <w:rPr>
          <w:rFonts w:ascii="Times New Roman" w:cs="Times New Roman" w:eastAsia="Times New Roman" w:hAnsi="Times New Roman"/>
          <w:sz w:val="20"/>
          <w:szCs w:val="20"/>
          <w:i w:val="1"/>
          <w:iCs w:val="1"/>
          <w:color w:val="auto"/>
        </w:rPr>
        <w:t>carácter necesario o voluntario</w:t>
      </w:r>
      <w:r>
        <w:rPr>
          <w:rFonts w:ascii="Times New Roman" w:cs="Times New Roman" w:eastAsia="Times New Roman" w:hAnsi="Times New Roman"/>
          <w:sz w:val="20"/>
          <w:szCs w:val="20"/>
          <w:color w:val="auto"/>
        </w:rPr>
        <w:t xml:space="preserve">), any step or proceeding related to it, any </w:t>
      </w:r>
      <w:r>
        <w:rPr>
          <w:rFonts w:ascii="Times New Roman" w:cs="Times New Roman" w:eastAsia="Times New Roman" w:hAnsi="Times New Roman"/>
          <w:sz w:val="20"/>
          <w:szCs w:val="20"/>
          <w:i w:val="1"/>
          <w:iCs w:val="1"/>
          <w:color w:val="auto"/>
        </w:rPr>
        <w:t>solicitud de inicio de procedimento de concurso</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0"/>
          <w:szCs w:val="20"/>
          <w:i w:val="1"/>
          <w:iCs w:val="1"/>
          <w:color w:val="auto"/>
        </w:rPr>
        <w:t>auto de declaración de concurso</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0"/>
          <w:szCs w:val="20"/>
          <w:i w:val="1"/>
          <w:iCs w:val="1"/>
          <w:color w:val="auto"/>
        </w:rPr>
        <w:t>convenio judicial 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extrajudicial con acreedores</w:t>
      </w:r>
      <w:r>
        <w:rPr>
          <w:rFonts w:ascii="Times New Roman" w:cs="Times New Roman" w:eastAsia="Times New Roman" w:hAnsi="Times New Roman"/>
          <w:sz w:val="20"/>
          <w:szCs w:val="20"/>
          <w:color w:val="auto"/>
        </w:rPr>
        <w:t>, any sort of</w:t>
      </w:r>
      <w:r>
        <w:rPr>
          <w:rFonts w:ascii="Times New Roman" w:cs="Times New Roman" w:eastAsia="Times New Roman" w:hAnsi="Times New Roman"/>
          <w:sz w:val="20"/>
          <w:szCs w:val="20"/>
          <w:i w:val="1"/>
          <w:iCs w:val="1"/>
          <w:color w:val="auto"/>
        </w:rPr>
        <w:t xml:space="preserve"> transacción judicial o extrajudicial</w:t>
      </w:r>
      <w:r>
        <w:rPr>
          <w:rFonts w:ascii="Times New Roman" w:cs="Times New Roman" w:eastAsia="Times New Roman" w:hAnsi="Times New Roman"/>
          <w:sz w:val="20"/>
          <w:szCs w:val="20"/>
          <w:color w:val="auto"/>
        </w:rPr>
        <w:t>, the suspension of payments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without limitation and if applicable </w:t>
      </w:r>
      <w:r>
        <w:rPr>
          <w:rFonts w:ascii="Times New Roman" w:cs="Times New Roman" w:eastAsia="Times New Roman" w:hAnsi="Times New Roman"/>
          <w:sz w:val="20"/>
          <w:szCs w:val="20"/>
          <w:i w:val="1"/>
          <w:iCs w:val="1"/>
          <w:color w:val="auto"/>
        </w:rPr>
        <w:t>sobreseimiento generalizado de pagos</w:t>
      </w:r>
      <w:r>
        <w:rPr>
          <w:rFonts w:ascii="Times New Roman" w:cs="Times New Roman" w:eastAsia="Times New Roman" w:hAnsi="Times New Roman"/>
          <w:sz w:val="20"/>
          <w:szCs w:val="20"/>
          <w:color w:val="auto"/>
        </w:rPr>
        <w:t xml:space="preserve">), a moratorium of any indebtedness, winding-up (including without limitation and if applicable </w:t>
      </w:r>
      <w:r>
        <w:rPr>
          <w:rFonts w:ascii="Times New Roman" w:cs="Times New Roman" w:eastAsia="Times New Roman" w:hAnsi="Times New Roman"/>
          <w:sz w:val="20"/>
          <w:szCs w:val="20"/>
          <w:i w:val="1"/>
          <w:iCs w:val="1"/>
          <w:color w:val="auto"/>
        </w:rPr>
        <w:t>liquidación</w:t>
      </w:r>
      <w:r>
        <w:rPr>
          <w:rFonts w:ascii="Times New Roman" w:cs="Times New Roman" w:eastAsia="Times New Roman" w:hAnsi="Times New Roman"/>
          <w:sz w:val="20"/>
          <w:szCs w:val="20"/>
          <w:color w:val="auto"/>
        </w:rPr>
        <w:t xml:space="preserve">), dissolution (including without limitation and if applicable </w:t>
      </w:r>
      <w:r>
        <w:rPr>
          <w:rFonts w:ascii="Times New Roman" w:cs="Times New Roman" w:eastAsia="Times New Roman" w:hAnsi="Times New Roman"/>
          <w:sz w:val="20"/>
          <w:szCs w:val="20"/>
          <w:i w:val="1"/>
          <w:iCs w:val="1"/>
          <w:color w:val="auto"/>
        </w:rPr>
        <w:t>disolución</w:t>
      </w:r>
      <w:r>
        <w:rPr>
          <w:rFonts w:ascii="Times New Roman" w:cs="Times New Roman" w:eastAsia="Times New Roman" w:hAnsi="Times New Roman"/>
          <w:sz w:val="20"/>
          <w:szCs w:val="20"/>
          <w:color w:val="auto"/>
        </w:rPr>
        <w:t>), bankruptcy, administration or reorganisation (by way of voluntary arrangement, scheme of arrangement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otherwise) of the Spanish Resident (expressly including, without limitation, by way of voluntary arrangement, scheme of arrangement, a general assignment, arrangement or composition (including without limitation and if applicable </w:t>
      </w:r>
      <w:r>
        <w:rPr>
          <w:rFonts w:ascii="Times New Roman" w:cs="Times New Roman" w:eastAsia="Times New Roman" w:hAnsi="Times New Roman"/>
          <w:sz w:val="20"/>
          <w:szCs w:val="20"/>
          <w:i w:val="1"/>
          <w:iCs w:val="1"/>
          <w:color w:val="auto"/>
        </w:rPr>
        <w:t>convenio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homologación judicial </w:t>
      </w:r>
      <w:r>
        <w:rPr>
          <w:rFonts w:ascii="Times New Roman" w:cs="Times New Roman" w:eastAsia="Times New Roman" w:hAnsi="Times New Roman"/>
          <w:sz w:val="20"/>
          <w:szCs w:val="20"/>
          <w:color w:val="auto"/>
        </w:rPr>
        <w:t>or otherwise), examinership, negotiation with creditors for the purposes set forth in (or any notice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a competent court pursuant to) article 583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Spanish Insolvency Act or any similar proceedings or situation under the corporate, commercial, insolvency and civil law legislation applicable to the Spanish Resident;</w:t>
      </w:r>
    </w:p>
    <w:p>
      <w:pPr>
        <w:sectPr>
          <w:pgSz w:w="11900" w:h="16838" w:orient="portrait"/>
          <w:cols w:equalWidth="0" w:num="1">
            <w:col w:w="11232"/>
          </w:cols>
          <w:pgMar w:left="328" w:top="1440" w:right="339" w:bottom="1440" w:gutter="0" w:footer="0" w:header="0"/>
        </w:sectPr>
      </w:pPr>
    </w:p>
    <w:bookmarkStart w:id="247" w:name="page248"/>
    <w:bookmarkEnd w:id="247"/>
    <w:p>
      <w:pPr>
        <w:spacing w:after="0" w:line="95" w:lineRule="exact"/>
        <w:rPr>
          <w:sz w:val="20"/>
          <w:szCs w:val="20"/>
          <w:color w:val="auto"/>
        </w:rPr>
      </w:pPr>
    </w:p>
    <w:p>
      <w:pPr>
        <w:jc w:val="both"/>
        <w:ind w:left="1532" w:hanging="767"/>
        <w:spacing w:after="0" w:line="338"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to a competent court pursuant to article 585 of the Spanish Insolvency Act, approving the consolidated text of the Insolvency Act, any arrangement or compromise to obtain a release or stay of the Spanish Resident´s current indebtedness including, among others, a restructuring plan within the meaning of article 614 of the Spanish Insolvency Act;</w:t>
      </w:r>
    </w:p>
    <w:p>
      <w:pPr>
        <w:spacing w:after="0" w:line="67" w:lineRule="exact"/>
        <w:rPr>
          <w:rFonts w:ascii="Times New Roman" w:cs="Times New Roman" w:eastAsia="Times New Roman" w:hAnsi="Times New Roman"/>
          <w:sz w:val="20"/>
          <w:szCs w:val="20"/>
          <w:color w:val="auto"/>
        </w:rPr>
      </w:pPr>
    </w:p>
    <w:p>
      <w:pPr>
        <w:jc w:val="both"/>
        <w:ind w:left="1532" w:hanging="767"/>
        <w:spacing w:after="0" w:line="338"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appointment of a liquidator, receiver, administrative receiver, administrator (including without limitation and if applicable </w:t>
      </w:r>
      <w:r>
        <w:rPr>
          <w:rFonts w:ascii="Times New Roman" w:cs="Times New Roman" w:eastAsia="Times New Roman" w:hAnsi="Times New Roman"/>
          <w:sz w:val="20"/>
          <w:szCs w:val="20"/>
          <w:i w:val="1"/>
          <w:iCs w:val="1"/>
          <w:color w:val="auto"/>
        </w:rPr>
        <w:t>administrador concursal</w:t>
      </w:r>
      <w:r>
        <w:rPr>
          <w:rFonts w:ascii="Times New Roman" w:cs="Times New Roman" w:eastAsia="Times New Roman" w:hAnsi="Times New Roman"/>
          <w:sz w:val="20"/>
          <w:szCs w:val="20"/>
          <w:color w:val="auto"/>
        </w:rPr>
        <w:t>), compulsory manager or other similar officer in respect of the Spanish Resident or any of its assets;</w:t>
      </w:r>
    </w:p>
    <w:p>
      <w:pPr>
        <w:spacing w:after="0" w:line="63" w:lineRule="exact"/>
        <w:rPr>
          <w:rFonts w:ascii="Times New Roman" w:cs="Times New Roman" w:eastAsia="Times New Roman" w:hAnsi="Times New Roman"/>
          <w:sz w:val="20"/>
          <w:szCs w:val="20"/>
          <w:color w:val="auto"/>
        </w:rPr>
      </w:pPr>
    </w:p>
    <w:p>
      <w:pPr>
        <w:ind w:left="1532" w:hanging="767"/>
        <w:spacing w:after="0" w:line="357"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Spanish Resident is subject to governmental or judicial administration in Spain (</w:t>
      </w:r>
      <w:r>
        <w:rPr>
          <w:rFonts w:ascii="Times New Roman" w:cs="Times New Roman" w:eastAsia="Times New Roman" w:hAnsi="Times New Roman"/>
          <w:sz w:val="20"/>
          <w:szCs w:val="20"/>
          <w:i w:val="1"/>
          <w:iCs w:val="1"/>
          <w:color w:val="auto"/>
        </w:rPr>
        <w:t>intervención administrativa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administración judicial</w:t>
      </w:r>
      <w:r>
        <w:rPr>
          <w:rFonts w:ascii="Times New Roman" w:cs="Times New Roman" w:eastAsia="Times New Roman" w:hAnsi="Times New Roman"/>
          <w:sz w:val="20"/>
          <w:szCs w:val="20"/>
          <w:color w:val="auto"/>
        </w:rPr>
        <w:t>); or</w:t>
      </w:r>
    </w:p>
    <w:p>
      <w:pPr>
        <w:spacing w:after="0" w:line="62" w:lineRule="exact"/>
        <w:rPr>
          <w:rFonts w:ascii="Times New Roman" w:cs="Times New Roman" w:eastAsia="Times New Roman" w:hAnsi="Times New Roman"/>
          <w:sz w:val="20"/>
          <w:szCs w:val="20"/>
          <w:color w:val="auto"/>
        </w:rPr>
      </w:pPr>
    </w:p>
    <w:p>
      <w:pPr>
        <w:ind w:left="1532" w:hanging="767"/>
        <w:spacing w:after="0" w:line="353"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insolvency proceeding, as defined in the current consolidated version of the Regulation (EU) No 2015/848 of 20 May 2015 on Insolvency Proceedings is taken in any jurisdiction regarding the Spanish Resident;</w:t>
      </w:r>
    </w:p>
    <w:p>
      <w:pPr>
        <w:spacing w:after="0" w:line="48"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being resident in Italy or having the center of its interests in Italy, (hereinafter, the "</w:t>
      </w:r>
      <w:r>
        <w:rPr>
          <w:rFonts w:ascii="Times New Roman" w:cs="Times New Roman" w:eastAsia="Times New Roman" w:hAnsi="Times New Roman"/>
          <w:sz w:val="20"/>
          <w:szCs w:val="20"/>
          <w:b w:val="1"/>
          <w:bCs w:val="1"/>
          <w:color w:val="auto"/>
        </w:rPr>
        <w:t>Italian Resident</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1532" w:hanging="767"/>
        <w:spacing w:after="0" w:line="338"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Italian Resident is insolvent, being unable to fulfil its obligations regularly, namely in due time and with usual means, as defined pursuant to article 121 of the Italian Bankruptcy Law (</w:t>
      </w:r>
      <w:r>
        <w:rPr>
          <w:rFonts w:ascii="Times New Roman" w:cs="Times New Roman" w:eastAsia="Times New Roman" w:hAnsi="Times New Roman"/>
          <w:sz w:val="20"/>
          <w:szCs w:val="20"/>
          <w:i w:val="1"/>
          <w:iCs w:val="1"/>
          <w:color w:val="auto"/>
        </w:rPr>
        <w:t>insolvenza</w:t>
      </w:r>
      <w:r>
        <w:rPr>
          <w:rFonts w:ascii="Times New Roman" w:cs="Times New Roman" w:eastAsia="Times New Roman" w:hAnsi="Times New Roman"/>
          <w:sz w:val="20"/>
          <w:szCs w:val="20"/>
          <w:color w:val="auto"/>
        </w:rPr>
        <w:t>) or is in status of crisis (</w:t>
      </w:r>
      <w:r>
        <w:rPr>
          <w:rFonts w:ascii="Times New Roman" w:cs="Times New Roman" w:eastAsia="Times New Roman" w:hAnsi="Times New Roman"/>
          <w:sz w:val="20"/>
          <w:szCs w:val="20"/>
          <w:i w:val="1"/>
          <w:iCs w:val="1"/>
          <w:color w:val="auto"/>
        </w:rPr>
        <w:t>crisi</w:t>
      </w:r>
      <w:r>
        <w:rPr>
          <w:rFonts w:ascii="Times New Roman" w:cs="Times New Roman" w:eastAsia="Times New Roman" w:hAnsi="Times New Roman"/>
          <w:sz w:val="20"/>
          <w:szCs w:val="20"/>
          <w:color w:val="auto"/>
        </w:rPr>
        <w:t>) pursuant to article 2, paragraph 1, lett. a) of the Italian Bankruptcy Law;</w:t>
      </w:r>
    </w:p>
    <w:p>
      <w:pPr>
        <w:spacing w:after="0" w:line="77" w:lineRule="exact"/>
        <w:rPr>
          <w:rFonts w:ascii="Times New Roman" w:cs="Times New Roman" w:eastAsia="Times New Roman" w:hAnsi="Times New Roman"/>
          <w:sz w:val="20"/>
          <w:szCs w:val="20"/>
          <w:color w:val="auto"/>
        </w:rPr>
      </w:pPr>
    </w:p>
    <w:p>
      <w:pPr>
        <w:jc w:val="both"/>
        <w:ind w:left="1532" w:hanging="767"/>
        <w:spacing w:after="0" w:line="340"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judicial liquidation (</w:t>
      </w:r>
      <w:r>
        <w:rPr>
          <w:rFonts w:ascii="Times New Roman" w:cs="Times New Roman" w:eastAsia="Times New Roman" w:hAnsi="Times New Roman"/>
          <w:sz w:val="20"/>
          <w:szCs w:val="20"/>
          <w:i w:val="1"/>
          <w:iCs w:val="1"/>
          <w:color w:val="auto"/>
        </w:rPr>
        <w:t>liquidazione giudiziale</w:t>
      </w:r>
      <w:r>
        <w:rPr>
          <w:rFonts w:ascii="Times New Roman" w:cs="Times New Roman" w:eastAsia="Times New Roman" w:hAnsi="Times New Roman"/>
          <w:sz w:val="20"/>
          <w:szCs w:val="20"/>
          <w:color w:val="auto"/>
        </w:rPr>
        <w:t>) procedure is commenced in respect of the Italian Resident upon its own application (including by its board of statutory auditors) or petition of the creditors or petition of the Public Prosecutor, pursuant to article 37 of the Italian Bankruptcy Law;</w:t>
      </w:r>
    </w:p>
    <w:p>
      <w:pPr>
        <w:spacing w:after="0" w:line="62" w:lineRule="exact"/>
        <w:rPr>
          <w:rFonts w:ascii="Times New Roman" w:cs="Times New Roman" w:eastAsia="Times New Roman" w:hAnsi="Times New Roman"/>
          <w:sz w:val="20"/>
          <w:szCs w:val="20"/>
          <w:color w:val="auto"/>
        </w:rPr>
      </w:pPr>
    </w:p>
    <w:p>
      <w:pPr>
        <w:jc w:val="both"/>
        <w:ind w:left="1532" w:hanging="767"/>
        <w:spacing w:after="0" w:line="333"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Italian Resident, being insolvent or in distress, files an application pursuant to article 40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Italian Bankruptcy Law seeking (a) a composition with creditors (</w:t>
      </w:r>
      <w:r>
        <w:rPr>
          <w:rFonts w:ascii="Times New Roman" w:cs="Times New Roman" w:eastAsia="Times New Roman" w:hAnsi="Times New Roman"/>
          <w:sz w:val="20"/>
          <w:szCs w:val="20"/>
          <w:i w:val="1"/>
          <w:iCs w:val="1"/>
          <w:color w:val="auto"/>
        </w:rPr>
        <w:t>concordato preventivo</w:t>
      </w:r>
      <w:r>
        <w:rPr>
          <w:rFonts w:ascii="Times New Roman" w:cs="Times New Roman" w:eastAsia="Times New Roman" w:hAnsi="Times New Roman"/>
          <w:sz w:val="20"/>
          <w:szCs w:val="20"/>
          <w:color w:val="auto"/>
        </w:rPr>
        <w:t xml:space="preserve">) under article 84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Italian Bankruptcy Law, (b) a court-ratified restructuring plan (</w:t>
      </w:r>
      <w:r>
        <w:rPr>
          <w:rFonts w:ascii="Times New Roman" w:cs="Times New Roman" w:eastAsia="Times New Roman" w:hAnsi="Times New Roman"/>
          <w:sz w:val="20"/>
          <w:szCs w:val="20"/>
          <w:i w:val="1"/>
          <w:iCs w:val="1"/>
          <w:color w:val="auto"/>
        </w:rPr>
        <w:t>piano di ristrutturazione soggetto a omologazione</w:t>
      </w:r>
      <w:r>
        <w:rPr>
          <w:rFonts w:ascii="Times New Roman" w:cs="Times New Roman" w:eastAsia="Times New Roman" w:hAnsi="Times New Roman"/>
          <w:sz w:val="20"/>
          <w:szCs w:val="20"/>
          <w:color w:val="auto"/>
        </w:rPr>
        <w:t xml:space="preserve">) under article 64-bis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Italian Bankruptcy Law, or (c) a court-ratified restructuring agreement (</w:t>
      </w:r>
      <w:r>
        <w:rPr>
          <w:rFonts w:ascii="Times New Roman" w:cs="Times New Roman" w:eastAsia="Times New Roman" w:hAnsi="Times New Roman"/>
          <w:sz w:val="20"/>
          <w:szCs w:val="20"/>
          <w:i w:val="1"/>
          <w:iCs w:val="1"/>
          <w:color w:val="auto"/>
        </w:rPr>
        <w:t>accordo di ristrutturazione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dei debiti</w:t>
      </w:r>
      <w:r>
        <w:rPr>
          <w:rFonts w:ascii="Times New Roman" w:cs="Times New Roman" w:eastAsia="Times New Roman" w:hAnsi="Times New Roman"/>
          <w:sz w:val="20"/>
          <w:szCs w:val="20"/>
          <w:color w:val="auto"/>
        </w:rPr>
        <w:t>) pursuant to article 57 of the Italian Bankruptcy Code (including in the form under article 61 of the Italian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Bankruptcy Code);</w:t>
      </w:r>
    </w:p>
    <w:p>
      <w:pPr>
        <w:spacing w:after="0" w:line="69" w:lineRule="exact"/>
        <w:rPr>
          <w:rFonts w:ascii="Times New Roman" w:cs="Times New Roman" w:eastAsia="Times New Roman" w:hAnsi="Times New Roman"/>
          <w:sz w:val="20"/>
          <w:szCs w:val="20"/>
          <w:color w:val="auto"/>
        </w:rPr>
      </w:pPr>
    </w:p>
    <w:p>
      <w:pPr>
        <w:ind w:left="1532" w:hanging="767"/>
        <w:spacing w:after="0" w:line="357"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Italian Resident is under compulsory administrative liquidation pursuant to article 293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Italian Bankruptcy Law (</w:t>
      </w:r>
      <w:r>
        <w:rPr>
          <w:rFonts w:ascii="Times New Roman" w:cs="Times New Roman" w:eastAsia="Times New Roman" w:hAnsi="Times New Roman"/>
          <w:sz w:val="20"/>
          <w:szCs w:val="20"/>
          <w:i w:val="1"/>
          <w:iCs w:val="1"/>
          <w:color w:val="auto"/>
        </w:rPr>
        <w:t>liquidazione coatta amministrativa</w:t>
      </w:r>
      <w:r>
        <w:rPr>
          <w:rFonts w:ascii="Times New Roman" w:cs="Times New Roman" w:eastAsia="Times New Roman" w:hAnsi="Times New Roman"/>
          <w:sz w:val="20"/>
          <w:szCs w:val="20"/>
          <w:color w:val="auto"/>
        </w:rPr>
        <w:t>);</w:t>
      </w:r>
    </w:p>
    <w:p>
      <w:pPr>
        <w:spacing w:after="0" w:line="62" w:lineRule="exact"/>
        <w:rPr>
          <w:rFonts w:ascii="Times New Roman" w:cs="Times New Roman" w:eastAsia="Times New Roman" w:hAnsi="Times New Roman"/>
          <w:sz w:val="20"/>
          <w:szCs w:val="20"/>
          <w:color w:val="auto"/>
        </w:rPr>
      </w:pPr>
    </w:p>
    <w:p>
      <w:pPr>
        <w:ind w:left="1532" w:hanging="767"/>
        <w:spacing w:after="0" w:line="353" w:lineRule="auto"/>
        <w:tabs>
          <w:tab w:leader="none" w:pos="1521"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when applicable, the Italian Resident, being eligible for the extraordinary administration and meeting additional requirements set by law, is under</w:t>
      </w:r>
    </w:p>
    <w:p>
      <w:pPr>
        <w:sectPr>
          <w:pgSz w:w="11900" w:h="16838" w:orient="portrait"/>
          <w:cols w:equalWidth="0" w:num="1">
            <w:col w:w="11232"/>
          </w:cols>
          <w:pgMar w:left="328" w:top="1440" w:right="339" w:bottom="1440" w:gutter="0" w:footer="0" w:header="0"/>
        </w:sectPr>
      </w:pPr>
    </w:p>
    <w:bookmarkStart w:id="248" w:name="page249"/>
    <w:bookmarkEnd w:id="248"/>
    <w:p>
      <w:pPr>
        <w:spacing w:after="0" w:line="91" w:lineRule="exact"/>
        <w:rPr>
          <w:sz w:val="20"/>
          <w:szCs w:val="20"/>
          <w:color w:val="auto"/>
        </w:rPr>
      </w:pPr>
    </w:p>
    <w:p>
      <w:pPr>
        <w:ind w:left="1532"/>
        <w:spacing w:after="0" w:line="357" w:lineRule="auto"/>
        <w:rPr>
          <w:sz w:val="20"/>
          <w:szCs w:val="20"/>
          <w:color w:val="auto"/>
        </w:rPr>
      </w:pPr>
      <w:r>
        <w:rPr>
          <w:rFonts w:ascii="Times New Roman" w:cs="Times New Roman" w:eastAsia="Times New Roman" w:hAnsi="Times New Roman"/>
          <w:sz w:val="20"/>
          <w:szCs w:val="20"/>
          <w:color w:val="auto"/>
        </w:rPr>
        <w:t>reorganization pursuant to Legislative Decree no. 347 of 23 December 2003, as amended subsequently (</w:t>
      </w:r>
      <w:r>
        <w:rPr>
          <w:rFonts w:ascii="Times New Roman" w:cs="Times New Roman" w:eastAsia="Times New Roman" w:hAnsi="Times New Roman"/>
          <w:sz w:val="20"/>
          <w:szCs w:val="20"/>
          <w:i w:val="1"/>
          <w:iCs w:val="1"/>
          <w:color w:val="auto"/>
        </w:rPr>
        <w:t>ristrutturazione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industriale di grandi imprese in stato di insolvenza</w:t>
      </w:r>
      <w:r>
        <w:rPr>
          <w:rFonts w:ascii="Times New Roman" w:cs="Times New Roman" w:eastAsia="Times New Roman" w:hAnsi="Times New Roman"/>
          <w:sz w:val="20"/>
          <w:szCs w:val="20"/>
          <w:color w:val="auto"/>
        </w:rPr>
        <w:t>);</w:t>
      </w:r>
    </w:p>
    <w:p>
      <w:pPr>
        <w:spacing w:after="0" w:line="49" w:lineRule="exact"/>
        <w:rPr>
          <w:sz w:val="20"/>
          <w:szCs w:val="20"/>
          <w:color w:val="auto"/>
        </w:rPr>
      </w:pPr>
    </w:p>
    <w:p>
      <w:pPr>
        <w:ind w:left="1532" w:hanging="767"/>
        <w:spacing w:after="0" w:line="367" w:lineRule="auto"/>
        <w:tabs>
          <w:tab w:leader="none" w:pos="1521"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above insolvency proceeding is taken in any jurisdiction regarding the Italian Resident pursuant to the current consolidated version of the Regulation (EU) No 2015/848 of 20 May 2015 on insolvency proceedings;</w:t>
      </w:r>
    </w:p>
    <w:p>
      <w:pPr>
        <w:spacing w:after="0" w:line="39" w:lineRule="exact"/>
        <w:rPr>
          <w:rFonts w:ascii="Times New Roman" w:cs="Times New Roman" w:eastAsia="Times New Roman" w:hAnsi="Times New Roman"/>
          <w:sz w:val="20"/>
          <w:szCs w:val="20"/>
          <w:color w:val="auto"/>
        </w:rPr>
      </w:pPr>
    </w:p>
    <w:p>
      <w:pPr>
        <w:jc w:val="both"/>
        <w:ind w:left="772" w:hanging="772"/>
        <w:spacing w:after="0" w:line="331" w:lineRule="auto"/>
        <w:tabs>
          <w:tab w:leader="none" w:pos="764"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being resident in the Netherlands or having its principal place of business in the Netherlands, (hereinafter, the "Dutch Resident"), a reference to such person that is subject to any bankruptcy (</w:t>
      </w:r>
      <w:r>
        <w:rPr>
          <w:rFonts w:ascii="Times New Roman" w:cs="Times New Roman" w:eastAsia="Times New Roman" w:hAnsi="Times New Roman"/>
          <w:sz w:val="20"/>
          <w:szCs w:val="20"/>
          <w:i w:val="1"/>
          <w:iCs w:val="1"/>
          <w:color w:val="auto"/>
        </w:rPr>
        <w:t>faillissement</w:t>
      </w:r>
      <w:r>
        <w:rPr>
          <w:rFonts w:ascii="Times New Roman" w:cs="Times New Roman" w:eastAsia="Times New Roman" w:hAnsi="Times New Roman"/>
          <w:sz w:val="20"/>
          <w:szCs w:val="20"/>
          <w:color w:val="auto"/>
        </w:rPr>
        <w:t>), suspension of payments (</w:t>
      </w:r>
      <w:r>
        <w:rPr>
          <w:rFonts w:ascii="Times New Roman" w:cs="Times New Roman" w:eastAsia="Times New Roman" w:hAnsi="Times New Roman"/>
          <w:sz w:val="20"/>
          <w:szCs w:val="20"/>
          <w:i w:val="1"/>
          <w:iCs w:val="1"/>
          <w:color w:val="auto"/>
        </w:rPr>
        <w:t>surséance van betaling</w:t>
      </w:r>
      <w:r>
        <w:rPr>
          <w:rFonts w:ascii="Times New Roman" w:cs="Times New Roman" w:eastAsia="Times New Roman" w:hAnsi="Times New Roman"/>
          <w:sz w:val="20"/>
          <w:szCs w:val="20"/>
          <w:color w:val="auto"/>
        </w:rPr>
        <w:t>) or any other insolvency proceedings listed in Annex A of the current consolidated version of the Regulation (EU) No 2015/848 of 20 May 2015 on insolvency proceedings or any other insolvency proceedings or analogous proceeding in each case opened by a competent court, including, but not limited to, emergency regulations ("noodregeling") pursuant to Chapter 3.5 (</w:t>
      </w:r>
      <w:r>
        <w:rPr>
          <w:rFonts w:ascii="Times New Roman" w:cs="Times New Roman" w:eastAsia="Times New Roman" w:hAnsi="Times New Roman"/>
          <w:sz w:val="20"/>
          <w:szCs w:val="20"/>
          <w:i w:val="1"/>
          <w:iCs w:val="1"/>
          <w:color w:val="auto"/>
        </w:rPr>
        <w:t>Bijzondere regels en maatregelen ten aanzien van financiële ondernemingen werkzaam op de financiële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markte</w:t>
      </w:r>
      <w:r>
        <w:rPr>
          <w:rFonts w:ascii="Times New Roman" w:cs="Times New Roman" w:eastAsia="Times New Roman" w:hAnsi="Times New Roman"/>
          <w:sz w:val="20"/>
          <w:szCs w:val="20"/>
          <w:color w:val="auto"/>
        </w:rPr>
        <w:t>n) of the Dutch Act on Financial Supervision (</w:t>
      </w:r>
      <w:r>
        <w:rPr>
          <w:rFonts w:ascii="Times New Roman" w:cs="Times New Roman" w:eastAsia="Times New Roman" w:hAnsi="Times New Roman"/>
          <w:sz w:val="20"/>
          <w:szCs w:val="20"/>
          <w:i w:val="1"/>
          <w:iCs w:val="1"/>
          <w:color w:val="auto"/>
        </w:rPr>
        <w:t>Wet op het financieel toezicht</w:t>
      </w:r>
      <w:r>
        <w:rPr>
          <w:rFonts w:ascii="Times New Roman" w:cs="Times New Roman" w:eastAsia="Times New Roman" w:hAnsi="Times New Roman"/>
          <w:sz w:val="20"/>
          <w:szCs w:val="20"/>
          <w:color w:val="auto"/>
        </w:rPr>
        <w:t>), as amended;</w:t>
      </w:r>
    </w:p>
    <w:p>
      <w:pPr>
        <w:spacing w:after="0" w:line="74"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being resident in the United States or having its principal place of business in the United States:</w:t>
      </w:r>
    </w:p>
    <w:p>
      <w:pPr>
        <w:spacing w:after="0" w:line="189" w:lineRule="exact"/>
        <w:rPr>
          <w:sz w:val="20"/>
          <w:szCs w:val="20"/>
          <w:color w:val="auto"/>
        </w:rPr>
      </w:pPr>
    </w:p>
    <w:p>
      <w:pPr>
        <w:jc w:val="both"/>
        <w:ind w:left="1532" w:hanging="767"/>
        <w:spacing w:after="0" w:line="352" w:lineRule="auto"/>
        <w:tabs>
          <w:tab w:leader="none" w:pos="1575" w:val="left"/>
        </w:tabs>
        <w:numPr>
          <w:ilvl w:val="0"/>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proceeding shall be commenced or an involuntary petition shall be filed seeking (x) liquidation, reorganization, bankruptcy, moratorium, suspension of payment or other relief in respect of such person or its debts, or of a substantial part of its assets, under any U.S. federal, state or foreign bankruptcy, insolvency, receivership or similar law now or hereafter in effect or (y) the appointment of a receiver, trustee in bankruptcy, custodian, sequestrator, conservator or similar official for such person or for a substantial part of its assets, and, in any such case, such proceeding or petition shall continue undismissed for 90 days or an order or decree approving or ordering any of the foregoing shall be entered;</w:t>
      </w:r>
    </w:p>
    <w:p>
      <w:pPr>
        <w:spacing w:after="0" w:line="61" w:lineRule="exact"/>
        <w:rPr>
          <w:rFonts w:ascii="Times New Roman" w:cs="Times New Roman" w:eastAsia="Times New Roman" w:hAnsi="Times New Roman"/>
          <w:sz w:val="19"/>
          <w:szCs w:val="19"/>
          <w:color w:val="auto"/>
        </w:rPr>
      </w:pPr>
    </w:p>
    <w:p>
      <w:pPr>
        <w:jc w:val="both"/>
        <w:ind w:left="1532" w:hanging="767"/>
        <w:spacing w:after="0" w:line="343" w:lineRule="auto"/>
        <w:tabs>
          <w:tab w:leader="none" w:pos="1573" w:val="left"/>
        </w:tabs>
        <w:numPr>
          <w:ilvl w:val="0"/>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(v) voluntarily commences any proceeding or files any petition seeking liquidation, reorganization, bankruptcy, moratorium, suspension of payment or other relief under any U.S. federal, state or foreign bankruptcy, insolvency, receivership or similar law now or hereafter in effect, (w) consents to the institution of, or fails to contest in a timely and appropriate manner, any proceeding or petition described in clause (a) of this sub-paragraph (vi), (x) applies for or consents to the appointment of a receiver, trustee in bankruptcy, custodian, sequestrator, conservator or similar official for such person or for a substantial part of its assets, (y) makes a general assignment for the benefit of creditors or</w:t>
      </w:r>
    </w:p>
    <w:p>
      <w:pPr>
        <w:spacing w:after="0" w:line="3" w:lineRule="exact"/>
        <w:rPr>
          <w:rFonts w:ascii="Times New Roman" w:cs="Times New Roman" w:eastAsia="Times New Roman" w:hAnsi="Times New Roman"/>
          <w:sz w:val="19"/>
          <w:szCs w:val="19"/>
          <w:color w:val="auto"/>
        </w:rPr>
      </w:pPr>
    </w:p>
    <w:p>
      <w:pPr>
        <w:ind w:left="153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(z) takes any action for the purpose of effecting any of the foregoing;</w:t>
      </w:r>
    </w:p>
    <w:p>
      <w:pPr>
        <w:sectPr>
          <w:pgSz w:w="11900" w:h="16838" w:orient="portrait"/>
          <w:cols w:equalWidth="0" w:num="1">
            <w:col w:w="11232"/>
          </w:cols>
          <w:pgMar w:left="328" w:top="1440" w:right="339" w:bottom="1440" w:gutter="0" w:footer="0" w:header="0"/>
        </w:sectPr>
      </w:pPr>
    </w:p>
    <w:bookmarkStart w:id="249" w:name="page250"/>
    <w:bookmarkEnd w:id="249"/>
    <w:p>
      <w:pPr>
        <w:spacing w:after="0" w:line="95" w:lineRule="exact"/>
        <w:rPr>
          <w:sz w:val="20"/>
          <w:szCs w:val="20"/>
          <w:color w:val="auto"/>
        </w:rPr>
      </w:pPr>
    </w:p>
    <w:p>
      <w:pPr>
        <w:ind w:left="1512" w:hanging="747"/>
        <w:spacing w:after="0"/>
        <w:tabs>
          <w:tab w:leader="none" w:pos="1512"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admits in writing its inability or fails generally to pay its debts as they become due;</w:t>
      </w:r>
    </w:p>
    <w:p>
      <w:pPr>
        <w:spacing w:after="0" w:line="188" w:lineRule="exact"/>
        <w:rPr>
          <w:rFonts w:ascii="Times New Roman" w:cs="Times New Roman" w:eastAsia="Times New Roman" w:hAnsi="Times New Roman"/>
          <w:sz w:val="20"/>
          <w:szCs w:val="20"/>
          <w:color w:val="auto"/>
        </w:rPr>
      </w:pPr>
    </w:p>
    <w:p>
      <w:pPr>
        <w:ind w:left="772" w:right="20" w:hanging="772"/>
        <w:spacing w:after="0" w:line="353" w:lineRule="auto"/>
        <w:tabs>
          <w:tab w:leader="none" w:pos="766"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resident in Belgium or having its centre of main interest in Belgium (as the term "centre of main interest" is defined in the Regulation (EU) No 2015/848 of 20 May 2015) any situation where:</w:t>
      </w:r>
    </w:p>
    <w:p>
      <w:pPr>
        <w:spacing w:after="0" w:line="65" w:lineRule="exact"/>
        <w:rPr>
          <w:rFonts w:ascii="Times New Roman" w:cs="Times New Roman" w:eastAsia="Times New Roman" w:hAnsi="Times New Roman"/>
          <w:sz w:val="20"/>
          <w:szCs w:val="20"/>
          <w:color w:val="auto"/>
        </w:rPr>
      </w:pPr>
    </w:p>
    <w:p>
      <w:pPr>
        <w:ind w:left="1512" w:hanging="766"/>
        <w:spacing w:after="0" w:line="3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meeting of such person is convened for the purpose of considering any resolution for (or to petition for) its winding-up or any such resolution is passed or any person presents a petition for the winding-up (</w:t>
      </w:r>
      <w:r>
        <w:rPr>
          <w:rFonts w:ascii="Times New Roman" w:cs="Times New Roman" w:eastAsia="Times New Roman" w:hAnsi="Times New Roman"/>
          <w:sz w:val="20"/>
          <w:szCs w:val="20"/>
          <w:i w:val="1"/>
          <w:iCs w:val="1"/>
          <w:color w:val="auto"/>
        </w:rPr>
        <w:t>liquidation/vereffening</w:t>
      </w:r>
      <w:r>
        <w:rPr>
          <w:rFonts w:ascii="Times New Roman" w:cs="Times New Roman" w:eastAsia="Times New Roman" w:hAnsi="Times New Roman"/>
          <w:sz w:val="20"/>
          <w:szCs w:val="20"/>
          <w:color w:val="auto"/>
        </w:rPr>
        <w:t>), save where such person is in good faith contesting such petition by appropriate proceedings;</w:t>
      </w:r>
    </w:p>
    <w:p>
      <w:pPr>
        <w:spacing w:after="0" w:line="64" w:lineRule="exact"/>
        <w:rPr>
          <w:sz w:val="20"/>
          <w:szCs w:val="20"/>
          <w:color w:val="auto"/>
        </w:rPr>
      </w:pPr>
    </w:p>
    <w:p>
      <w:pPr>
        <w:ind w:left="1512" w:hanging="747"/>
        <w:spacing w:after="0"/>
        <w:tabs>
          <w:tab w:leader="none" w:pos="1512"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decision ordering the winding-up (</w:t>
      </w:r>
      <w:r>
        <w:rPr>
          <w:rFonts w:ascii="Times New Roman" w:cs="Times New Roman" w:eastAsia="Times New Roman" w:hAnsi="Times New Roman"/>
          <w:sz w:val="20"/>
          <w:szCs w:val="20"/>
          <w:i w:val="1"/>
          <w:iCs w:val="1"/>
          <w:color w:val="auto"/>
        </w:rPr>
        <w:t>liquidation/vereffening</w:t>
      </w:r>
      <w:r>
        <w:rPr>
          <w:rFonts w:ascii="Times New Roman" w:cs="Times New Roman" w:eastAsia="Times New Roman" w:hAnsi="Times New Roman"/>
          <w:sz w:val="20"/>
          <w:szCs w:val="20"/>
          <w:color w:val="auto"/>
        </w:rPr>
        <w:t>) of such person is taken;</w:t>
      </w:r>
    </w:p>
    <w:p>
      <w:pPr>
        <w:spacing w:after="0" w:line="188" w:lineRule="exact"/>
        <w:rPr>
          <w:rFonts w:ascii="Times New Roman" w:cs="Times New Roman" w:eastAsia="Times New Roman" w:hAnsi="Times New Roman"/>
          <w:sz w:val="20"/>
          <w:szCs w:val="20"/>
          <w:color w:val="auto"/>
        </w:rPr>
      </w:pPr>
    </w:p>
    <w:p>
      <w:pPr>
        <w:jc w:val="both"/>
        <w:ind w:left="1532" w:hanging="767"/>
        <w:spacing w:after="0" w:line="347" w:lineRule="auto"/>
        <w:tabs>
          <w:tab w:leader="none" w:pos="1521"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liquidateur (</w:t>
      </w:r>
      <w:r>
        <w:rPr>
          <w:rFonts w:ascii="Times New Roman" w:cs="Times New Roman" w:eastAsia="Times New Roman" w:hAnsi="Times New Roman"/>
          <w:sz w:val="20"/>
          <w:szCs w:val="20"/>
          <w:i w:val="1"/>
          <w:iCs w:val="1"/>
          <w:color w:val="auto"/>
        </w:rPr>
        <w:t>liquidateur/vereffenaar</w:t>
      </w:r>
      <w:r>
        <w:rPr>
          <w:rFonts w:ascii="Times New Roman" w:cs="Times New Roman" w:eastAsia="Times New Roman" w:hAnsi="Times New Roman"/>
          <w:sz w:val="20"/>
          <w:szCs w:val="20"/>
          <w:color w:val="auto"/>
        </w:rPr>
        <w:t>), trustee in bankruptcy (curateur/curator) is appointed in respect of such person or the directors of such person request such appointment (in each case, by reason of actual or anticipated financial difficulties);</w:t>
      </w:r>
    </w:p>
    <w:p>
      <w:pPr>
        <w:spacing w:after="0" w:line="55" w:lineRule="exact"/>
        <w:rPr>
          <w:rFonts w:ascii="Times New Roman" w:cs="Times New Roman" w:eastAsia="Times New Roman" w:hAnsi="Times New Roman"/>
          <w:sz w:val="20"/>
          <w:szCs w:val="20"/>
          <w:color w:val="auto"/>
        </w:rPr>
      </w:pPr>
    </w:p>
    <w:p>
      <w:pPr>
        <w:jc w:val="both"/>
        <w:ind w:left="1532" w:hanging="767"/>
        <w:spacing w:after="0" w:line="335" w:lineRule="auto"/>
        <w:tabs>
          <w:tab w:leader="none" w:pos="1521"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declared bankrupt (</w:t>
      </w:r>
      <w:r>
        <w:rPr>
          <w:rFonts w:ascii="Times New Roman" w:cs="Times New Roman" w:eastAsia="Times New Roman" w:hAnsi="Times New Roman"/>
          <w:sz w:val="20"/>
          <w:szCs w:val="20"/>
          <w:i w:val="1"/>
          <w:iCs w:val="1"/>
          <w:color w:val="auto"/>
        </w:rPr>
        <w:t>en faillite/in staat van faillissement</w:t>
      </w:r>
      <w:r>
        <w:rPr>
          <w:rFonts w:ascii="Times New Roman" w:cs="Times New Roman" w:eastAsia="Times New Roman" w:hAnsi="Times New Roman"/>
          <w:sz w:val="20"/>
          <w:szCs w:val="20"/>
          <w:color w:val="auto"/>
        </w:rPr>
        <w:t>) or such person applies for or is subject to insolvency proceedings (</w:t>
      </w:r>
      <w:r>
        <w:rPr>
          <w:rFonts w:ascii="Times New Roman" w:cs="Times New Roman" w:eastAsia="Times New Roman" w:hAnsi="Times New Roman"/>
          <w:sz w:val="20"/>
          <w:szCs w:val="20"/>
          <w:i w:val="1"/>
          <w:iCs w:val="1"/>
          <w:color w:val="auto"/>
        </w:rPr>
        <w:t>faillite/faillissement</w:t>
      </w:r>
      <w:r>
        <w:rPr>
          <w:rFonts w:ascii="Times New Roman" w:cs="Times New Roman" w:eastAsia="Times New Roman" w:hAnsi="Times New Roman"/>
          <w:sz w:val="20"/>
          <w:szCs w:val="20"/>
          <w:color w:val="auto"/>
        </w:rPr>
        <w:t>), any judicial reorganisation, between creditors (</w:t>
      </w:r>
      <w:r>
        <w:rPr>
          <w:rFonts w:ascii="Times New Roman" w:cs="Times New Roman" w:eastAsia="Times New Roman" w:hAnsi="Times New Roman"/>
          <w:sz w:val="20"/>
          <w:szCs w:val="20"/>
          <w:i w:val="1"/>
          <w:iCs w:val="1"/>
          <w:color w:val="auto"/>
        </w:rPr>
        <w:t>réorganisation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judiciaire/gerechtelijke reorganisatie</w:t>
      </w:r>
      <w:r>
        <w:rPr>
          <w:rFonts w:ascii="Times New Roman" w:cs="Times New Roman" w:eastAsia="Times New Roman" w:hAnsi="Times New Roman"/>
          <w:sz w:val="20"/>
          <w:szCs w:val="20"/>
          <w:color w:val="auto"/>
        </w:rPr>
        <w:t>) or any other insolvency proceedings listed from time to time in Schedule A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consolidated version of the Regulation (EU) No 2015/848 of 20 May 2015 on insolvency proceedings;</w:t>
      </w:r>
    </w:p>
    <w:p>
      <w:pPr>
        <w:spacing w:after="0" w:line="69"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incorporated under the laws of England and Wales:</w:t>
      </w:r>
    </w:p>
    <w:p>
      <w:pPr>
        <w:spacing w:after="0" w:line="202" w:lineRule="exact"/>
        <w:rPr>
          <w:rFonts w:ascii="Times New Roman" w:cs="Times New Roman" w:eastAsia="Times New Roman" w:hAnsi="Times New Roman"/>
          <w:sz w:val="20"/>
          <w:szCs w:val="20"/>
          <w:color w:val="auto"/>
        </w:rPr>
      </w:pPr>
    </w:p>
    <w:p>
      <w:pPr>
        <w:jc w:val="both"/>
        <w:ind w:left="1532" w:hanging="767"/>
        <w:spacing w:after="0" w:line="333" w:lineRule="auto"/>
        <w:tabs>
          <w:tab w:leader="none" w:pos="1521"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stops payment or threatens in writing to stop payment of its debts by reason of actual or anticipated financial difficulties, becomes or is, or admits in writing to being, or is deemed to be for the purpose of the Insolvency Act 1986, unable to pay its debts within the meaning of Section 123(1) of the Insolvency Act 1986 or is otherwise unable to pay its debts as they fall due;</w:t>
      </w:r>
    </w:p>
    <w:p>
      <w:pPr>
        <w:spacing w:after="0" w:line="73" w:lineRule="exact"/>
        <w:rPr>
          <w:rFonts w:ascii="Times New Roman" w:cs="Times New Roman" w:eastAsia="Times New Roman" w:hAnsi="Times New Roman"/>
          <w:sz w:val="20"/>
          <w:szCs w:val="20"/>
          <w:color w:val="auto"/>
        </w:rPr>
      </w:pPr>
    </w:p>
    <w:p>
      <w:pPr>
        <w:ind w:left="1532" w:hanging="767"/>
        <w:spacing w:after="0" w:line="367" w:lineRule="auto"/>
        <w:tabs>
          <w:tab w:leader="none" w:pos="1521"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is declared in respect of any part of its indebtedness or it makes any general arrangement, compromise, assignment or composition for the benefit of its creditors;</w:t>
      </w:r>
    </w:p>
    <w:p>
      <w:pPr>
        <w:sectPr>
          <w:pgSz w:w="11900" w:h="16838" w:orient="portrait"/>
          <w:cols w:equalWidth="0" w:num="1">
            <w:col w:w="11232"/>
          </w:cols>
          <w:pgMar w:left="328" w:top="1440" w:right="339" w:bottom="1440" w:gutter="0" w:footer="0" w:header="0"/>
        </w:sectPr>
      </w:pPr>
    </w:p>
    <w:bookmarkStart w:id="250" w:name="page251"/>
    <w:bookmarkEnd w:id="250"/>
    <w:p>
      <w:pPr>
        <w:spacing w:after="0" w:line="95" w:lineRule="exact"/>
        <w:rPr>
          <w:sz w:val="20"/>
          <w:szCs w:val="20"/>
          <w:color w:val="auto"/>
        </w:rPr>
      </w:pPr>
    </w:p>
    <w:p>
      <w:pPr>
        <w:jc w:val="both"/>
        <w:ind w:left="1540" w:hanging="767"/>
        <w:spacing w:after="0" w:line="330" w:lineRule="auto"/>
        <w:tabs>
          <w:tab w:leader="none" w:pos="1529"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formal step is taken or proceeding is instituted (unless frivolous or vexatious and dismissed or discharged within 30 days of being presented) by any competent person seeking (x) to adjudicate such person insolvent or bankrupt, (y) the liquidation, winding-up, dissolution, administration, reorganisation (other than for the purpose of a voluntary solvent reorganisation or liquidation approved in writing by the relevant entity), arrangement, adjustment, re-scheduling (such rescheduling to be effected by reason of actual or anticipated financial difficulties), protection, relief or composition of such person or its debts or (z) the entry of an order for relief or the appointment of a receiver, administrative receiver, administrator, liquidator, custodian, trustee in bankruptcy, examiner or other similar official of the person or a substantial part of its assets; or</w:t>
      </w:r>
    </w:p>
    <w:p>
      <w:pPr>
        <w:spacing w:after="0" w:line="75" w:lineRule="exact"/>
        <w:rPr>
          <w:rFonts w:ascii="Times New Roman" w:cs="Times New Roman" w:eastAsia="Times New Roman" w:hAnsi="Times New Roman"/>
          <w:sz w:val="20"/>
          <w:szCs w:val="20"/>
          <w:color w:val="auto"/>
        </w:rPr>
      </w:pPr>
    </w:p>
    <w:p>
      <w:pPr>
        <w:ind w:left="1540" w:right="20" w:hanging="767"/>
        <w:spacing w:after="0" w:line="367" w:lineRule="auto"/>
        <w:tabs>
          <w:tab w:leader="none" w:pos="1529"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meeting is convened by any creditor, shareholder, member or participant or any other corporate action is taken pursuant to which any of the preceding actions is proposed to be approved;</w:t>
      </w:r>
    </w:p>
    <w:p>
      <w:pPr>
        <w:spacing w:after="0" w:line="12" w:lineRule="exact"/>
        <w:rPr>
          <w:rFonts w:ascii="Times New Roman" w:cs="Times New Roman" w:eastAsia="Times New Roman" w:hAnsi="Times New Roman"/>
          <w:sz w:val="20"/>
          <w:szCs w:val="20"/>
          <w:color w:val="auto"/>
        </w:rPr>
      </w:pPr>
    </w:p>
    <w:p>
      <w:pPr>
        <w:jc w:val="both"/>
        <w:ind w:left="780" w:hanging="772"/>
        <w:spacing w:after="0" w:line="279" w:lineRule="auto"/>
        <w:tabs>
          <w:tab w:leader="none" w:pos="773"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person or entity incorporated and/or existing or established in Luxembourg, a reference to such person that it is subject to or, as applicable, meets or threaten to meet the criteria of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paiement</w:t>
      </w:r>
      <w:r>
        <w:rPr>
          <w:rFonts w:ascii="Times New Roman" w:cs="Times New Roman" w:eastAsia="Times New Roman" w:hAnsi="Times New Roman"/>
          <w:sz w:val="20"/>
          <w:szCs w:val="20"/>
          <w:color w:val="auto"/>
        </w:rPr>
        <w:t>), court ordered liquidation (</w:t>
      </w:r>
      <w:r>
        <w:rPr>
          <w:rFonts w:ascii="Times New Roman" w:cs="Times New Roman" w:eastAsia="Times New Roman" w:hAnsi="Times New Roman"/>
          <w:sz w:val="20"/>
          <w:szCs w:val="20"/>
          <w:i w:val="1"/>
          <w:iCs w:val="1"/>
          <w:color w:val="auto"/>
        </w:rPr>
        <w:t>liquidation judiciaire</w:t>
      </w:r>
      <w:r>
        <w:rPr>
          <w:rFonts w:ascii="Times New Roman" w:cs="Times New Roman" w:eastAsia="Times New Roman" w:hAnsi="Times New Roman"/>
          <w:sz w:val="20"/>
          <w:szCs w:val="20"/>
          <w:color w:val="auto"/>
        </w:rPr>
        <w:t>), administrative dissolutions without liquidation (</w:t>
      </w:r>
      <w:r>
        <w:rPr>
          <w:rFonts w:ascii="Times New Roman" w:cs="Times New Roman" w:eastAsia="Times New Roman" w:hAnsi="Times New Roman"/>
          <w:sz w:val="20"/>
          <w:szCs w:val="20"/>
          <w:i w:val="1"/>
          <w:iCs w:val="1"/>
          <w:color w:val="auto"/>
        </w:rPr>
        <w:t>dissolution administrative sans liquidation</w:t>
      </w:r>
      <w:r>
        <w:rPr>
          <w:rFonts w:ascii="Times New Roman" w:cs="Times New Roman" w:eastAsia="Times New Roman" w:hAnsi="Times New Roman"/>
          <w:sz w:val="20"/>
          <w:szCs w:val="20"/>
          <w:color w:val="auto"/>
        </w:rPr>
        <w:t>) or judicial reorganisation (</w:t>
      </w:r>
      <w:r>
        <w:rPr>
          <w:rFonts w:ascii="Times New Roman" w:cs="Times New Roman" w:eastAsia="Times New Roman" w:hAnsi="Times New Roman"/>
          <w:sz w:val="20"/>
          <w:szCs w:val="20"/>
          <w:i w:val="1"/>
          <w:iCs w:val="1"/>
          <w:color w:val="auto"/>
        </w:rPr>
        <w:t>réorganisation judiciaire</w:t>
      </w:r>
      <w:r>
        <w:rPr>
          <w:rFonts w:ascii="Times New Roman" w:cs="Times New Roman" w:eastAsia="Times New Roman" w:hAnsi="Times New Roman"/>
          <w:sz w:val="20"/>
          <w:szCs w:val="20"/>
          <w:color w:val="auto"/>
        </w:rPr>
        <w:t>), reorganisation by amical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réorganisation par accord amiable</w:t>
      </w:r>
      <w:r>
        <w:rPr>
          <w:rFonts w:ascii="Times New Roman" w:cs="Times New Roman" w:eastAsia="Times New Roman" w:hAnsi="Times New Roman"/>
          <w:sz w:val="20"/>
          <w:szCs w:val="20"/>
          <w:color w:val="auto"/>
        </w:rPr>
        <w:t>) and voluntary dissolution or liquidation (</w:t>
      </w:r>
      <w:r>
        <w:rPr>
          <w:rFonts w:ascii="Times New Roman" w:cs="Times New Roman" w:eastAsia="Times New Roman" w:hAnsi="Times New Roman"/>
          <w:sz w:val="20"/>
          <w:szCs w:val="20"/>
          <w:i w:val="1"/>
          <w:iCs w:val="1"/>
          <w:color w:val="auto"/>
        </w:rPr>
        <w:t>dissolution ou liquidation volontaire</w:t>
      </w:r>
      <w:r>
        <w:rPr>
          <w:rFonts w:ascii="Times New Roman" w:cs="Times New Roman" w:eastAsia="Times New Roman" w:hAnsi="Times New Roman"/>
          <w:sz w:val="20"/>
          <w:szCs w:val="20"/>
          <w:color w:val="auto"/>
        </w:rPr>
        <w:t>) or any other insolvency proceedings listed under the Regulation (EU) 2015/848 of 25 May 2015 on insolvency proceedings (recast); and</w:t>
      </w:r>
    </w:p>
    <w:p>
      <w:pPr>
        <w:spacing w:after="0" w:line="11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person, any similar provision applicable to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Intercompany Arrangements</w:t>
      </w:r>
      <w:r>
        <w:rPr>
          <w:rFonts w:ascii="Times New Roman" w:cs="Times New Roman" w:eastAsia="Times New Roman" w:hAnsi="Times New Roman"/>
          <w:sz w:val="20"/>
          <w:szCs w:val="20"/>
          <w:color w:val="auto"/>
        </w:rPr>
        <w:t>" shall have the meaning set forth in Article 9.1(xv).</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Intermediary Assessment Date</w:t>
      </w:r>
      <w:r>
        <w:rPr>
          <w:rFonts w:ascii="Times New Roman" w:cs="Times New Roman" w:eastAsia="Times New Roman" w:hAnsi="Times New Roman"/>
          <w:sz w:val="20"/>
          <w:szCs w:val="20"/>
          <w:color w:val="auto"/>
        </w:rPr>
        <w:t>" means each of the Assessment Dates referring to an "Intermediary Assessment Date", as identified as such in SCHEDULE 9 (</w:t>
      </w:r>
      <w:r>
        <w:rPr>
          <w:rFonts w:ascii="Times New Roman" w:cs="Times New Roman" w:eastAsia="Times New Roman" w:hAnsi="Times New Roman"/>
          <w:sz w:val="20"/>
          <w:szCs w:val="20"/>
          <w:i w:val="1"/>
          <w:iCs w:val="1"/>
          <w:color w:val="auto"/>
        </w:rPr>
        <w:t>List of Calendar Dates of the Transaction</w:t>
      </w:r>
      <w:r>
        <w:rPr>
          <w:rFonts w:ascii="Times New Roman" w:cs="Times New Roman" w:eastAsia="Times New Roman" w:hAnsi="Times New Roman"/>
          <w:sz w:val="20"/>
          <w:szCs w:val="20"/>
          <w:color w:val="auto"/>
        </w:rPr>
        <w:t>) falling on or prior to the Program Expiry Date.</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Intermediary Settlement Date</w:t>
      </w:r>
      <w:r>
        <w:rPr>
          <w:rFonts w:ascii="Times New Roman" w:cs="Times New Roman" w:eastAsia="Times New Roman" w:hAnsi="Times New Roman"/>
          <w:sz w:val="20"/>
          <w:szCs w:val="20"/>
          <w:color w:val="auto"/>
        </w:rPr>
        <w:t>" means each of the dates identified as an "Intermediary Settlement Date" on SCHEDULE 9 (</w:t>
      </w:r>
      <w:r>
        <w:rPr>
          <w:rFonts w:ascii="Times New Roman" w:cs="Times New Roman" w:eastAsia="Times New Roman" w:hAnsi="Times New Roman"/>
          <w:sz w:val="20"/>
          <w:szCs w:val="20"/>
          <w:i w:val="1"/>
          <w:iCs w:val="1"/>
          <w:color w:val="auto"/>
        </w:rPr>
        <w:t>List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Calendar Dates of the Transaction</w:t>
      </w:r>
      <w:r>
        <w:rPr>
          <w:rFonts w:ascii="Times New Roman" w:cs="Times New Roman" w:eastAsia="Times New Roman" w:hAnsi="Times New Roman"/>
          <w:sz w:val="20"/>
          <w:szCs w:val="20"/>
          <w:color w:val="auto"/>
        </w:rPr>
        <w:t>) falling on or prior to the Program Expiry Date and falling within a Bi-monthly Management Period.</w:t>
      </w:r>
    </w:p>
    <w:p>
      <w:pPr>
        <w:spacing w:after="0" w:line="31"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Intermediary Settlement Date Reference Period</w:t>
      </w:r>
      <w:r>
        <w:rPr>
          <w:rFonts w:ascii="Times New Roman" w:cs="Times New Roman" w:eastAsia="Times New Roman" w:hAnsi="Times New Roman"/>
          <w:sz w:val="20"/>
          <w:szCs w:val="20"/>
          <w:color w:val="auto"/>
        </w:rPr>
        <w:t>" means, with respect to any Reference Funded Settlement Date before the Commitment Expiry Date, the period starting on the Funded Assessment Date (excluded) immediately following such Reference Funded Settlement Date and ending (i) on the next Intermediary Assessment Date (included) or (ii) if an Early Amortisation Event occurs before such Intermediary Assessment Date, on the date of such Early Amortisation Event.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Issuers</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780" w:right="20" w:hanging="772"/>
        <w:spacing w:after="0" w:line="353" w:lineRule="auto"/>
        <w:tabs>
          <w:tab w:leader="none" w:pos="49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LMA S.A., a French limited company (société anonyme) having its registered office at 12, place des Etats-Unis, CS 20001, 92548 Montrouge Cedex, France, registered with the trade</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9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and companies registry (</w:t>
      </w:r>
      <w:r>
        <w:rPr>
          <w:rFonts w:ascii="Times New Roman" w:cs="Times New Roman" w:eastAsia="Times New Roman" w:hAnsi="Times New Roman"/>
          <w:sz w:val="20"/>
          <w:szCs w:val="20"/>
          <w:i w:val="1"/>
          <w:iCs w:val="1"/>
          <w:color w:val="auto"/>
        </w:rPr>
        <w:t>registre du commerce et des sociétés</w:t>
      </w:r>
      <w:r>
        <w:rPr>
          <w:rFonts w:ascii="Times New Roman" w:cs="Times New Roman" w:eastAsia="Times New Roman" w:hAnsi="Times New Roman"/>
          <w:sz w:val="20"/>
          <w:szCs w:val="20"/>
          <w:color w:val="auto"/>
        </w:rPr>
        <w:t>) of Nanterre, under the number 383 275 187; or</w:t>
      </w:r>
    </w:p>
    <w:p>
      <w:pPr>
        <w:spacing w:after="0" w:line="193" w:lineRule="exact"/>
        <w:rPr>
          <w:sz w:val="20"/>
          <w:szCs w:val="20"/>
          <w:color w:val="auto"/>
        </w:rPr>
      </w:pPr>
    </w:p>
    <w:p>
      <w:pPr>
        <w:ind w:left="780" w:hanging="772"/>
        <w:spacing w:after="0" w:line="353" w:lineRule="auto"/>
        <w:tabs>
          <w:tab w:leader="none" w:pos="456"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person who may enter the Securitisation Transaction from time to time in order to subscribe to units issued by the Fund and to finance such subscription by issuing Notes.</w:t>
      </w:r>
    </w:p>
    <w:p>
      <w:pPr>
        <w:spacing w:after="0" w:line="62"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Bankruptcy Law</w:t>
      </w:r>
      <w:r>
        <w:rPr>
          <w:rFonts w:ascii="Times New Roman" w:cs="Times New Roman" w:eastAsia="Times New Roman" w:hAnsi="Times New Roman"/>
          <w:sz w:val="20"/>
          <w:szCs w:val="20"/>
          <w:color w:val="auto"/>
        </w:rPr>
        <w:t>" means the code of corporate crisis and insolvency as set out in Legislative Decree 12 January 2019 No. 14 ("</w:t>
      </w:r>
      <w:r>
        <w:rPr>
          <w:rFonts w:ascii="Times New Roman" w:cs="Times New Roman" w:eastAsia="Times New Roman" w:hAnsi="Times New Roman"/>
          <w:sz w:val="20"/>
          <w:szCs w:val="20"/>
          <w:i w:val="1"/>
          <w:iCs w:val="1"/>
          <w:color w:val="auto"/>
        </w:rPr>
        <w:t>Codice della Crisi di Impresa e dell'Insolvenza</w:t>
      </w:r>
      <w:r>
        <w:rPr>
          <w:rFonts w:ascii="Times New Roman" w:cs="Times New Roman" w:eastAsia="Times New Roman" w:hAnsi="Times New Roman"/>
          <w:sz w:val="20"/>
          <w:szCs w:val="20"/>
          <w:color w:val="auto"/>
        </w:rPr>
        <w:t>"), as amended and supplemented from time to time.</w:t>
      </w:r>
    </w:p>
    <w:p>
      <w:pPr>
        <w:spacing w:after="0" w:line="4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Financial Guarantee Agreement</w:t>
      </w:r>
      <w:r>
        <w:rPr>
          <w:rFonts w:ascii="Times New Roman" w:cs="Times New Roman" w:eastAsia="Times New Roman" w:hAnsi="Times New Roman"/>
          <w:sz w:val="20"/>
          <w:szCs w:val="20"/>
          <w:color w:val="auto"/>
        </w:rPr>
        <w:t>" means an Italian law financial security interest agreement (</w:t>
      </w:r>
      <w:r>
        <w:rPr>
          <w:rFonts w:ascii="Times New Roman" w:cs="Times New Roman" w:eastAsia="Times New Roman" w:hAnsi="Times New Roman"/>
          <w:sz w:val="20"/>
          <w:szCs w:val="20"/>
          <w:i w:val="1"/>
          <w:iCs w:val="1"/>
          <w:color w:val="auto"/>
        </w:rPr>
        <w:t>garanzia finanzaria</w:t>
      </w:r>
      <w:r>
        <w:rPr>
          <w:rFonts w:ascii="Times New Roman" w:cs="Times New Roman" w:eastAsia="Times New Roman" w:hAnsi="Times New Roman"/>
          <w:sz w:val="20"/>
          <w:szCs w:val="20"/>
          <w:color w:val="auto"/>
        </w:rPr>
        <w:t>) entered into between the Purchaser and the Fund (as represented by the Management Company), pursuant to and for the purpose of Legislative Decree 170/2004, by which the Purchaser will assign by way of security (</w:t>
      </w:r>
      <w:r>
        <w:rPr>
          <w:rFonts w:ascii="Times New Roman" w:cs="Times New Roman" w:eastAsia="Times New Roman" w:hAnsi="Times New Roman"/>
          <w:sz w:val="20"/>
          <w:szCs w:val="20"/>
          <w:i w:val="1"/>
          <w:iCs w:val="1"/>
          <w:color w:val="auto"/>
        </w:rPr>
        <w:t>cessione in garanzia</w:t>
      </w:r>
      <w:r>
        <w:rPr>
          <w:rFonts w:ascii="Times New Roman" w:cs="Times New Roman" w:eastAsia="Times New Roman" w:hAnsi="Times New Roman"/>
          <w:sz w:val="20"/>
          <w:szCs w:val="20"/>
          <w:color w:val="auto"/>
        </w:rPr>
        <w:t>) to the Fund title to the Italian Notes as security for the due performance of its financial obligations under the Senior Deposit.</w:t>
      </w:r>
    </w:p>
    <w:p>
      <w:pPr>
        <w:spacing w:after="0" w:line="79"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Issuer</w:t>
      </w:r>
      <w:r>
        <w:rPr>
          <w:rFonts w:ascii="Times New Roman" w:cs="Times New Roman" w:eastAsia="Times New Roman" w:hAnsi="Times New Roman"/>
          <w:sz w:val="20"/>
          <w:szCs w:val="20"/>
          <w:color w:val="auto"/>
        </w:rPr>
        <w:t xml:space="preserve">" means ITALASSET FINANCE S.R.L., a company incorporated under the laws of the Republic of Italy as a </w:t>
      </w:r>
      <w:r>
        <w:rPr>
          <w:rFonts w:ascii="Times New Roman" w:cs="Times New Roman" w:eastAsia="Times New Roman" w:hAnsi="Times New Roman"/>
          <w:sz w:val="20"/>
          <w:szCs w:val="20"/>
          <w:i w:val="1"/>
          <w:iCs w:val="1"/>
          <w:color w:val="auto"/>
        </w:rPr>
        <w:t>società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responsabilità limitata </w:t>
      </w:r>
      <w:r>
        <w:rPr>
          <w:rFonts w:ascii="Times New Roman" w:cs="Times New Roman" w:eastAsia="Times New Roman" w:hAnsi="Times New Roman"/>
          <w:sz w:val="20"/>
          <w:szCs w:val="20"/>
          <w:color w:val="auto"/>
        </w:rPr>
        <w:t>with a sole quotaholder, having its registered office at Corso Vittorio Emanuele II n.24/28, Milan, Italy,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enrolment with the companies' register of Milan number 09169700961.</w:t>
      </w:r>
    </w:p>
    <w:p>
      <w:pPr>
        <w:spacing w:after="0" w:line="62"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Notes</w:t>
      </w:r>
      <w:r>
        <w:rPr>
          <w:rFonts w:ascii="Times New Roman" w:cs="Times New Roman" w:eastAsia="Times New Roman" w:hAnsi="Times New Roman"/>
          <w:sz w:val="20"/>
          <w:szCs w:val="20"/>
          <w:color w:val="auto"/>
        </w:rPr>
        <w:t>" means any Italian law governed notes issued by the Italian Issuer and subscribed by the Purchaser for the purpose of refinancing the purchase by the Italian Issuer of the Refinanced Ongoing Purchasable Receivables and the Refinanced Remaining Purchasable Receivables.</w:t>
      </w:r>
    </w:p>
    <w:p>
      <w:pPr>
        <w:spacing w:after="0" w:line="76"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Receivables Purchase Agreement</w:t>
      </w:r>
      <w:r>
        <w:rPr>
          <w:rFonts w:ascii="Times New Roman" w:cs="Times New Roman" w:eastAsia="Times New Roman" w:hAnsi="Times New Roman"/>
          <w:sz w:val="20"/>
          <w:szCs w:val="20"/>
          <w:color w:val="auto"/>
        </w:rPr>
        <w:t>" means the Italian law governed master receivables purchase agreement entered into on or about the 2018 Amendment Date between the Italian Seller, the Italian Issuer, the Agent and the Centralising Unit for the sale of the Refinanced Sold Receivables, as amended from time to time.</w:t>
      </w:r>
    </w:p>
    <w:p>
      <w:pPr>
        <w:spacing w:after="0" w:line="6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Seller</w:t>
      </w:r>
      <w:r>
        <w:rPr>
          <w:rFonts w:ascii="Times New Roman" w:cs="Times New Roman" w:eastAsia="Times New Roman" w:hAnsi="Times New Roman"/>
          <w:sz w:val="20"/>
          <w:szCs w:val="20"/>
          <w:color w:val="auto"/>
        </w:rPr>
        <w:t>" means GOODYEAR TIRES ITALIA S.P.A. or any New Seller organized under Italian law and becoming a party to the Italian Receivables Purchase Agreement.</w:t>
      </w:r>
    </w:p>
    <w:p>
      <w:pPr>
        <w:spacing w:after="0" w:line="58"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RPA Sellers</w:t>
      </w:r>
      <w:r>
        <w:rPr>
          <w:rFonts w:ascii="Times New Roman" w:cs="Times New Roman" w:eastAsia="Times New Roman" w:hAnsi="Times New Roman"/>
          <w:sz w:val="20"/>
          <w:szCs w:val="20"/>
          <w:color w:val="auto"/>
        </w:rPr>
        <w:t>" means the Italian Seller and the Luxembourg Seller in their capacity as sellers under the Italian Receivables Purchase Agreement.</w:t>
      </w:r>
    </w:p>
    <w:p>
      <w:pPr>
        <w:spacing w:after="0" w:line="4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Sub-Servicing Agreement</w:t>
      </w:r>
      <w:r>
        <w:rPr>
          <w:rFonts w:ascii="Times New Roman" w:cs="Times New Roman" w:eastAsia="Times New Roman" w:hAnsi="Times New Roman"/>
          <w:sz w:val="20"/>
          <w:szCs w:val="20"/>
          <w:color w:val="auto"/>
        </w:rPr>
        <w:t>" means the Italian law governed sub-servicing agreement entered into on or about the 2018 Amendment Date between the Italian Issuer, Zenith Service S.p.A., the Italian Seller and the Centralising Unit for the sub-delegation to the Italian Seller of the Zenith Service S.p.A's servicing missions, as further amended from time to time.</w:t>
      </w:r>
    </w:p>
    <w:p>
      <w:pPr>
        <w:spacing w:after="0" w:line="62"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Subscription Agreement</w:t>
      </w:r>
      <w:r>
        <w:rPr>
          <w:rFonts w:ascii="Times New Roman" w:cs="Times New Roman" w:eastAsia="Times New Roman" w:hAnsi="Times New Roman"/>
          <w:sz w:val="20"/>
          <w:szCs w:val="20"/>
          <w:color w:val="auto"/>
        </w:rPr>
        <w:t>" means the Italian law governed subscription agreement (including the terms and conditions governing the Italian Notes) entered into on or about the Funded Settlement Date of October 2018 between the Italian Issuer, the Purchaser and the Agent for the subscription and funding by the Purchaser of the Italian Notes.</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9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Arranger</w:t>
      </w:r>
      <w:r>
        <w:rPr>
          <w:rFonts w:ascii="Times New Roman" w:cs="Times New Roman" w:eastAsia="Times New Roman" w:hAnsi="Times New Roman"/>
          <w:sz w:val="20"/>
          <w:szCs w:val="20"/>
          <w:color w:val="auto"/>
        </w:rPr>
        <w:t>" means CREDIT AGRICOLE CORPORATE AND INVESTMENT BANK, acting in its capacity as lead arranger of the Securitisation Transaction.</w:t>
      </w:r>
    </w:p>
    <w:p>
      <w:pPr>
        <w:spacing w:after="0" w:line="45" w:lineRule="exact"/>
        <w:rPr>
          <w:sz w:val="20"/>
          <w:szCs w:val="20"/>
          <w:color w:val="auto"/>
        </w:rPr>
      </w:pPr>
    </w:p>
    <w:p>
      <w:pPr>
        <w:jc w:val="both"/>
        <w:ind w:right="20"/>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in respect to any asset, any mortgage, deed of trust, lien, delegation of claims, pledge, hypothecation, encumbrance, charge of security interest in, on or of such asset including, for the avoidance of doubt, any right created over a bank account in accordance with articles L. 214-173 and D. 214-228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w:t>
      </w:r>
    </w:p>
    <w:p>
      <w:pPr>
        <w:spacing w:after="0" w:line="55"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 Agreement</w:t>
      </w:r>
      <w:r>
        <w:rPr>
          <w:rFonts w:ascii="Times New Roman" w:cs="Times New Roman" w:eastAsia="Times New Roman" w:hAnsi="Times New Roman"/>
          <w:sz w:val="20"/>
          <w:szCs w:val="20"/>
          <w:color w:val="auto"/>
        </w:rPr>
        <w:t>" means (i) any unit purchase agreement (</w:t>
      </w:r>
      <w:r>
        <w:rPr>
          <w:rFonts w:ascii="Times New Roman" w:cs="Times New Roman" w:eastAsia="Times New Roman" w:hAnsi="Times New Roman"/>
          <w:sz w:val="20"/>
          <w:szCs w:val="20"/>
          <w:i w:val="1"/>
          <w:iCs w:val="1"/>
          <w:color w:val="auto"/>
        </w:rPr>
        <w:t>promesse d'achat et de revente de parts</w:t>
      </w:r>
      <w:r>
        <w:rPr>
          <w:rFonts w:ascii="Times New Roman" w:cs="Times New Roman" w:eastAsia="Times New Roman" w:hAnsi="Times New Roman"/>
          <w:sz w:val="20"/>
          <w:szCs w:val="20"/>
          <w:color w:val="auto"/>
        </w:rPr>
        <w:t>), as amended and/or supplemented from time to time, entered into between an Issuer and a Liquidity Bank pursuant to which the Liquidity Bank has undertaken to purchase from such Issuer, all or part of the units of the Fund held by the Issuer, or (ii) any credit facility agreement, as amended and/or supplemented from time to time, entered into between an Issuer and a Liquidity Bank pursuant to which the Liquidity Bank has undertaken to make loans to an Issuer secured by such units, or (iii) a swap agreement, repurchase agreement or other financial instrument, as amended and/or supplemented from time to time, entered into between an Issuer and a Liquidity Bank, pursuant to which the Liquidity Bank has undertaken to make certain payments to an Issuer in relation to such units.</w:t>
      </w:r>
    </w:p>
    <w:p>
      <w:pPr>
        <w:spacing w:after="0" w:line="68"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 Bank</w:t>
      </w:r>
      <w:r>
        <w:rPr>
          <w:rFonts w:ascii="Times New Roman" w:cs="Times New Roman" w:eastAsia="Times New Roman" w:hAnsi="Times New Roman"/>
          <w:sz w:val="20"/>
          <w:szCs w:val="20"/>
          <w:color w:val="auto"/>
        </w:rPr>
        <w:t>" means a bank or any other credit institution (</w:t>
      </w:r>
      <w:r>
        <w:rPr>
          <w:rFonts w:ascii="Times New Roman" w:cs="Times New Roman" w:eastAsia="Times New Roman" w:hAnsi="Times New Roman"/>
          <w:sz w:val="20"/>
          <w:szCs w:val="20"/>
          <w:i w:val="1"/>
          <w:iCs w:val="1"/>
          <w:color w:val="auto"/>
        </w:rPr>
        <w:t>établissement de crédit</w:t>
      </w:r>
      <w:r>
        <w:rPr>
          <w:rFonts w:ascii="Times New Roman" w:cs="Times New Roman" w:eastAsia="Times New Roman" w:hAnsi="Times New Roman"/>
          <w:sz w:val="20"/>
          <w:szCs w:val="20"/>
          <w:color w:val="auto"/>
        </w:rPr>
        <w:t>) (or any successor, transferee and assignee thereof), in each case rated at least A1, P1 and/or F1 by the relevant Rating Agencies at the time when it enters into or renews its commitment under a Liquidity Agreement, that has undertaken to purchase from an Issuer, all or part of the units of the Fund held by such Issuer or to make loans to an Issuer secured by such units or otherwise to make payments to an Issuer in relation to such units.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 Commitment Non-Renewal</w:t>
      </w:r>
      <w:r>
        <w:rPr>
          <w:rFonts w:ascii="Times New Roman" w:cs="Times New Roman" w:eastAsia="Times New Roman" w:hAnsi="Times New Roman"/>
          <w:sz w:val="20"/>
          <w:szCs w:val="20"/>
          <w:color w:val="auto"/>
        </w:rPr>
        <w:t>" means, in relation to any Liquidity Bank:</w:t>
      </w:r>
    </w:p>
    <w:p>
      <w:pPr>
        <w:spacing w:after="0" w:line="193" w:lineRule="exact"/>
        <w:rPr>
          <w:sz w:val="20"/>
          <w:szCs w:val="20"/>
          <w:color w:val="auto"/>
        </w:rPr>
      </w:pPr>
    </w:p>
    <w:p>
      <w:pPr>
        <w:ind w:left="420" w:hanging="412"/>
        <w:spacing w:after="0"/>
        <w:tabs>
          <w:tab w:leader="none" w:pos="42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non-renewal of the Liquidity Agreement to which it is a party in any of the following cases:</w:t>
      </w:r>
    </w:p>
    <w:p>
      <w:pPr>
        <w:spacing w:after="0" w:line="188" w:lineRule="exact"/>
        <w:rPr>
          <w:rFonts w:ascii="Times New Roman" w:cs="Times New Roman" w:eastAsia="Times New Roman" w:hAnsi="Times New Roman"/>
          <w:sz w:val="20"/>
          <w:szCs w:val="20"/>
          <w:color w:val="auto"/>
        </w:rPr>
      </w:pPr>
    </w:p>
    <w:p>
      <w:pPr>
        <w:ind w:left="980" w:hanging="486"/>
        <w:spacing w:after="0" w:line="353" w:lineRule="auto"/>
        <w:tabs>
          <w:tab w:leader="none" w:pos="928"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Liquidity Agreement is not renewed at its expiry date, and the relevant Liquidity Bank has not been replaced with another bank that is rated at least A1, P1 and/or F1 by the relevant Rating Agencies;</w:t>
      </w:r>
    </w:p>
    <w:p>
      <w:pPr>
        <w:spacing w:after="0" w:line="65" w:lineRule="exact"/>
        <w:rPr>
          <w:rFonts w:ascii="Times New Roman" w:cs="Times New Roman" w:eastAsia="Times New Roman" w:hAnsi="Times New Roman"/>
          <w:sz w:val="20"/>
          <w:szCs w:val="20"/>
          <w:color w:val="auto"/>
        </w:rPr>
      </w:pPr>
    </w:p>
    <w:p>
      <w:pPr>
        <w:ind w:left="980" w:hanging="486"/>
        <w:spacing w:after="0" w:line="353" w:lineRule="auto"/>
        <w:tabs>
          <w:tab w:leader="none" w:pos="95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Market Disruption, a drawing is made under such Liquidity Agreement in order to acquire all or part of the units of the Fund, and (y) such drawing remains outstanding until the expiry date of such Liquidity Agreement;</w:t>
      </w:r>
    </w:p>
    <w:p>
      <w:pPr>
        <w:spacing w:after="0" w:line="52" w:lineRule="exact"/>
        <w:rPr>
          <w:rFonts w:ascii="Times New Roman" w:cs="Times New Roman" w:eastAsia="Times New Roman" w:hAnsi="Times New Roman"/>
          <w:sz w:val="20"/>
          <w:szCs w:val="20"/>
          <w:color w:val="auto"/>
        </w:rPr>
      </w:pPr>
    </w:p>
    <w:p>
      <w:pPr>
        <w:jc w:val="both"/>
        <w:ind w:left="980" w:hanging="486"/>
        <w:spacing w:after="0" w:line="333" w:lineRule="auto"/>
        <w:tabs>
          <w:tab w:leader="none" w:pos="99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 Downgrading Event, a drawing is made under such Liquidity Agreement in order to acquire all or part of the units of the Fund, (y) such drawing remains outstanding until the expiry date of such Liquidity Agreement, and (z) the relevant Liquidity Bank has not been replaced with another bank that is rated at least A1, P1 and/or F1 by the relevant Rating Agencies; or</w:t>
      </w:r>
    </w:p>
    <w:p>
      <w:pPr>
        <w:spacing w:after="0" w:line="87" w:lineRule="exact"/>
        <w:rPr>
          <w:rFonts w:ascii="Times New Roman" w:cs="Times New Roman" w:eastAsia="Times New Roman" w:hAnsi="Times New Roman"/>
          <w:sz w:val="20"/>
          <w:szCs w:val="20"/>
          <w:color w:val="auto"/>
        </w:rPr>
      </w:pPr>
    </w:p>
    <w:p>
      <w:pPr>
        <w:ind w:left="980" w:hanging="486"/>
        <w:spacing w:after="0" w:line="353" w:lineRule="auto"/>
        <w:tabs>
          <w:tab w:leader="none" w:pos="1041"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 drawing is made under any Liquidity Agreement for any reason other than those listed above, (y) such drawing remains outstanding until the expiry date of such Liquidity</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95" w:lineRule="exact"/>
        <w:rPr>
          <w:sz w:val="20"/>
          <w:szCs w:val="20"/>
          <w:color w:val="auto"/>
        </w:rPr>
      </w:pPr>
    </w:p>
    <w:p>
      <w:pPr>
        <w:ind w:left="980" w:right="20"/>
        <w:spacing w:after="0" w:line="353" w:lineRule="auto"/>
        <w:rPr>
          <w:sz w:val="20"/>
          <w:szCs w:val="20"/>
          <w:color w:val="auto"/>
        </w:rPr>
      </w:pPr>
      <w:r>
        <w:rPr>
          <w:rFonts w:ascii="Times New Roman" w:cs="Times New Roman" w:eastAsia="Times New Roman" w:hAnsi="Times New Roman"/>
          <w:sz w:val="20"/>
          <w:szCs w:val="20"/>
          <w:color w:val="auto"/>
        </w:rPr>
        <w:t>Agreement, and (z) the relevant Liquidity Bank has not been replaced with another bank that is rated at least A1, P1 and/or F1 by the relevant Rating Agencies; or</w:t>
      </w:r>
    </w:p>
    <w:p>
      <w:pPr>
        <w:spacing w:after="0" w:line="52" w:lineRule="exact"/>
        <w:rPr>
          <w:sz w:val="20"/>
          <w:szCs w:val="20"/>
          <w:color w:val="auto"/>
        </w:rPr>
      </w:pPr>
    </w:p>
    <w:p>
      <w:pPr>
        <w:ind w:left="500" w:hanging="492"/>
        <w:spacing w:after="0" w:line="367" w:lineRule="auto"/>
        <w:tabs>
          <w:tab w:leader="none" w:pos="47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Bank Commitment Letter was executed by such Liquidity Bank, the expiry of the commitment of such Liquidity Bank under such Bank Commitment Letter.</w:t>
      </w:r>
    </w:p>
    <w:p>
      <w:pPr>
        <w:spacing w:after="0" w:line="3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List of Purchasable Receivables</w:t>
      </w:r>
      <w:r>
        <w:rPr>
          <w:rFonts w:ascii="Times New Roman" w:cs="Times New Roman" w:eastAsia="Times New Roman" w:hAnsi="Times New Roman"/>
          <w:sz w:val="20"/>
          <w:szCs w:val="20"/>
          <w:color w:val="auto"/>
        </w:rPr>
        <w:t xml:space="preserve">" means any list of Remaining Purchasable Receivables and Refinanced Remaining Purchasable Receivables existing on the Assessment Date preceding the delivery of such list, and of Ongoing Purchasable Receivables and Refinanced Ongoing Purchasable Receivables title to which has passed and has transferred to the Purchaser or the Italian Issuer respectively between the two (2) last Assessment Dates preceding the delivery of such list, in the form agreed between the Parties, to be provided by the Centralising Unit, acting in the name and on behalf of the Sellers, to the Purchaser, </w:t>
      </w:r>
      <w:r>
        <w:rPr>
          <w:rFonts w:ascii="Times New Roman" w:cs="Times New Roman" w:eastAsia="Times New Roman" w:hAnsi="Times New Roman"/>
          <w:sz w:val="20"/>
          <w:szCs w:val="20"/>
          <w:i w:val="1"/>
          <w:iCs w:val="1"/>
          <w:u w:val="single" w:color="auto"/>
          <w:color w:val="auto"/>
        </w:rPr>
        <w:t>it being provided</w:t>
      </w:r>
      <w:r>
        <w:rPr>
          <w:rFonts w:ascii="Times New Roman" w:cs="Times New Roman" w:eastAsia="Times New Roman" w:hAnsi="Times New Roman"/>
          <w:sz w:val="20"/>
          <w:szCs w:val="20"/>
          <w:color w:val="auto"/>
        </w:rPr>
        <w:t xml:space="preserve"> that the Ongoing Purchasable Receivables title to which has passed and has transferred to the Purchaser between the two (2) last Assessment Dates preceding the delivery of such list and the transfer of which shall be rescinded on the next Funded Settlement Date in accordance with the provisions of the French Receivables Purchase Agreement, the Spanish Receivables Purchase Agreement or the German Receivables Purchase Agreement (in that latter case only if the transfer of said Originated Ongoing Purchase Receivables was governed by French law) will be identified in such list as Remaining Purchasable Receivables.</w:t>
      </w:r>
    </w:p>
    <w:p>
      <w:pPr>
        <w:spacing w:after="0" w:line="7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Luxembourg Seller</w:t>
      </w:r>
      <w:r>
        <w:rPr>
          <w:rFonts w:ascii="Times New Roman" w:cs="Times New Roman" w:eastAsia="Times New Roman" w:hAnsi="Times New Roman"/>
          <w:sz w:val="20"/>
          <w:szCs w:val="20"/>
          <w:color w:val="auto"/>
        </w:rPr>
        <w:t>" means, as from the Luxembourg Seller Accession Effective Date, GOODYEAR OPERATIONS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incorporated and existing under the laws of the Grand Duchy of Luxembourg, having its registered office at Avenue Gordon Smith, L-7750 Colmar Berg , Grand Duchy of Luxembourg, and registered with the Luxembourg Trade and Companies Register (</w:t>
      </w:r>
      <w:r>
        <w:rPr>
          <w:rFonts w:ascii="Times New Roman" w:cs="Times New Roman" w:eastAsia="Times New Roman" w:hAnsi="Times New Roman"/>
          <w:sz w:val="20"/>
          <w:szCs w:val="20"/>
          <w:i w:val="1"/>
          <w:iCs w:val="1"/>
          <w:color w:val="auto"/>
        </w:rPr>
        <w:t>Registre de commerce et des sociétés, Luxembourg</w:t>
      </w:r>
      <w:r>
        <w:rPr>
          <w:rFonts w:ascii="Times New Roman" w:cs="Times New Roman" w:eastAsia="Times New Roman" w:hAnsi="Times New Roman"/>
          <w:sz w:val="20"/>
          <w:szCs w:val="20"/>
          <w:color w:val="auto"/>
        </w:rPr>
        <w:t>) under number B71219.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Luxembourg Seller Accession Effective Date</w:t>
      </w:r>
      <w:r>
        <w:rPr>
          <w:rFonts w:ascii="Times New Roman" w:cs="Times New Roman" w:eastAsia="Times New Roman" w:hAnsi="Times New Roman"/>
          <w:sz w:val="20"/>
          <w:szCs w:val="20"/>
          <w:color w:val="auto"/>
        </w:rPr>
        <w:t>" has the meaning ascribed to such term in Article 38.</w:t>
      </w:r>
    </w:p>
    <w:p>
      <w:pPr>
        <w:spacing w:after="0" w:line="189"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Company</w:t>
      </w:r>
      <w:r>
        <w:rPr>
          <w:rFonts w:ascii="Times New Roman" w:cs="Times New Roman" w:eastAsia="Times New Roman" w:hAnsi="Times New Roman"/>
          <w:sz w:val="20"/>
          <w:szCs w:val="20"/>
          <w:color w:val="auto"/>
        </w:rPr>
        <w:t>" means ABC Gestion, a limited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authorised to manage mutual securitisation funds (</w:t>
      </w:r>
      <w:r>
        <w:rPr>
          <w:rFonts w:ascii="Times New Roman" w:cs="Times New Roman" w:eastAsia="Times New Roman" w:hAnsi="Times New Roman"/>
          <w:sz w:val="20"/>
          <w:szCs w:val="20"/>
          <w:i w:val="1"/>
          <w:iCs w:val="1"/>
          <w:color w:val="auto"/>
        </w:rPr>
        <w:t>fonds commun de titrisation</w:t>
      </w:r>
      <w:r>
        <w:rPr>
          <w:rFonts w:ascii="Times New Roman" w:cs="Times New Roman" w:eastAsia="Times New Roman" w:hAnsi="Times New Roman"/>
          <w:sz w:val="20"/>
          <w:szCs w:val="20"/>
          <w:color w:val="auto"/>
        </w:rPr>
        <w:t>) as a Management Company (</w:t>
      </w:r>
      <w:r>
        <w:rPr>
          <w:rFonts w:ascii="Times New Roman" w:cs="Times New Roman" w:eastAsia="Times New Roman" w:hAnsi="Times New Roman"/>
          <w:sz w:val="20"/>
          <w:szCs w:val="20"/>
          <w:i w:val="1"/>
          <w:iCs w:val="1"/>
          <w:color w:val="auto"/>
        </w:rPr>
        <w:t>société de gestion</w:t>
      </w:r>
      <w:r>
        <w:rPr>
          <w:rFonts w:ascii="Times New Roman" w:cs="Times New Roman" w:eastAsia="Times New Roman" w:hAnsi="Times New Roman"/>
          <w:sz w:val="20"/>
          <w:szCs w:val="20"/>
          <w:color w:val="auto"/>
        </w:rPr>
        <w:t>), in accordance with the provisions of article L. 214-175-2,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 having its registered office at Immeuble Eole / GMD / Titrisation, 12 place des Etats-Unis, CS 70052, 92547 Montrouge Cedex, France, registered with the trade and companies registry (</w:t>
      </w:r>
      <w:r>
        <w:rPr>
          <w:rFonts w:ascii="Times New Roman" w:cs="Times New Roman" w:eastAsia="Times New Roman" w:hAnsi="Times New Roman"/>
          <w:sz w:val="20"/>
          <w:szCs w:val="20"/>
          <w:i w:val="1"/>
          <w:iCs w:val="1"/>
          <w:color w:val="auto"/>
        </w:rPr>
        <w:t>registre du commerce 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des sociétés</w:t>
      </w:r>
      <w:r>
        <w:rPr>
          <w:rFonts w:ascii="Times New Roman" w:cs="Times New Roman" w:eastAsia="Times New Roman" w:hAnsi="Times New Roman"/>
          <w:sz w:val="20"/>
          <w:szCs w:val="20"/>
          <w:color w:val="auto"/>
        </w:rPr>
        <w:t>) of Nanterre under the number 353 716 160.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Fee</w:t>
      </w:r>
      <w:r>
        <w:rPr>
          <w:rFonts w:ascii="Times New Roman" w:cs="Times New Roman" w:eastAsia="Times New Roman" w:hAnsi="Times New Roman"/>
          <w:sz w:val="20"/>
          <w:szCs w:val="20"/>
          <w:color w:val="auto"/>
        </w:rPr>
        <w:t>" means the management fee set out in Article 8 (</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9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w:t>
      </w:r>
      <w:r>
        <w:rPr>
          <w:rFonts w:ascii="Times New Roman" w:cs="Times New Roman" w:eastAsia="Times New Roman" w:hAnsi="Times New Roman"/>
          <w:sz w:val="20"/>
          <w:szCs w:val="20"/>
          <w:color w:val="auto"/>
        </w:rPr>
        <w:t>" means the margin which aims to cover any administrative, financial and management costs incurred by ESTER, equal to 0.01% of the Maximum Amount of the Purchaser's Funding per year, 1/12° of such amount being payable on each Funded Settlement Date.</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 Disruption</w:t>
      </w:r>
      <w:r>
        <w:rPr>
          <w:rFonts w:ascii="Times New Roman" w:cs="Times New Roman" w:eastAsia="Times New Roman" w:hAnsi="Times New Roman"/>
          <w:sz w:val="20"/>
          <w:szCs w:val="20"/>
          <w:color w:val="auto"/>
        </w:rPr>
        <w:t>" means the occurrence of any event leading to any placement agent acting for an Issuer being unable to find investors to purchase whole or part of the Notes that would otherwise be issued by that Issuer.</w:t>
      </w:r>
    </w:p>
    <w:p>
      <w:pPr>
        <w:spacing w:after="0" w:line="3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Definitions Schedule</w:t>
      </w:r>
      <w:r>
        <w:rPr>
          <w:rFonts w:ascii="Times New Roman" w:cs="Times New Roman" w:eastAsia="Times New Roman" w:hAnsi="Times New Roman"/>
          <w:sz w:val="20"/>
          <w:szCs w:val="20"/>
          <w:color w:val="auto"/>
        </w:rPr>
        <w:t>" means this master definitions schedule which determines the meaning of the terms and expressions used in the Transaction Documents.</w:t>
      </w:r>
    </w:p>
    <w:p>
      <w:pPr>
        <w:spacing w:after="0" w:line="45"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Senior Deposit Agreement</w:t>
      </w:r>
      <w:r>
        <w:rPr>
          <w:rFonts w:ascii="Times New Roman" w:cs="Times New Roman" w:eastAsia="Times New Roman" w:hAnsi="Times New Roman"/>
          <w:sz w:val="20"/>
          <w:szCs w:val="20"/>
          <w:color w:val="auto"/>
        </w:rPr>
        <w:t>" means the agreement dated 15 December 2004, as amended and/or supplemented from time to time, entered into between the Purchaser and the Depositor under which the Depositor has agreed to make a Senior Deposit with the Purchaser.</w:t>
      </w:r>
    </w:p>
    <w:p>
      <w:pPr>
        <w:spacing w:after="0" w:line="4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Subordinated Deposit Agreement</w:t>
      </w:r>
      <w:r>
        <w:rPr>
          <w:rFonts w:ascii="Times New Roman" w:cs="Times New Roman" w:eastAsia="Times New Roman" w:hAnsi="Times New Roman"/>
          <w:sz w:val="20"/>
          <w:szCs w:val="20"/>
          <w:color w:val="auto"/>
        </w:rPr>
        <w:t>" means the agreement dated 23 July 2008, as amended and/or supplemented from time to time, entered into between the Purchaser and the Centralising Unit, under which the Centralising Unit shall effect a Subordinated Deposit with the Purchaser.</w:t>
      </w:r>
    </w:p>
    <w:p>
      <w:pPr>
        <w:spacing w:after="0" w:line="55"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 adverse change in or effect on (i) the ability of the Sellers, the Italian Seller and the Centralising Unit, taken as a whole, or of GOODYEAR EUROPE BV to perform their obligations under the Securitisation Documents that are material to the rights or interests of the Purchaser, the Italian Issuer, the Depositor, the Issuers, the Liquidity Banks and the Fund Subscribers under the Securitisation Documents to which they are parties, (ii) the ability of the Purchaser to collect the amounts due under the Sold Receivables and/or the ability of the Italian Issuer to collect the amount due under the Refinanced Sold Purchasable Receivables or the rights and interests of the Purchaser in the Sold Receivables and/or the rights and interest of the Italian Issuer in the Refinanced Sold Receivables, or (iii) the rights of or benefits available to the Purchaser, the Depositor, the Issuers, the Liquidity Banks and the Fund Subscribers under the Securitisation Documents that are material to the rights or interests of such parties thereunder including as a result of any material adverse change in or effect on the business, operations, properties, assets or financial condition (including as a result of the effects of any contingent liabilities) of GOODYEAR and its Subsidiaries (including the Sellers), taken as a whole.</w:t>
      </w:r>
    </w:p>
    <w:p>
      <w:pPr>
        <w:spacing w:after="0" w:line="7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means Financial Indebtedness in an aggregate principal amount exceeding USD 100,000,000 (or the equivalent in any other currency or currencies).</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in relation to any Sold Receivable or Refinanced Sold Receivable, the date on which such Sold Receivable or Refinanced Sold Receivable becomes due and payable by the relevant Debtor.</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9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Subsidiary</w:t>
      </w:r>
      <w:r>
        <w:rPr>
          <w:rFonts w:ascii="Times New Roman" w:cs="Times New Roman" w:eastAsia="Times New Roman" w:hAnsi="Times New Roman"/>
          <w:sz w:val="20"/>
          <w:szCs w:val="20"/>
          <w:color w:val="auto"/>
        </w:rPr>
        <w:t>" means, at any time, each subsidiary of GOODYEAR EUROPE BV other than Subsidiaries that do not represent more than 5% for any such individual subsidiary, or more than 10% in the aggregate for all such subsidiaries, of either (a) the consolidated total assets of GOODYEAR and its Subsidiaries or (b) the consolidated revenues of GOODYEAR and its Subsidiaries for the period of four (4) fiscal quarters most recently ended, in each case determined in accordance with US GAAP.</w:t>
      </w:r>
    </w:p>
    <w:p>
      <w:pPr>
        <w:spacing w:after="0" w:line="64"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Amount of the Program</w:t>
      </w:r>
      <w:r>
        <w:rPr>
          <w:rFonts w:ascii="Times New Roman" w:cs="Times New Roman" w:eastAsia="Times New Roman" w:hAnsi="Times New Roman"/>
          <w:sz w:val="20"/>
          <w:szCs w:val="20"/>
          <w:color w:val="auto"/>
        </w:rPr>
        <w:t>" means an amount equal to €450,000,000, or any other amount as determined pursuant to Article 6.1.3 or 6.1.4.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Maximum Amount of the Purchaser's Funding</w:t>
      </w:r>
      <w:r>
        <w:rPr>
          <w:rFonts w:ascii="Times New Roman" w:cs="Times New Roman" w:eastAsia="Times New Roman" w:hAnsi="Times New Roman"/>
          <w:sz w:val="19"/>
          <w:szCs w:val="19"/>
          <w:color w:val="auto"/>
        </w:rPr>
        <w:t>" means the amount set out in Article 6.1 (</w:t>
      </w:r>
      <w:r>
        <w:rPr>
          <w:rFonts w:ascii="Times New Roman" w:cs="Times New Roman" w:eastAsia="Times New Roman" w:hAnsi="Times New Roman"/>
          <w:sz w:val="19"/>
          <w:szCs w:val="19"/>
          <w:i w:val="1"/>
          <w:iCs w:val="1"/>
          <w:color w:val="auto"/>
        </w:rPr>
        <w:t>Maximum Amount of the Purchaser's Funding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Concentration Rate</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640" w:hanging="632"/>
        <w:spacing w:after="0" w:line="345" w:lineRule="auto"/>
        <w:tabs>
          <w:tab w:leader="none" w:pos="27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Renault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1" w:lineRule="exact"/>
        <w:rPr>
          <w:rFonts w:ascii="Times New Roman" w:cs="Times New Roman" w:eastAsia="Times New Roman" w:hAnsi="Times New Roman"/>
          <w:sz w:val="20"/>
          <w:szCs w:val="20"/>
          <w:color w:val="auto"/>
        </w:rPr>
      </w:pPr>
    </w:p>
    <w:p>
      <w:pPr>
        <w:ind w:left="640" w:hanging="632"/>
        <w:spacing w:after="0" w:line="338" w:lineRule="auto"/>
        <w:tabs>
          <w:tab w:leader="none" w:pos="266"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Peugeot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7" w:lineRule="exact"/>
        <w:rPr>
          <w:rFonts w:ascii="Times New Roman" w:cs="Times New Roman" w:eastAsia="Times New Roman" w:hAnsi="Times New Roman"/>
          <w:sz w:val="20"/>
          <w:szCs w:val="20"/>
          <w:color w:val="auto"/>
        </w:rPr>
      </w:pPr>
    </w:p>
    <w:p>
      <w:pPr>
        <w:ind w:left="640" w:hanging="632"/>
        <w:spacing w:after="0" w:line="345" w:lineRule="auto"/>
        <w:tabs>
          <w:tab w:leader="none" w:pos="312"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Michelin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1" w:lineRule="exact"/>
        <w:rPr>
          <w:rFonts w:ascii="Times New Roman" w:cs="Times New Roman" w:eastAsia="Times New Roman" w:hAnsi="Times New Roman"/>
          <w:sz w:val="20"/>
          <w:szCs w:val="20"/>
          <w:color w:val="auto"/>
        </w:rPr>
      </w:pPr>
    </w:p>
    <w:p>
      <w:pPr>
        <w:ind w:left="640" w:hanging="632"/>
        <w:spacing w:after="0" w:line="338" w:lineRule="auto"/>
        <w:tabs>
          <w:tab w:leader="none" w:pos="287"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BMW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81" w:lineRule="exact"/>
        <w:rPr>
          <w:rFonts w:ascii="Times New Roman" w:cs="Times New Roman" w:eastAsia="Times New Roman" w:hAnsi="Times New Roman"/>
          <w:sz w:val="20"/>
          <w:szCs w:val="20"/>
          <w:color w:val="auto"/>
        </w:rPr>
      </w:pPr>
    </w:p>
    <w:p>
      <w:pPr>
        <w:ind w:left="640" w:hanging="632"/>
        <w:spacing w:after="0" w:line="338" w:lineRule="auto"/>
        <w:tabs>
          <w:tab w:leader="none" w:pos="302"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Audi VW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7" w:lineRule="exact"/>
        <w:rPr>
          <w:rFonts w:ascii="Times New Roman" w:cs="Times New Roman" w:eastAsia="Times New Roman" w:hAnsi="Times New Roman"/>
          <w:sz w:val="20"/>
          <w:szCs w:val="20"/>
          <w:color w:val="auto"/>
        </w:rPr>
      </w:pPr>
    </w:p>
    <w:p>
      <w:pPr>
        <w:ind w:left="640" w:hanging="632"/>
        <w:spacing w:after="0" w:line="338" w:lineRule="auto"/>
        <w:tabs>
          <w:tab w:leader="none" w:pos="285"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in relation to the Debtors of the Itochu Group, taken as a whole, as long as such Debtors maintain short-term ratings not lower than A2 / P2 from Moody's and Standard &amp; Poor's, and 6% so long as such Debtors maintain short-term ratings lower than A2 / P2 but not lower than A3 / P3 from Moody's and Standard &amp; Poor's; or</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95" w:lineRule="exact"/>
        <w:rPr>
          <w:sz w:val="20"/>
          <w:szCs w:val="20"/>
          <w:color w:val="auto"/>
        </w:rPr>
      </w:pPr>
    </w:p>
    <w:p>
      <w:pPr>
        <w:ind w:left="640" w:hanging="632"/>
        <w:spacing w:after="0" w:line="353" w:lineRule="auto"/>
        <w:tabs>
          <w:tab w:leader="none" w:pos="328"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in relation to any other Debtor and to any Debtors of a Debtor Group named above which does not maintain the ratings specified above as a condition to a higher Maximum Concentration Rate.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Overcollateralisation Rate</w:t>
      </w:r>
      <w:r>
        <w:rPr>
          <w:rFonts w:ascii="Times New Roman" w:cs="Times New Roman" w:eastAsia="Times New Roman" w:hAnsi="Times New Roman"/>
          <w:sz w:val="20"/>
          <w:szCs w:val="20"/>
          <w:color w:val="auto"/>
        </w:rPr>
        <w:t>" means, on each Funded Settlement Date, the rate equal to 40%.</w:t>
      </w:r>
    </w:p>
    <w:p>
      <w:pPr>
        <w:spacing w:after="0" w:line="20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Amount of the Program</w:t>
      </w:r>
      <w:r>
        <w:rPr>
          <w:rFonts w:ascii="Times New Roman" w:cs="Times New Roman" w:eastAsia="Times New Roman" w:hAnsi="Times New Roman"/>
          <w:sz w:val="20"/>
          <w:szCs w:val="20"/>
          <w:color w:val="auto"/>
        </w:rPr>
        <w:t>" means an amount equal to €30,000,000, as this amount may be amended from time to time pursuant to the provisions of the Agreement.</w:t>
      </w:r>
    </w:p>
    <w:p>
      <w:pPr>
        <w:spacing w:after="0" w:line="45"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Miscellaneous Accounting Credit Entries</w:t>
      </w:r>
      <w:r>
        <w:rPr>
          <w:rFonts w:ascii="Times New Roman" w:cs="Times New Roman" w:eastAsia="Times New Roman" w:hAnsi="Times New Roman"/>
          <w:sz w:val="20"/>
          <w:szCs w:val="20"/>
          <w:color w:val="auto"/>
        </w:rPr>
        <w:t>" means, in relation to any Seller, Miscellaneous Accounting Entries booked on the credit side of the account receivables of an Eligible Debtor.</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Miscellaneous Accounting Debit Entries</w:t>
      </w:r>
      <w:r>
        <w:rPr>
          <w:rFonts w:ascii="Times New Roman" w:cs="Times New Roman" w:eastAsia="Times New Roman" w:hAnsi="Times New Roman"/>
          <w:sz w:val="20"/>
          <w:szCs w:val="20"/>
          <w:color w:val="auto"/>
        </w:rPr>
        <w:t>" means, in relation to any Seller, Miscellaneous Accounting Entries booked on the debit side of the account receivables of an Eligible Debtor.</w:t>
      </w:r>
    </w:p>
    <w:p>
      <w:pPr>
        <w:spacing w:after="0" w:line="58"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Miscellaneous Accounting Entries</w:t>
      </w:r>
      <w:r>
        <w:rPr>
          <w:rFonts w:ascii="Times New Roman" w:cs="Times New Roman" w:eastAsia="Times New Roman" w:hAnsi="Times New Roman"/>
          <w:sz w:val="20"/>
          <w:szCs w:val="20"/>
          <w:color w:val="auto"/>
        </w:rPr>
        <w:t>" means, in relation to any Seller, accounting entries other than invoices, credit notes or cash payments that appear on the debit side or credit side of the account receivables of an Eligible Debtor.</w:t>
      </w:r>
    </w:p>
    <w:p>
      <w:pPr>
        <w:spacing w:after="0" w:line="4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Monthly Reference Period</w:t>
      </w:r>
      <w:r>
        <w:rPr>
          <w:rFonts w:ascii="Times New Roman" w:cs="Times New Roman" w:eastAsia="Times New Roman" w:hAnsi="Times New Roman"/>
          <w:sz w:val="20"/>
          <w:szCs w:val="20"/>
          <w:color w:val="auto"/>
        </w:rPr>
        <w:t>" means the period starting on the first calendar day of each calendar month (included) and ending (i) on the End of Month Cut-Off Date of such month (included) or (ii) if an Early Amortisation Event occurs before the End of Month Cut-Off Date of such month, on the date of such Early Amortisation Event.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Fundable Receivables Pool Balance</w:t>
      </w:r>
      <w:r>
        <w:rPr>
          <w:rFonts w:ascii="Times New Roman" w:cs="Times New Roman" w:eastAsia="Times New Roman" w:hAnsi="Times New Roman"/>
          <w:sz w:val="19"/>
          <w:szCs w:val="19"/>
          <w:color w:val="auto"/>
        </w:rPr>
        <w:t>" means, with respect to any Funded Settlement Date, the amount equal to the difference between:</w:t>
      </w:r>
    </w:p>
    <w:p>
      <w:pPr>
        <w:spacing w:after="0" w:line="191" w:lineRule="exact"/>
        <w:rPr>
          <w:sz w:val="20"/>
          <w:szCs w:val="20"/>
          <w:color w:val="auto"/>
        </w:rPr>
      </w:pPr>
    </w:p>
    <w:p>
      <w:pPr>
        <w:ind w:left="4540" w:right="240" w:firstLine="4"/>
        <w:spacing w:after="0" w:line="289" w:lineRule="auto"/>
        <w:tabs>
          <w:tab w:leader="none" w:pos="5178"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Outstanding Amount of Eligible Receivables on such Funded Settlement Date and the Outstanding Amount of Refinanced Eligible Receivables on such Funded Settlement Date; and</w:t>
      </w:r>
    </w:p>
    <w:p>
      <w:pPr>
        <w:spacing w:after="0" w:line="195" w:lineRule="exact"/>
        <w:rPr>
          <w:rFonts w:ascii="Times New Roman" w:cs="Times New Roman" w:eastAsia="Times New Roman" w:hAnsi="Times New Roman"/>
          <w:sz w:val="20"/>
          <w:szCs w:val="20"/>
          <w:color w:val="auto"/>
        </w:rPr>
      </w:pPr>
    </w:p>
    <w:p>
      <w:pPr>
        <w:ind w:left="5180" w:hanging="636"/>
        <w:spacing w:after="0"/>
        <w:tabs>
          <w:tab w:leader="none" w:pos="5180"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283" w:lineRule="exact"/>
        <w:rPr>
          <w:rFonts w:ascii="Times New Roman" w:cs="Times New Roman" w:eastAsia="Times New Roman" w:hAnsi="Times New Roman"/>
          <w:sz w:val="20"/>
          <w:szCs w:val="20"/>
          <w:color w:val="auto"/>
        </w:rPr>
      </w:pPr>
    </w:p>
    <w:p>
      <w:pPr>
        <w:ind w:left="5200" w:right="100" w:hanging="8"/>
        <w:spacing w:after="0" w:line="297" w:lineRule="auto"/>
        <w:tabs>
          <w:tab w:leader="none" w:pos="5846"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Defaulted Receivables on such Funded Settlement Date;</w:t>
      </w:r>
    </w:p>
    <w:p>
      <w:pPr>
        <w:spacing w:after="0" w:line="200" w:lineRule="exact"/>
        <w:rPr>
          <w:rFonts w:ascii="Times New Roman" w:cs="Times New Roman" w:eastAsia="Times New Roman" w:hAnsi="Times New Roman"/>
          <w:sz w:val="20"/>
          <w:szCs w:val="20"/>
          <w:color w:val="auto"/>
        </w:rPr>
      </w:pPr>
    </w:p>
    <w:p>
      <w:pPr>
        <w:ind w:left="5200" w:right="200" w:hanging="8"/>
        <w:spacing w:after="0" w:line="297" w:lineRule="auto"/>
        <w:tabs>
          <w:tab w:leader="none" w:pos="5847"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Refinanced Defaulted Receivables on such Settlement Date;</w:t>
      </w:r>
    </w:p>
    <w:p>
      <w:pPr>
        <w:spacing w:after="0" w:line="200" w:lineRule="exact"/>
        <w:rPr>
          <w:rFonts w:ascii="Times New Roman" w:cs="Times New Roman" w:eastAsia="Times New Roman" w:hAnsi="Times New Roman"/>
          <w:sz w:val="20"/>
          <w:szCs w:val="20"/>
          <w:color w:val="auto"/>
        </w:rPr>
      </w:pPr>
    </w:p>
    <w:p>
      <w:pPr>
        <w:ind w:left="5200" w:right="40" w:hanging="8"/>
        <w:spacing w:after="0" w:line="297" w:lineRule="auto"/>
        <w:tabs>
          <w:tab w:leader="none" w:pos="5848"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Net Miscellaneous Receivables on such Funded Settlement Date;</w:t>
      </w:r>
    </w:p>
    <w:p>
      <w:pPr>
        <w:sectPr>
          <w:pgSz w:w="11900" w:h="16838" w:orient="portrait"/>
          <w:cols w:equalWidth="0" w:num="1">
            <w:col w:w="11240"/>
          </w:cols>
          <w:pgMar w:left="320" w:top="1440" w:right="339" w:bottom="1440" w:gutter="0" w:footer="0" w:header="0"/>
        </w:sectPr>
      </w:pPr>
    </w:p>
    <w:bookmarkStart w:id="257" w:name="page258"/>
    <w:bookmarkEnd w:id="257"/>
    <w:p>
      <w:pPr>
        <w:ind w:left="5200" w:hanging="8"/>
        <w:spacing w:after="0" w:line="311" w:lineRule="auto"/>
        <w:tabs>
          <w:tab w:leader="none" w:pos="5837"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Refinanced Net Miscellaneous Receivables on such Funded Settlement Date;</w:t>
      </w:r>
    </w:p>
    <w:p>
      <w:pPr>
        <w:spacing w:after="0" w:line="173" w:lineRule="exact"/>
        <w:rPr>
          <w:rFonts w:ascii="Times New Roman" w:cs="Times New Roman" w:eastAsia="Times New Roman" w:hAnsi="Times New Roman"/>
          <w:sz w:val="20"/>
          <w:szCs w:val="20"/>
          <w:color w:val="auto"/>
        </w:rPr>
      </w:pPr>
    </w:p>
    <w:p>
      <w:pPr>
        <w:ind w:left="5820" w:hanging="628"/>
        <w:spacing w:after="0"/>
        <w:tabs>
          <w:tab w:leader="none" w:pos="582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 Rebates;</w:t>
      </w:r>
    </w:p>
    <w:p>
      <w:pPr>
        <w:spacing w:after="0" w:line="283" w:lineRule="exact"/>
        <w:rPr>
          <w:rFonts w:ascii="Times New Roman" w:cs="Times New Roman" w:eastAsia="Times New Roman" w:hAnsi="Times New Roman"/>
          <w:sz w:val="20"/>
          <w:szCs w:val="20"/>
          <w:color w:val="auto"/>
        </w:rPr>
      </w:pPr>
    </w:p>
    <w:p>
      <w:pPr>
        <w:ind w:left="5820" w:hanging="628"/>
        <w:spacing w:after="0"/>
        <w:tabs>
          <w:tab w:leader="none" w:pos="582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 - Suppliers outstanding.</w:t>
      </w:r>
    </w:p>
    <w:p>
      <w:pPr>
        <w:spacing w:after="0" w:line="158"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Collection Account Agreement</w:t>
      </w:r>
      <w:r>
        <w:rPr>
          <w:rFonts w:ascii="Times New Roman" w:cs="Times New Roman" w:eastAsia="Times New Roman" w:hAnsi="Times New Roman"/>
          <w:sz w:val="20"/>
          <w:szCs w:val="20"/>
          <w:color w:val="auto"/>
        </w:rPr>
        <w:t xml:space="preserve">" means the collection agreement entered into on the 2014 Amendment Date between the French Seller and the Purchaser with respect to the French's Collection Account opened as a </w:t>
      </w:r>
      <w:r>
        <w:rPr>
          <w:rFonts w:ascii="Times New Roman" w:cs="Times New Roman" w:eastAsia="Times New Roman" w:hAnsi="Times New Roman"/>
          <w:sz w:val="20"/>
          <w:szCs w:val="20"/>
          <w:i w:val="1"/>
          <w:iCs w:val="1"/>
          <w:color w:val="auto"/>
        </w:rPr>
        <w:t>compte spécialement affecté</w:t>
      </w:r>
      <w:r>
        <w:rPr>
          <w:rFonts w:ascii="Times New Roman" w:cs="Times New Roman" w:eastAsia="Times New Roman" w:hAnsi="Times New Roman"/>
          <w:sz w:val="20"/>
          <w:szCs w:val="20"/>
          <w:color w:val="auto"/>
        </w:rPr>
        <w:t xml:space="preserve"> in the meaning of article L. 214-173 of the French Monetary and Financial Code (</w:t>
      </w:r>
      <w:r>
        <w:rPr>
          <w:rFonts w:ascii="Times New Roman" w:cs="Times New Roman" w:eastAsia="Times New Roman" w:hAnsi="Times New Roman"/>
          <w:sz w:val="20"/>
          <w:szCs w:val="20"/>
          <w:i w:val="1"/>
          <w:iCs w:val="1"/>
          <w:color w:val="auto"/>
        </w:rPr>
        <w:t>Code monétaire et financier</w:t>
      </w:r>
      <w:r>
        <w:rPr>
          <w:rFonts w:ascii="Times New Roman" w:cs="Times New Roman" w:eastAsia="Times New Roman" w:hAnsi="Times New Roman"/>
          <w:sz w:val="20"/>
          <w:szCs w:val="20"/>
          <w:color w:val="auto"/>
        </w:rPr>
        <w:t>) in the books of Crédit Agricole Corporate and Investment Bank.</w:t>
      </w:r>
    </w:p>
    <w:p>
      <w:pPr>
        <w:spacing w:after="0" w:line="64"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Seller</w:t>
      </w:r>
      <w:r>
        <w:rPr>
          <w:rFonts w:ascii="Times New Roman" w:cs="Times New Roman" w:eastAsia="Times New Roman" w:hAnsi="Times New Roman"/>
          <w:sz w:val="20"/>
          <w:szCs w:val="20"/>
          <w:color w:val="auto"/>
        </w:rPr>
        <w:t>" means a company controlled, directly or indirectly, by GOODYEAR EUROPE BV and which becomes a party to the Securitisation Transaction after the 2025 Amendment Date.</w:t>
      </w:r>
    </w:p>
    <w:p>
      <w:pPr>
        <w:spacing w:after="0" w:line="4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Available Amount</w:t>
      </w:r>
      <w:r>
        <w:rPr>
          <w:rFonts w:ascii="Times New Roman" w:cs="Times New Roman" w:eastAsia="Times New Roman" w:hAnsi="Times New Roman"/>
          <w:sz w:val="20"/>
          <w:szCs w:val="20"/>
          <w:color w:val="auto"/>
        </w:rPr>
        <w:t>" means, with respect to any Settlement Date, the excess of (i) the sum of the Requested Amount of the Purchaser's Funding, the amount of the Subordinated Deposit and the Discount Reserve over (ii) the Outstanding Amount of Sold Receivables and Refinanced Sold Receivables.</w:t>
      </w:r>
    </w:p>
    <w:p>
      <w:pPr>
        <w:spacing w:after="0" w:line="76"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Miscellaneous Receivable</w:t>
      </w:r>
      <w:r>
        <w:rPr>
          <w:rFonts w:ascii="Times New Roman" w:cs="Times New Roman" w:eastAsia="Times New Roman" w:hAnsi="Times New Roman"/>
          <w:sz w:val="20"/>
          <w:szCs w:val="20"/>
          <w:color w:val="auto"/>
        </w:rPr>
        <w:t>" means, in relation to any Seller, any Ongoing Purchasable Receivable or Remaining Purchasable Receivable corresponding to the amount equal to the Miscellaneous Accounting Debit Entries minus Miscellaneous Accounting Credit Entries.</w:t>
      </w:r>
    </w:p>
    <w:p>
      <w:pPr>
        <w:spacing w:after="0" w:line="6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 Allocated Cash</w:t>
      </w:r>
      <w:r>
        <w:rPr>
          <w:rFonts w:ascii="Times New Roman" w:cs="Times New Roman" w:eastAsia="Times New Roman" w:hAnsi="Times New Roman"/>
          <w:sz w:val="20"/>
          <w:szCs w:val="20"/>
          <w:color w:val="auto"/>
        </w:rPr>
        <w:t>" means any collection recorded in any Seller's accounting system, which has not yet been posted to the payment of a receivable.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xml:space="preserve">" means any US commercial paper, </w:t>
      </w:r>
      <w:r>
        <w:rPr>
          <w:rFonts w:ascii="Times New Roman" w:cs="Times New Roman" w:eastAsia="Times New Roman" w:hAnsi="Times New Roman"/>
          <w:sz w:val="20"/>
          <w:szCs w:val="20"/>
          <w:i w:val="1"/>
          <w:iCs w:val="1"/>
          <w:color w:val="auto"/>
        </w:rPr>
        <w:t>titres négociables à court terme</w:t>
      </w:r>
      <w:r>
        <w:rPr>
          <w:rFonts w:ascii="Times New Roman" w:cs="Times New Roman" w:eastAsia="Times New Roman" w:hAnsi="Times New Roman"/>
          <w:sz w:val="20"/>
          <w:szCs w:val="20"/>
          <w:color w:val="auto"/>
        </w:rPr>
        <w:t xml:space="preserve"> or any other short-term notes such as a Euro commercial paper.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for Maximum Amount of the Purchaser's Funding</w:t>
      </w:r>
      <w:r>
        <w:rPr>
          <w:rFonts w:ascii="Times New Roman" w:cs="Times New Roman" w:eastAsia="Times New Roman" w:hAnsi="Times New Roman"/>
          <w:sz w:val="20"/>
          <w:szCs w:val="20"/>
          <w:color w:val="auto"/>
        </w:rPr>
        <w:t>" means the notice referred to in Article 6.1.</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Transfer</w:t>
      </w:r>
      <w:r>
        <w:rPr>
          <w:rFonts w:ascii="Times New Roman" w:cs="Times New Roman" w:eastAsia="Times New Roman" w:hAnsi="Times New Roman"/>
          <w:sz w:val="20"/>
          <w:szCs w:val="20"/>
          <w:color w:val="auto"/>
        </w:rPr>
        <w:t>" means any notice issued by the Purchaser or any entity, acting on behalf of the Purchaser and appointed by the same for such purpose, to any Debtor in accordance with a Receivables Purchase Agreement.</w:t>
      </w:r>
    </w:p>
    <w:p>
      <w:pPr>
        <w:spacing w:after="0" w:line="1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Ongoing Purchasable Receivable</w:t>
      </w:r>
      <w:r>
        <w:rPr>
          <w:rFonts w:ascii="Times New Roman" w:cs="Times New Roman" w:eastAsia="Times New Roman" w:hAnsi="Times New Roman"/>
          <w:sz w:val="20"/>
          <w:szCs w:val="20"/>
          <w:color w:val="auto"/>
        </w:rPr>
        <w:t>" means, with respect to any Funded Settlement Date and any Seller, a right to a payment owed to such Seller which shall be originated during the immediately following Monthly Reference Period and which upon such origination shall have the following characteristics:</w:t>
      </w:r>
    </w:p>
    <w:p>
      <w:pPr>
        <w:spacing w:after="0" w:line="45" w:lineRule="exact"/>
        <w:rPr>
          <w:sz w:val="20"/>
          <w:szCs w:val="20"/>
          <w:color w:val="auto"/>
        </w:rPr>
      </w:pPr>
    </w:p>
    <w:p>
      <w:pPr>
        <w:jc w:val="both"/>
        <w:ind w:left="1540" w:hanging="766"/>
        <w:spacing w:after="0" w:line="226" w:lineRule="auto"/>
        <w:tabs>
          <w:tab w:leader="none" w:pos="1535"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shall be binding and enforceable with full recourse against the relevant Eligible Debtor and result from the manufacturing and/or supplying of tyres and/or activities related thereto in the normal course of such Seller's business; and</w:t>
      </w:r>
    </w:p>
    <w:p>
      <w:pPr>
        <w:sectPr>
          <w:pgSz w:w="11900" w:h="16838" w:orient="portrait"/>
          <w:cols w:equalWidth="0" w:num="1">
            <w:col w:w="11240"/>
          </w:cols>
          <w:pgMar w:left="320" w:top="1399" w:right="339" w:bottom="1440" w:gutter="0" w:footer="0" w:header="0"/>
        </w:sectPr>
      </w:pPr>
    </w:p>
    <w:bookmarkStart w:id="258" w:name="page259"/>
    <w:bookmarkEnd w:id="258"/>
    <w:p>
      <w:pPr>
        <w:spacing w:after="0" w:line="41" w:lineRule="exact"/>
        <w:rPr>
          <w:sz w:val="20"/>
          <w:szCs w:val="20"/>
          <w:color w:val="auto"/>
        </w:rPr>
      </w:pPr>
    </w:p>
    <w:p>
      <w:pPr>
        <w:ind w:left="1540" w:hanging="766"/>
        <w:spacing w:after="0"/>
        <w:tabs>
          <w:tab w:leader="none" w:pos="1532"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shall be governed by the laws of, and payable in, the Relevant Jurisdiction and denominated in the Relevant Currency.</w:t>
      </w:r>
    </w:p>
    <w:p>
      <w:pPr>
        <w:spacing w:after="0" w:line="9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Originated Ongoing Purchasable Receivable</w:t>
      </w:r>
      <w:r>
        <w:rPr>
          <w:rFonts w:ascii="Times New Roman" w:cs="Times New Roman" w:eastAsia="Times New Roman" w:hAnsi="Times New Roman"/>
          <w:sz w:val="20"/>
          <w:szCs w:val="20"/>
          <w:color w:val="auto"/>
        </w:rPr>
        <w:t>" means (i) on any Settlement Date, an Ongoing Purchasable Receivable sold on a preceding Funded Settlement Date, which has come into existence and title to which has passed to the Purchaser on or before the Assessment Date preceding such Settlement Date and (ii) more generally, an Ongoing Purchasable Receivable sold on any Funded Settlement Date and title to which has passed to the Purchaser.</w:t>
      </w:r>
    </w:p>
    <w:p>
      <w:pPr>
        <w:spacing w:after="0" w:line="64"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Originated Refinanced Ongoing Purchasable Receivables</w:t>
      </w:r>
      <w:r>
        <w:rPr>
          <w:rFonts w:ascii="Times New Roman" w:cs="Times New Roman" w:eastAsia="Times New Roman" w:hAnsi="Times New Roman"/>
          <w:sz w:val="20"/>
          <w:szCs w:val="20"/>
          <w:color w:val="auto"/>
        </w:rPr>
        <w:t>" means, on any Settlement Date, a Refinanced Ongoing Purchasable Receivable sold on a preceding Beginning of Month Purchase Date and title to which has passed to the Italian Issuer on or before the Assessment Date preceding such Settlement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Outstanding Amount</w:t>
      </w:r>
      <w:r>
        <w:rPr>
          <w:rFonts w:ascii="Times New Roman" w:cs="Times New Roman" w:eastAsia="Times New Roman" w:hAnsi="Times New Roman"/>
          <w:sz w:val="20"/>
          <w:szCs w:val="20"/>
          <w:color w:val="auto"/>
        </w:rPr>
        <w:t>" means, at all times:</w:t>
      </w:r>
    </w:p>
    <w:p>
      <w:pPr>
        <w:spacing w:after="0" w:line="193" w:lineRule="exact"/>
        <w:rPr>
          <w:sz w:val="20"/>
          <w:szCs w:val="20"/>
          <w:color w:val="auto"/>
        </w:rPr>
      </w:pPr>
    </w:p>
    <w:p>
      <w:pPr>
        <w:jc w:val="both"/>
        <w:ind w:left="640" w:hanging="637"/>
        <w:spacing w:after="0" w:line="353" w:lineRule="auto"/>
        <w:rPr>
          <w:sz w:val="20"/>
          <w:szCs w:val="20"/>
          <w:color w:val="auto"/>
        </w:rPr>
      </w:pPr>
      <w:r>
        <w:rPr>
          <w:rFonts w:ascii="Times New Roman" w:cs="Times New Roman" w:eastAsia="Times New Roman" w:hAnsi="Times New Roman"/>
          <w:sz w:val="20"/>
          <w:szCs w:val="20"/>
          <w:color w:val="auto"/>
        </w:rPr>
        <w:t>in relation to any Ongoing Purchasable Receivables, title to which has passed and which has been transferred to the Purchaser the aggregate principal amount remaining due in respect of such Ongoing Purchasable Receivables;</w:t>
      </w:r>
    </w:p>
    <w:p>
      <w:pPr>
        <w:spacing w:after="0" w:line="52" w:lineRule="exact"/>
        <w:rPr>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Eligible Receivables, the aggregate principal amount remaining due in respect of such Eligible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67"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Defaulted Receivables, the aggregate principal amount remaining due in respect of such Defaulted Receivables;</w:t>
      </w:r>
    </w:p>
    <w:p>
      <w:pPr>
        <w:spacing w:after="0" w:line="39" w:lineRule="exact"/>
        <w:rPr>
          <w:rFonts w:ascii="Times New Roman" w:cs="Times New Roman" w:eastAsia="Times New Roman" w:hAnsi="Times New Roman"/>
          <w:sz w:val="20"/>
          <w:szCs w:val="20"/>
          <w:color w:val="auto"/>
        </w:rPr>
      </w:pPr>
    </w:p>
    <w:p>
      <w:pPr>
        <w:ind w:left="2040" w:right="2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Delinquent Receivables, the aggregate principal amount remaining due in respect of such Delinquent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Doubtful Receivables, the aggregate principal amount remaining due in respect of such Doubtful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67"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Sold Receivables, the aggregate principal amount remaining due in respect of such Sold Receivables;</w:t>
      </w:r>
    </w:p>
    <w:p>
      <w:pPr>
        <w:spacing w:after="0" w:line="39" w:lineRule="exact"/>
        <w:rPr>
          <w:rFonts w:ascii="Times New Roman" w:cs="Times New Roman" w:eastAsia="Times New Roman" w:hAnsi="Times New Roman"/>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Net Miscellaneous Receivables, the aggregate principal amount remaining due in respect of such Net Miscellaneous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Eligible Receivables, the aggregate principal amount remaining due in respect of such Refinanced Eligible Receivables;</w:t>
      </w:r>
    </w:p>
    <w:p>
      <w:pPr>
        <w:spacing w:after="0" w:line="65" w:lineRule="exact"/>
        <w:rPr>
          <w:rFonts w:ascii="Times New Roman" w:cs="Times New Roman" w:eastAsia="Times New Roman" w:hAnsi="Times New Roman"/>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Defaulted Receivables, the aggregate principal amount remaining due in respect of such Refinanced Defaulted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53" w:lineRule="auto"/>
        <w:tabs>
          <w:tab w:leader="none" w:pos="202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Doubtful Receivables, the aggregate principal amount remaining due in respect of such Refinanced Doubtful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53" w:lineRule="auto"/>
        <w:tabs>
          <w:tab w:leader="none" w:pos="203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Sold Receivables, the aggregate principal amount remaining due in respect of such Refinanced Sold Receivables;</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95" w:lineRule="exact"/>
        <w:rPr>
          <w:sz w:val="20"/>
          <w:szCs w:val="20"/>
          <w:color w:val="auto"/>
        </w:rPr>
      </w:pPr>
    </w:p>
    <w:p>
      <w:pPr>
        <w:ind w:left="2040" w:hanging="501"/>
        <w:spacing w:after="0" w:line="353" w:lineRule="auto"/>
        <w:tabs>
          <w:tab w:leader="none" w:pos="2026"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Originated Ongoing Purchasable Receivables, the aggregate principal amount remaining due in respect of such Originated Ongoing Purchasable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67" w:lineRule="auto"/>
        <w:tabs>
          <w:tab w:leader="none" w:pos="203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Originated Refinanced Ongoing Purchasable Receivables, the aggregate principal amount remaining due in respect of such Originated Refinanced Ongoing Purchasable Receivables;</w:t>
      </w:r>
    </w:p>
    <w:p>
      <w:pPr>
        <w:spacing w:after="0" w:line="39" w:lineRule="exact"/>
        <w:rPr>
          <w:rFonts w:ascii="Times New Roman" w:cs="Times New Roman" w:eastAsia="Times New Roman" w:hAnsi="Times New Roman"/>
          <w:sz w:val="20"/>
          <w:szCs w:val="20"/>
          <w:color w:val="auto"/>
        </w:rPr>
      </w:pPr>
    </w:p>
    <w:p>
      <w:pPr>
        <w:ind w:left="2040" w:hanging="501"/>
        <w:spacing w:after="0" w:line="353" w:lineRule="auto"/>
        <w:tabs>
          <w:tab w:leader="none" w:pos="203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Remaining Purchasable Receivables, the aggregate principal amount remaining due in respect of such Remaining Purchasable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53" w:lineRule="auto"/>
        <w:tabs>
          <w:tab w:leader="none" w:pos="203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Remaining Purchasable Receivables, the aggregate principal amount remaining due in respect of such Refinanced Remaining Purchasable Receivables;</w:t>
      </w:r>
    </w:p>
    <w:p>
      <w:pPr>
        <w:spacing w:after="0" w:line="52" w:lineRule="exact"/>
        <w:rPr>
          <w:rFonts w:ascii="Times New Roman" w:cs="Times New Roman" w:eastAsia="Times New Roman" w:hAnsi="Times New Roman"/>
          <w:sz w:val="20"/>
          <w:szCs w:val="20"/>
          <w:color w:val="auto"/>
        </w:rPr>
      </w:pPr>
    </w:p>
    <w:p>
      <w:pPr>
        <w:ind w:left="2040" w:hanging="501"/>
        <w:spacing w:after="0" w:line="367" w:lineRule="auto"/>
        <w:tabs>
          <w:tab w:leader="none" w:pos="203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Refinanced Ongoing Purchasable Receivables, the aggregate principal amount remaining due in respect of such Refinanced Ongoing Purchasable Receivables; and</w:t>
      </w:r>
    </w:p>
    <w:p>
      <w:pPr>
        <w:spacing w:after="0" w:line="39" w:lineRule="exact"/>
        <w:rPr>
          <w:rFonts w:ascii="Times New Roman" w:cs="Times New Roman" w:eastAsia="Times New Roman" w:hAnsi="Times New Roman"/>
          <w:sz w:val="20"/>
          <w:szCs w:val="20"/>
          <w:color w:val="auto"/>
        </w:rPr>
      </w:pPr>
    </w:p>
    <w:p>
      <w:pPr>
        <w:jc w:val="both"/>
        <w:ind w:left="2040" w:hanging="501"/>
        <w:spacing w:after="0" w:line="338" w:lineRule="auto"/>
        <w:tabs>
          <w:tab w:leader="none" w:pos="203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Italian Note, the Principal Amount Outstanding of such Italian Note (as such term is defined under the Italian Subscription Agreement), being the aggregate principal amount remaining due in respect of such Italian Note;</w:t>
      </w:r>
    </w:p>
    <w:p>
      <w:pPr>
        <w:spacing w:after="0" w:line="68" w:lineRule="exact"/>
        <w:rPr>
          <w:sz w:val="20"/>
          <w:szCs w:val="20"/>
          <w:color w:val="auto"/>
        </w:rPr>
      </w:pPr>
    </w:p>
    <w:p>
      <w:pPr>
        <w:jc w:val="both"/>
        <w:ind w:left="640"/>
        <w:spacing w:after="0" w:line="353" w:lineRule="auto"/>
        <w:rPr>
          <w:sz w:val="20"/>
          <w:szCs w:val="20"/>
          <w:color w:val="auto"/>
        </w:rPr>
      </w:pPr>
      <w:r>
        <w:rPr>
          <w:rFonts w:ascii="Times New Roman" w:cs="Times New Roman" w:eastAsia="Times New Roman" w:hAnsi="Times New Roman"/>
          <w:sz w:val="20"/>
          <w:szCs w:val="20"/>
          <w:color w:val="auto"/>
        </w:rPr>
        <w:t>provided that, if any amount so determined pursuant to the foregoing provisions is denominated in GBP, such amount shall be converted into Euro at the Exchange Rate.</w:t>
      </w:r>
    </w:p>
    <w:p>
      <w:pPr>
        <w:spacing w:after="0" w:line="66" w:lineRule="exact"/>
        <w:rPr>
          <w:sz w:val="20"/>
          <w:szCs w:val="20"/>
          <w:color w:val="auto"/>
        </w:rPr>
      </w:pPr>
    </w:p>
    <w:p>
      <w:pPr>
        <w:jc w:val="both"/>
        <w:ind w:left="640"/>
        <w:spacing w:after="0" w:line="338" w:lineRule="auto"/>
        <w:rPr>
          <w:sz w:val="20"/>
          <w:szCs w:val="20"/>
          <w:color w:val="auto"/>
        </w:rPr>
      </w:pPr>
      <w:r>
        <w:rPr>
          <w:rFonts w:ascii="Times New Roman" w:cs="Times New Roman" w:eastAsia="Times New Roman" w:hAnsi="Times New Roman"/>
          <w:sz w:val="20"/>
          <w:szCs w:val="20"/>
          <w:color w:val="auto"/>
        </w:rPr>
        <w:t>The Parties acknowledge that the Outstanding Amount of any receivables means the total net amount of such receivables (including all taxes less any Credit Notes issued, set-off, partial payments and other written off debts, as calculated by the Agent on the basis of the Assessment Reports and the electronic supports attached thereto).</w:t>
      </w:r>
    </w:p>
    <w:p>
      <w:pPr>
        <w:spacing w:after="0" w:line="64"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Overcollateralisation Rate</w:t>
      </w:r>
      <w:r>
        <w:rPr>
          <w:rFonts w:ascii="Times New Roman" w:cs="Times New Roman" w:eastAsia="Times New Roman" w:hAnsi="Times New Roman"/>
          <w:sz w:val="20"/>
          <w:szCs w:val="20"/>
          <w:color w:val="auto"/>
        </w:rPr>
        <w:t>" means, on each Calculation Date preceding the Initial Settlement Date or a Funded Settlement Date during the Replenishment Period, the rate determined in accordance with the provisions of schedule 1 of the Master Subordinated Deposit Agreement. The Overcollateralisation Rate shall be calculated by the Agent on each Calculation Date preceding a Funded Settlement Date and shall apply with respect to the next Settlement Date (or, should such Calculation Date fall within a Bi-monthly Management Period, with respect to the two (2) next Settlement Dates).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means the parties to this Agreement.</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means any payment to be made by the Purchaser to the Centralising Unit, in accordance with article 4.1 of the relevant Receivables Purchase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Performance Letter</w:t>
      </w:r>
      <w:r>
        <w:rPr>
          <w:rFonts w:ascii="Times New Roman" w:cs="Times New Roman" w:eastAsia="Times New Roman" w:hAnsi="Times New Roman"/>
          <w:sz w:val="19"/>
          <w:szCs w:val="19"/>
          <w:color w:val="auto"/>
        </w:rPr>
        <w:t>" means any of the performance letters granted by GOODYEAR EUROPE BV in the forms agreed between the Parties.</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91"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Potential Early Amortisation Event</w:t>
      </w:r>
      <w:r>
        <w:rPr>
          <w:rFonts w:ascii="Times New Roman" w:cs="Times New Roman" w:eastAsia="Times New Roman" w:hAnsi="Times New Roman"/>
          <w:sz w:val="20"/>
          <w:szCs w:val="20"/>
          <w:color w:val="auto"/>
        </w:rPr>
        <w:t>" means any event or condition which, but for the giving of any notice or the lapse of any time period or both required for an Early Amortisation Event to occur under Article 11, would constitute an Early Amortisation Event.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Priority Amount</w:t>
      </w:r>
      <w:r>
        <w:rPr>
          <w:rFonts w:ascii="Times New Roman" w:cs="Times New Roman" w:eastAsia="Times New Roman" w:hAnsi="Times New Roman"/>
          <w:sz w:val="20"/>
          <w:szCs w:val="20"/>
          <w:color w:val="auto"/>
        </w:rPr>
        <w:t>" has the meaning set forth in Article 14.2.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Program Expiry Date</w:t>
      </w:r>
      <w:r>
        <w:rPr>
          <w:rFonts w:ascii="Times New Roman" w:cs="Times New Roman" w:eastAsia="Times New Roman" w:hAnsi="Times New Roman"/>
          <w:sz w:val="20"/>
          <w:szCs w:val="20"/>
          <w:color w:val="auto"/>
        </w:rPr>
        <w:t>" means, in relation to any Seller and the Centralising Unit, the earlier of the following dates:</w:t>
      </w:r>
    </w:p>
    <w:p>
      <w:pPr>
        <w:spacing w:after="0" w:line="193" w:lineRule="exact"/>
        <w:rPr>
          <w:sz w:val="20"/>
          <w:szCs w:val="20"/>
          <w:color w:val="auto"/>
        </w:rPr>
      </w:pPr>
    </w:p>
    <w:p>
      <w:pPr>
        <w:ind w:left="640" w:hanging="632"/>
        <w:spacing w:after="0" w:line="353" w:lineRule="auto"/>
        <w:tabs>
          <w:tab w:leader="none" w:pos="476"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Day, on or after the Commitment Expiry Date, on which all sums due to the Purchaser under this Agreement and the relevant Receivables Purchase Agreement have been fully paid; or</w:t>
      </w:r>
    </w:p>
    <w:p>
      <w:pPr>
        <w:spacing w:after="0" w:line="5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Funded Settlement Date (included) falling on or after twelve (12) calendar months after the Commitment Expiry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Protected Debtor</w:t>
      </w:r>
      <w:r>
        <w:rPr>
          <w:rFonts w:ascii="Times New Roman" w:cs="Times New Roman" w:eastAsia="Times New Roman" w:hAnsi="Times New Roman"/>
          <w:sz w:val="20"/>
          <w:szCs w:val="20"/>
          <w:color w:val="auto"/>
        </w:rPr>
        <w:t>" means any Debtor in respect of one or more Sold Receivable(s) which is either: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individual (such as in Germany an individual merchant (</w:t>
      </w:r>
      <w:r>
        <w:rPr>
          <w:rFonts w:ascii="Times New Roman" w:cs="Times New Roman" w:eastAsia="Times New Roman" w:hAnsi="Times New Roman"/>
          <w:sz w:val="20"/>
          <w:szCs w:val="20"/>
          <w:i w:val="1"/>
          <w:iCs w:val="1"/>
          <w:color w:val="auto"/>
        </w:rPr>
        <w:t>Kaufmann</w:t>
      </w:r>
      <w:r>
        <w:rPr>
          <w:rFonts w:ascii="Times New Roman" w:cs="Times New Roman" w:eastAsia="Times New Roman" w:hAnsi="Times New Roman"/>
          <w:sz w:val="20"/>
          <w:szCs w:val="20"/>
          <w:color w:val="auto"/>
        </w:rPr>
        <w:t>)); or</w:t>
      </w:r>
    </w:p>
    <w:p>
      <w:pPr>
        <w:spacing w:after="0" w:line="202" w:lineRule="exact"/>
        <w:rPr>
          <w:sz w:val="20"/>
          <w:szCs w:val="20"/>
          <w:color w:val="auto"/>
        </w:rPr>
      </w:pPr>
    </w:p>
    <w:p>
      <w:pPr>
        <w:jc w:val="both"/>
        <w:ind w:left="640" w:hanging="637"/>
        <w:spacing w:after="0" w:line="340" w:lineRule="auto"/>
        <w:rPr>
          <w:sz w:val="20"/>
          <w:szCs w:val="20"/>
          <w:color w:val="auto"/>
        </w:rPr>
      </w:pPr>
      <w:r>
        <w:rPr>
          <w:rFonts w:ascii="Times New Roman" w:cs="Times New Roman" w:eastAsia="Times New Roman" w:hAnsi="Times New Roman"/>
          <w:sz w:val="20"/>
          <w:szCs w:val="20"/>
          <w:color w:val="auto"/>
        </w:rPr>
        <w:t>a partnership (</w:t>
      </w:r>
      <w:r>
        <w:rPr>
          <w:rFonts w:ascii="Times New Roman" w:cs="Times New Roman" w:eastAsia="Times New Roman" w:hAnsi="Times New Roman"/>
          <w:sz w:val="20"/>
          <w:szCs w:val="20"/>
          <w:i w:val="1"/>
          <w:iCs w:val="1"/>
          <w:color w:val="auto"/>
        </w:rPr>
        <w:t>Personengesellschaft</w:t>
      </w:r>
      <w:r>
        <w:rPr>
          <w:rFonts w:ascii="Times New Roman" w:cs="Times New Roman" w:eastAsia="Times New Roman" w:hAnsi="Times New Roman"/>
          <w:sz w:val="20"/>
          <w:szCs w:val="20"/>
          <w:color w:val="auto"/>
        </w:rPr>
        <w:t xml:space="preserve">) in the form of </w:t>
      </w:r>
      <w:r>
        <w:rPr>
          <w:rFonts w:ascii="Times New Roman" w:cs="Times New Roman" w:eastAsia="Times New Roman" w:hAnsi="Times New Roman"/>
          <w:sz w:val="20"/>
          <w:szCs w:val="20"/>
          <w:i w:val="1"/>
          <w:iCs w:val="1"/>
          <w:color w:val="auto"/>
        </w:rPr>
        <w:t>Offene Handelsgesellschaft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OHG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Gesellschaft bürgerlichen Rechts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GbR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 xml:space="preserve">Kommanditgesellschaft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KG</w:t>
      </w:r>
      <w:r>
        <w:rPr>
          <w:rFonts w:ascii="Times New Roman" w:cs="Times New Roman" w:eastAsia="Times New Roman" w:hAnsi="Times New Roman"/>
          <w:sz w:val="20"/>
          <w:szCs w:val="20"/>
          <w:color w:val="auto"/>
        </w:rPr>
        <w:t>) or any equivalent foreign partnership, unless in each case all of the general, unlimited partners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means ESTER.</w:t>
      </w:r>
    </w:p>
    <w:p>
      <w:pPr>
        <w:spacing w:after="0" w:line="18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Purchaser's Account</w:t>
      </w:r>
      <w:r>
        <w:rPr>
          <w:rFonts w:ascii="Times New Roman" w:cs="Times New Roman" w:eastAsia="Times New Roman" w:hAnsi="Times New Roman"/>
          <w:sz w:val="20"/>
          <w:szCs w:val="20"/>
          <w:color w:val="auto"/>
        </w:rPr>
        <w:t>" means the account number 31 489 10 239912428 (47), opened by the Purchaser in the books of CREDIT AGRICOLE CORPORATE AND INVESTMENT BANK.</w:t>
      </w:r>
    </w:p>
    <w:p>
      <w:pPr>
        <w:spacing w:after="0" w:line="58"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Purchaser's Collection Account</w:t>
      </w:r>
      <w:r>
        <w:rPr>
          <w:rFonts w:ascii="Times New Roman" w:cs="Times New Roman" w:eastAsia="Times New Roman" w:hAnsi="Times New Roman"/>
          <w:sz w:val="20"/>
          <w:szCs w:val="20"/>
          <w:color w:val="auto"/>
        </w:rPr>
        <w:t>" means any of the bank account opened in the name of the Purchaser, as mentioned in the Collection Account Agreements.</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Purchaser's Funding</w:t>
      </w:r>
      <w:r>
        <w:rPr>
          <w:rFonts w:ascii="Times New Roman" w:cs="Times New Roman" w:eastAsia="Times New Roman" w:hAnsi="Times New Roman"/>
          <w:sz w:val="20"/>
          <w:szCs w:val="20"/>
          <w:color w:val="auto"/>
        </w:rPr>
        <w:t>" means that portion of the Outstanding Amount of Eligible Receivables which is funded by the Purchaser out of the Senior Deposit, the amount of which is determined in accordance with Article 6 (</w:t>
      </w:r>
      <w:r>
        <w:rPr>
          <w:rFonts w:ascii="Times New Roman" w:cs="Times New Roman" w:eastAsia="Times New Roman" w:hAnsi="Times New Roman"/>
          <w:sz w:val="20"/>
          <w:szCs w:val="20"/>
          <w:i w:val="1"/>
          <w:iCs w:val="1"/>
          <w:color w:val="auto"/>
        </w:rPr>
        <w:t>Amount of the Purchaser's Funding</w:t>
      </w:r>
      <w:r>
        <w:rPr>
          <w:rFonts w:ascii="Times New Roman" w:cs="Times New Roman" w:eastAsia="Times New Roman" w:hAnsi="Times New Roman"/>
          <w:sz w:val="20"/>
          <w:szCs w:val="20"/>
          <w:color w:val="auto"/>
        </w:rPr>
        <w:t>).</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Purchaser's Termination Notice</w:t>
      </w:r>
      <w:r>
        <w:rPr>
          <w:rFonts w:ascii="Times New Roman" w:cs="Times New Roman" w:eastAsia="Times New Roman" w:hAnsi="Times New Roman"/>
          <w:sz w:val="20"/>
          <w:szCs w:val="20"/>
          <w:color w:val="auto"/>
        </w:rPr>
        <w:t>" means any notice issued by the Purchaser to the Centralising Unit in the circumstances set out in Article 11.2 or 11.4.</w:t>
      </w:r>
    </w:p>
    <w:p>
      <w:pPr>
        <w:spacing w:after="0" w:line="3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Agencies</w:t>
      </w:r>
      <w:r>
        <w:rPr>
          <w:rFonts w:ascii="Times New Roman" w:cs="Times New Roman" w:eastAsia="Times New Roman" w:hAnsi="Times New Roman"/>
          <w:sz w:val="20"/>
          <w:szCs w:val="20"/>
          <w:color w:val="auto"/>
        </w:rPr>
        <w:t>" means Fitch Ratings, Moody's and Standard &amp; Poor's, or any other entity to which such agencies may transfer their credit rating business or with which they may consolidate, amalgamate or merge.</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9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Receivables Purchase Agreements</w:t>
      </w:r>
      <w:r>
        <w:rPr>
          <w:rFonts w:ascii="Times New Roman" w:cs="Times New Roman" w:eastAsia="Times New Roman" w:hAnsi="Times New Roman"/>
          <w:sz w:val="20"/>
          <w:szCs w:val="20"/>
          <w:color w:val="auto"/>
        </w:rPr>
        <w:t>" means the receivables purchase agreements entered into between the Sellers, the Purchaser and the Agent for the purchase of the Ongoing Purchasable Receivables and Remaining Purchasable Receivables under the Securitisation Transaction, as amended from time to time, and more specifically:</w:t>
      </w:r>
    </w:p>
    <w:p>
      <w:pPr>
        <w:spacing w:after="0" w:line="80" w:lineRule="exact"/>
        <w:rPr>
          <w:sz w:val="20"/>
          <w:szCs w:val="20"/>
          <w:color w:val="auto"/>
        </w:rPr>
      </w:pPr>
    </w:p>
    <w:p>
      <w:pPr>
        <w:ind w:left="640" w:hanging="632"/>
        <w:spacing w:after="0" w:line="338" w:lineRule="auto"/>
        <w:tabs>
          <w:tab w:leader="none" w:pos="426"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Receivables Purchase Agreement governed by French law entered into by the French Seller and the Luxembourg Seller in respect of their Ongoing Purchasable Receivables and Remaining Purchasable Receivables hold against Eligible Debtors located in France (the "</w:t>
      </w:r>
      <w:r>
        <w:rPr>
          <w:rFonts w:ascii="Times New Roman" w:cs="Times New Roman" w:eastAsia="Times New Roman" w:hAnsi="Times New Roman"/>
          <w:sz w:val="20"/>
          <w:szCs w:val="20"/>
          <w:b w:val="1"/>
          <w:bCs w:val="1"/>
          <w:color w:val="auto"/>
        </w:rPr>
        <w:t>French Receivables Purchase Agreement</w:t>
      </w:r>
      <w:r>
        <w:rPr>
          <w:rFonts w:ascii="Times New Roman" w:cs="Times New Roman" w:eastAsia="Times New Roman" w:hAnsi="Times New Roman"/>
          <w:sz w:val="20"/>
          <w:szCs w:val="20"/>
          <w:color w:val="auto"/>
        </w:rPr>
        <w:t>");</w:t>
      </w:r>
    </w:p>
    <w:p>
      <w:pPr>
        <w:spacing w:after="0" w:line="67" w:lineRule="exact"/>
        <w:rPr>
          <w:rFonts w:ascii="Times New Roman" w:cs="Times New Roman" w:eastAsia="Times New Roman" w:hAnsi="Times New Roman"/>
          <w:sz w:val="20"/>
          <w:szCs w:val="20"/>
          <w:color w:val="auto"/>
        </w:rPr>
      </w:pPr>
    </w:p>
    <w:p>
      <w:pPr>
        <w:jc w:val="both"/>
        <w:ind w:left="640" w:hanging="632"/>
        <w:spacing w:after="0" w:line="338" w:lineRule="auto"/>
        <w:tabs>
          <w:tab w:leader="none" w:pos="609"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Receivables Purchase Agreement entered into by the German Seller and the Luxembourg Seller in respect of their Ongoing Purchasable Receivables and Remaining Purchasable Receivables hold against Eligible Debtors located in Germany (the "</w:t>
      </w:r>
      <w:r>
        <w:rPr>
          <w:rFonts w:ascii="Times New Roman" w:cs="Times New Roman" w:eastAsia="Times New Roman" w:hAnsi="Times New Roman"/>
          <w:sz w:val="20"/>
          <w:szCs w:val="20"/>
          <w:b w:val="1"/>
          <w:bCs w:val="1"/>
          <w:color w:val="auto"/>
        </w:rPr>
        <w:t>German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Receivables Purchase Agreement</w:t>
      </w:r>
      <w:r>
        <w:rPr>
          <w:rFonts w:ascii="Times New Roman" w:cs="Times New Roman" w:eastAsia="Times New Roman" w:hAnsi="Times New Roman"/>
          <w:sz w:val="20"/>
          <w:szCs w:val="20"/>
          <w:color w:val="auto"/>
        </w:rPr>
        <w:t>");</w:t>
      </w:r>
    </w:p>
    <w:p>
      <w:pPr>
        <w:spacing w:after="0" w:line="81" w:lineRule="exact"/>
        <w:rPr>
          <w:rFonts w:ascii="Times New Roman" w:cs="Times New Roman" w:eastAsia="Times New Roman" w:hAnsi="Times New Roman"/>
          <w:sz w:val="20"/>
          <w:szCs w:val="20"/>
          <w:color w:val="auto"/>
        </w:rPr>
      </w:pPr>
    </w:p>
    <w:p>
      <w:pPr>
        <w:ind w:left="640" w:hanging="632"/>
        <w:spacing w:after="0" w:line="338" w:lineRule="auto"/>
        <w:tabs>
          <w:tab w:leader="none" w:pos="55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Receivables Purchase Agreement governed by English law entered into by the UK Seller and the Luxembourg Seller in respect of their Ongoing Purchasable Receivables and Remaining Purchasable Receivables hold against Eligible Debtors located in the United Kingdom (the "</w:t>
      </w:r>
      <w:r>
        <w:rPr>
          <w:rFonts w:ascii="Times New Roman" w:cs="Times New Roman" w:eastAsia="Times New Roman" w:hAnsi="Times New Roman"/>
          <w:sz w:val="20"/>
          <w:szCs w:val="20"/>
          <w:b w:val="1"/>
          <w:bCs w:val="1"/>
          <w:color w:val="auto"/>
        </w:rPr>
        <w:t>UK Receivables Purchase Agreement</w:t>
      </w:r>
      <w:r>
        <w:rPr>
          <w:rFonts w:ascii="Times New Roman" w:cs="Times New Roman" w:eastAsia="Times New Roman" w:hAnsi="Times New Roman"/>
          <w:sz w:val="20"/>
          <w:szCs w:val="20"/>
          <w:color w:val="auto"/>
        </w:rPr>
        <w:t>"); and</w:t>
      </w:r>
    </w:p>
    <w:p>
      <w:pPr>
        <w:spacing w:after="0" w:line="67" w:lineRule="exact"/>
        <w:rPr>
          <w:rFonts w:ascii="Times New Roman" w:cs="Times New Roman" w:eastAsia="Times New Roman" w:hAnsi="Times New Roman"/>
          <w:sz w:val="20"/>
          <w:szCs w:val="20"/>
          <w:color w:val="auto"/>
        </w:rPr>
      </w:pPr>
    </w:p>
    <w:p>
      <w:pPr>
        <w:ind w:left="640" w:hanging="632"/>
        <w:spacing w:after="0" w:line="338" w:lineRule="auto"/>
        <w:tabs>
          <w:tab w:leader="none" w:pos="496"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Receivables Purchase Agreement governed by French law entered into by the Spanish Seller and the Luxembourg Seller in respect of their Ongoing Purchasable Receivables and Remaining Purchasable Receivables hold against Eligible Debtors located in the Spain (the "</w:t>
      </w:r>
      <w:r>
        <w:rPr>
          <w:rFonts w:ascii="Times New Roman" w:cs="Times New Roman" w:eastAsia="Times New Roman" w:hAnsi="Times New Roman"/>
          <w:sz w:val="20"/>
          <w:szCs w:val="20"/>
          <w:b w:val="1"/>
          <w:bCs w:val="1"/>
          <w:color w:val="auto"/>
        </w:rPr>
        <w:t>Spanish Receivables Purchase Agreement</w:t>
      </w:r>
      <w:r>
        <w:rPr>
          <w:rFonts w:ascii="Times New Roman" w:cs="Times New Roman" w:eastAsia="Times New Roman" w:hAnsi="Times New Roman"/>
          <w:sz w:val="20"/>
          <w:szCs w:val="20"/>
          <w:color w:val="auto"/>
        </w:rPr>
        <w:t>").</w:t>
      </w:r>
    </w:p>
    <w:p>
      <w:pPr>
        <w:spacing w:after="0" w:line="77"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Reduction of the Subordinated Deposit</w:t>
      </w:r>
      <w:r>
        <w:rPr>
          <w:rFonts w:ascii="Times New Roman" w:cs="Times New Roman" w:eastAsia="Times New Roman" w:hAnsi="Times New Roman"/>
          <w:sz w:val="20"/>
          <w:szCs w:val="20"/>
          <w:color w:val="auto"/>
        </w:rPr>
        <w:t>" means on any Settlement Date during the Replenishment Period, the excess, if any, of (a) the amount of the Subordinated Deposit on the preceding Settlement Date over (b) the amount of the Subordinated Deposit on such Settlement Date in accordance with the Master Subordinated Deposit Agreement.</w:t>
      </w:r>
    </w:p>
    <w:p>
      <w:pPr>
        <w:spacing w:after="0" w:line="35" w:lineRule="exact"/>
        <w:rPr>
          <w:sz w:val="20"/>
          <w:szCs w:val="20"/>
          <w:color w:val="auto"/>
        </w:rPr>
      </w:pPr>
    </w:p>
    <w:p>
      <w:pPr>
        <w:jc w:val="both"/>
        <w:ind w:firstLine="4"/>
        <w:spacing w:after="0" w:line="31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Funded Settlement Date</w:t>
      </w:r>
      <w:r>
        <w:rPr>
          <w:rFonts w:ascii="Times New Roman" w:cs="Times New Roman" w:eastAsia="Times New Roman" w:hAnsi="Times New Roman"/>
          <w:sz w:val="19"/>
          <w:szCs w:val="19"/>
          <w:color w:val="auto"/>
        </w:rPr>
        <w:t>" shall have the meaning ascribed to such term in article 4.1.4.2 of the French Receivables Purchase Agreement, in article 4.1.5.2 of the Spanish Receivables Purchase Agreement, in article 4.1.4.2 of the UK Receivables Purchase Agreement, or in article 4.1.6.2 of the German Receivables Purchase Agreement as applicable in each case for the purposes of such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Adjusted Collections</w:t>
      </w:r>
      <w:r>
        <w:rPr>
          <w:rFonts w:ascii="Times New Roman" w:cs="Times New Roman" w:eastAsia="Times New Roman" w:hAnsi="Times New Roman"/>
          <w:sz w:val="20"/>
          <w:szCs w:val="20"/>
          <w:color w:val="auto"/>
        </w:rPr>
        <w:t>" means, in relation to any Italian RPA Seller and with respect to the Refinanced Sold Receivables:</w:t>
      </w:r>
    </w:p>
    <w:p>
      <w:pPr>
        <w:spacing w:after="0" w:line="193" w:lineRule="exact"/>
        <w:rPr>
          <w:sz w:val="20"/>
          <w:szCs w:val="20"/>
          <w:color w:val="auto"/>
        </w:rPr>
      </w:pPr>
    </w:p>
    <w:p>
      <w:pPr>
        <w:ind w:left="800" w:right="20" w:hanging="792"/>
        <w:spacing w:after="0" w:line="353" w:lineRule="auto"/>
        <w:tabs>
          <w:tab w:leader="none" w:pos="482"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Settlement Date, as long as such Italian RPA Seller acts as collection agent in respect of any Refinanced Sold Receivables in accordance with the Italian Sub-Servicing Agreement:</w:t>
      </w:r>
    </w:p>
    <w:p>
      <w:pPr>
        <w:spacing w:after="0" w:line="52" w:lineRule="exact"/>
        <w:rPr>
          <w:rFonts w:ascii="Times New Roman" w:cs="Times New Roman" w:eastAsia="Times New Roman" w:hAnsi="Times New Roman"/>
          <w:sz w:val="20"/>
          <w:szCs w:val="20"/>
          <w:color w:val="auto"/>
        </w:rPr>
      </w:pPr>
    </w:p>
    <w:p>
      <w:pPr>
        <w:ind w:left="1500" w:hanging="727"/>
        <w:spacing w:after="0" w:line="353" w:lineRule="auto"/>
        <w:tabs>
          <w:tab w:leader="none" w:pos="1329"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Refinanced File Collections from such Italian RPA Seller between the Assessment Date relating to the preceding Settlement Date and the Assessment Date relating to such Settlement Date;</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95" w:lineRule="exact"/>
        <w:rPr>
          <w:sz w:val="20"/>
          <w:szCs w:val="20"/>
          <w:color w:val="auto"/>
        </w:rPr>
      </w:pPr>
    </w:p>
    <w:p>
      <w:pPr>
        <w:ind w:left="1500" w:hanging="727"/>
        <w:spacing w:after="0" w:line="338" w:lineRule="auto"/>
        <w:tabs>
          <w:tab w:leader="none" w:pos="1224"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any amount received on each Italian Issuer's Collection Account (net of any debit made on such Italian Issuer's Collection Account, corresponding to errors, reverse entries, unpaid amounts and returns in relation to payments already made on the corresponding collection account) by the debiting of the Collection Accounts during the period between the last Assessment Date and the preceding Assessment Date;</w:t>
      </w:r>
    </w:p>
    <w:p>
      <w:pPr>
        <w:spacing w:after="0" w:line="67" w:lineRule="exact"/>
        <w:rPr>
          <w:rFonts w:ascii="Times New Roman" w:cs="Times New Roman" w:eastAsia="Times New Roman" w:hAnsi="Times New Roman"/>
          <w:sz w:val="20"/>
          <w:szCs w:val="20"/>
          <w:color w:val="auto"/>
        </w:rPr>
      </w:pPr>
    </w:p>
    <w:p>
      <w:pPr>
        <w:ind w:left="1500" w:hanging="727"/>
        <w:spacing w:after="0" w:line="338" w:lineRule="auto"/>
        <w:tabs>
          <w:tab w:leader="none" w:pos="1285"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all Refinanced Deemed Collections from such Italian RPA Seller determined to have occurred in accordance with article 8 of the Italian Receivables Purchase Agreement during the period between the last Assessment Date and the preceding Assessment Date;</w:t>
      </w:r>
    </w:p>
    <w:p>
      <w:pPr>
        <w:spacing w:after="0" w:line="67" w:lineRule="exact"/>
        <w:rPr>
          <w:rFonts w:ascii="Times New Roman" w:cs="Times New Roman" w:eastAsia="Times New Roman" w:hAnsi="Times New Roman"/>
          <w:sz w:val="20"/>
          <w:szCs w:val="20"/>
          <w:color w:val="auto"/>
        </w:rPr>
      </w:pPr>
    </w:p>
    <w:p>
      <w:pPr>
        <w:ind w:left="800" w:right="20" w:hanging="792"/>
        <w:spacing w:after="0" w:line="353" w:lineRule="auto"/>
        <w:tabs>
          <w:tab w:leader="none" w:pos="495"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in the event of the termination of the collection mandate given to such Italian RPA Seller in accordance with the Italian Sub-Servicing Agreement and until the Program Expiry Date:</w:t>
      </w:r>
    </w:p>
    <w:p>
      <w:pPr>
        <w:spacing w:after="0" w:line="65" w:lineRule="exact"/>
        <w:rPr>
          <w:rFonts w:ascii="Times New Roman" w:cs="Times New Roman" w:eastAsia="Times New Roman" w:hAnsi="Times New Roman"/>
          <w:sz w:val="20"/>
          <w:szCs w:val="20"/>
          <w:color w:val="auto"/>
        </w:rPr>
      </w:pPr>
    </w:p>
    <w:p>
      <w:pPr>
        <w:ind w:left="1500" w:hanging="727"/>
        <w:spacing w:after="0" w:line="353" w:lineRule="auto"/>
        <w:tabs>
          <w:tab w:leader="none" w:pos="1182" w:val="left"/>
        </w:tabs>
        <w:numPr>
          <w:ilvl w:val="1"/>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collections received by the Italian Issuer which have actually been paid by the Debtors or by any other person obliged to make payment in respect of Refinanced Sold Receivables;</w:t>
      </w:r>
    </w:p>
    <w:p>
      <w:pPr>
        <w:spacing w:after="0" w:line="52" w:lineRule="exact"/>
        <w:rPr>
          <w:rFonts w:ascii="Times New Roman" w:cs="Times New Roman" w:eastAsia="Times New Roman" w:hAnsi="Times New Roman"/>
          <w:sz w:val="20"/>
          <w:szCs w:val="20"/>
          <w:color w:val="auto"/>
        </w:rPr>
      </w:pPr>
    </w:p>
    <w:p>
      <w:pPr>
        <w:ind w:left="1500" w:hanging="727"/>
        <w:spacing w:after="0" w:line="333" w:lineRule="auto"/>
        <w:tabs>
          <w:tab w:leader="none" w:pos="1267" w:val="left"/>
        </w:tabs>
        <w:numPr>
          <w:ilvl w:val="1"/>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any amount received on the Italian Issuer's Collection Account (net of any debit made on the Italian Issuer's Collection Account, corresponding to errors, reverse entries, unpaid amounts and returns in relation to payments already made on the corresponding collection account) by the debiting of the Collection Accounts during the period between the last Assessment Date and the preceding Assessment Date;</w:t>
      </w:r>
    </w:p>
    <w:p>
      <w:pPr>
        <w:spacing w:after="0" w:line="87" w:lineRule="exact"/>
        <w:rPr>
          <w:rFonts w:ascii="Times New Roman" w:cs="Times New Roman" w:eastAsia="Times New Roman" w:hAnsi="Times New Roman"/>
          <w:sz w:val="20"/>
          <w:szCs w:val="20"/>
          <w:color w:val="auto"/>
        </w:rPr>
      </w:pPr>
    </w:p>
    <w:p>
      <w:pPr>
        <w:ind w:left="1500" w:hanging="727"/>
        <w:spacing w:after="0" w:line="353" w:lineRule="auto"/>
        <w:tabs>
          <w:tab w:leader="none" w:pos="1308" w:val="left"/>
        </w:tabs>
        <w:numPr>
          <w:ilvl w:val="1"/>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all Refinanced Deemed Collections determined to have occurred in accordance with article 8 of the Italian Receivables Purchase Agreement; and</w:t>
      </w:r>
    </w:p>
    <w:p>
      <w:pPr>
        <w:spacing w:after="0" w:line="52" w:lineRule="exact"/>
        <w:rPr>
          <w:rFonts w:ascii="Times New Roman" w:cs="Times New Roman" w:eastAsia="Times New Roman" w:hAnsi="Times New Roman"/>
          <w:sz w:val="20"/>
          <w:szCs w:val="20"/>
          <w:color w:val="auto"/>
        </w:rPr>
      </w:pPr>
    </w:p>
    <w:p>
      <w:pPr>
        <w:ind w:left="800" w:hanging="792"/>
        <w:spacing w:after="0" w:line="353" w:lineRule="auto"/>
        <w:tabs>
          <w:tab w:leader="none" w:pos="513"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Program Expiry Date, all cash collections received by the Italian Issuer which have actually been paid by the Debtors or by any other person obliged to make payment in respect of Refinanced Sold Receivables.</w:t>
      </w:r>
    </w:p>
    <w:p>
      <w:pPr>
        <w:spacing w:after="0" w:line="48"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Credit Note</w:t>
      </w:r>
      <w:r>
        <w:rPr>
          <w:rFonts w:ascii="Times New Roman" w:cs="Times New Roman" w:eastAsia="Times New Roman" w:hAnsi="Times New Roman"/>
          <w:sz w:val="20"/>
          <w:szCs w:val="20"/>
          <w:color w:val="auto"/>
        </w:rPr>
        <w:t>" means, in relation to any Refinanced Sold Receivable, any decrease in the face value of such receivable or any cancellation of such receivable granted by any Italian RPA Seller in accordance with its Credit and Collection Policies, other than a Refinanced Credit Note over Snow Tyres and a credit note resulting from Refinanced Year End Rebates.</w:t>
      </w:r>
    </w:p>
    <w:p>
      <w:pPr>
        <w:spacing w:after="0" w:line="5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Credit Note over Snow Tyres</w:t>
      </w:r>
      <w:r>
        <w:rPr>
          <w:rFonts w:ascii="Times New Roman" w:cs="Times New Roman" w:eastAsia="Times New Roman" w:hAnsi="Times New Roman"/>
          <w:sz w:val="20"/>
          <w:szCs w:val="20"/>
          <w:color w:val="auto"/>
        </w:rPr>
        <w:t>" means, in relation to any Refinanced Sold Receivable, any decrease in the face value of such receivable or any cancellation of such receivable granted by any Italian RPA Seller (i) in accordance with its Credit and Collection Policies and (ii) to a customer subsequent to the taking back by such Italian RPA Seller of snow tyres.</w:t>
      </w:r>
    </w:p>
    <w:p>
      <w:pPr>
        <w:spacing w:after="0" w:line="6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Deemed Collections</w:t>
      </w:r>
      <w:r>
        <w:rPr>
          <w:rFonts w:ascii="Times New Roman" w:cs="Times New Roman" w:eastAsia="Times New Roman" w:hAnsi="Times New Roman"/>
          <w:sz w:val="20"/>
          <w:szCs w:val="20"/>
          <w:color w:val="auto"/>
        </w:rPr>
        <w:t>" means any amount that any Italian RPA Seller is deemed to have received in the circumstances set out in article 18 of the Italian Receivables Purchase Agreement.</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9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Defaulted Receivable</w:t>
      </w:r>
      <w:r>
        <w:rPr>
          <w:rFonts w:ascii="Times New Roman" w:cs="Times New Roman" w:eastAsia="Times New Roman" w:hAnsi="Times New Roman"/>
          <w:sz w:val="20"/>
          <w:szCs w:val="20"/>
          <w:color w:val="auto"/>
        </w:rPr>
        <w:t>" means, on any Calculation Date, any Refinanced Sold Receivable which, as of the preceding Assessment Date, is not a Refinanced Doubtful Receivable transferred back to any Italian RPA Seller and which has any of the following characteristics on such Calculation Date:</w:t>
      </w:r>
    </w:p>
    <w:p>
      <w:pPr>
        <w:spacing w:after="0" w:line="80" w:lineRule="exact"/>
        <w:rPr>
          <w:sz w:val="20"/>
          <w:szCs w:val="20"/>
          <w:color w:val="auto"/>
        </w:rPr>
      </w:pPr>
    </w:p>
    <w:p>
      <w:pPr>
        <w:ind w:left="640" w:right="20" w:hanging="632"/>
        <w:spacing w:after="0" w:line="353" w:lineRule="auto"/>
        <w:tabs>
          <w:tab w:leader="none" w:pos="393"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remains unpaid by its relevant Debtor for more than 90 days after the Maturity Date of such Refinanced Sold Receivable;</w:t>
      </w:r>
    </w:p>
    <w:p>
      <w:pPr>
        <w:spacing w:after="0" w:line="52" w:lineRule="exact"/>
        <w:rPr>
          <w:rFonts w:ascii="Times New Roman" w:cs="Times New Roman" w:eastAsia="Times New Roman" w:hAnsi="Times New Roman"/>
          <w:sz w:val="20"/>
          <w:szCs w:val="20"/>
          <w:color w:val="auto"/>
        </w:rPr>
      </w:pPr>
    </w:p>
    <w:p>
      <w:pPr>
        <w:ind w:left="640" w:right="20" w:hanging="632"/>
        <w:spacing w:after="0" w:line="353" w:lineRule="auto"/>
        <w:tabs>
          <w:tab w:leader="none" w:pos="541"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is owed by a Debtor which is subject to Insolvency Proceedings and has not been counted under paragraph (i) above; or</w:t>
      </w:r>
    </w:p>
    <w:p>
      <w:pPr>
        <w:spacing w:after="0" w:line="52" w:lineRule="exact"/>
        <w:rPr>
          <w:rFonts w:ascii="Times New Roman" w:cs="Times New Roman" w:eastAsia="Times New Roman" w:hAnsi="Times New Roman"/>
          <w:sz w:val="20"/>
          <w:szCs w:val="20"/>
          <w:color w:val="auto"/>
        </w:rPr>
      </w:pPr>
    </w:p>
    <w:p>
      <w:pPr>
        <w:ind w:left="640" w:right="20" w:hanging="632"/>
        <w:spacing w:after="0" w:line="353" w:lineRule="auto"/>
        <w:tabs>
          <w:tab w:leader="none" w:pos="534"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has been or, under such Italian RPA Seller's Credit and Collection Policies, would have been written off as uncollectible and has not been counted under paragraph (i) or (ii) above.</w:t>
      </w:r>
    </w:p>
    <w:p>
      <w:pPr>
        <w:spacing w:after="0" w:line="62"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Delinquent Receivable</w:t>
      </w:r>
      <w:r>
        <w:rPr>
          <w:rFonts w:ascii="Times New Roman" w:cs="Times New Roman" w:eastAsia="Times New Roman" w:hAnsi="Times New Roman"/>
          <w:sz w:val="20"/>
          <w:szCs w:val="20"/>
          <w:color w:val="auto"/>
        </w:rPr>
        <w:t>" means, on any Assessment Date, any Refinanced Sold Receivable which is not a Refinanced Doubtful Receivable transferred back to any Italian RPA Seller and has any of the following characteristics on such Calculation Date:</w:t>
      </w:r>
    </w:p>
    <w:p>
      <w:pPr>
        <w:spacing w:after="0" w:line="49" w:lineRule="exact"/>
        <w:rPr>
          <w:sz w:val="20"/>
          <w:szCs w:val="20"/>
          <w:color w:val="auto"/>
        </w:rPr>
      </w:pPr>
    </w:p>
    <w:p>
      <w:pPr>
        <w:ind w:left="640" w:right="20" w:hanging="632"/>
        <w:spacing w:after="0" w:line="353" w:lineRule="auto"/>
        <w:tabs>
          <w:tab w:leader="none" w:pos="393"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remains unpaid by its relevant Debtor for more than 60 days after the Maturity Date of such Refinanced Sold Receivable;</w:t>
      </w:r>
    </w:p>
    <w:p>
      <w:pPr>
        <w:spacing w:after="0" w:line="52" w:lineRule="exact"/>
        <w:rPr>
          <w:rFonts w:ascii="Times New Roman" w:cs="Times New Roman" w:eastAsia="Times New Roman" w:hAnsi="Times New Roman"/>
          <w:sz w:val="20"/>
          <w:szCs w:val="20"/>
          <w:color w:val="auto"/>
        </w:rPr>
      </w:pPr>
    </w:p>
    <w:p>
      <w:pPr>
        <w:ind w:left="640" w:right="20" w:hanging="632"/>
        <w:spacing w:after="0" w:line="353" w:lineRule="auto"/>
        <w:tabs>
          <w:tab w:leader="none" w:pos="541"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is owed by a Debtor which is subject to Insolvency Proceedings and has not been counted under paragraph (i) above; or</w:t>
      </w:r>
    </w:p>
    <w:p>
      <w:pPr>
        <w:spacing w:after="0" w:line="65" w:lineRule="exact"/>
        <w:rPr>
          <w:rFonts w:ascii="Times New Roman" w:cs="Times New Roman" w:eastAsia="Times New Roman" w:hAnsi="Times New Roman"/>
          <w:sz w:val="20"/>
          <w:szCs w:val="20"/>
          <w:color w:val="auto"/>
        </w:rPr>
      </w:pPr>
    </w:p>
    <w:p>
      <w:pPr>
        <w:ind w:left="640" w:right="20" w:hanging="632"/>
        <w:spacing w:after="0" w:line="353" w:lineRule="auto"/>
        <w:tabs>
          <w:tab w:leader="none" w:pos="534"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has been or, under such Italian RPA Seller's Credit and Collection Policies, would have been written off as uncollectible and has not been counted under paragraphs (i) and (ii)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Discount Amount</w:t>
      </w:r>
      <w:r>
        <w:rPr>
          <w:rFonts w:ascii="Times New Roman" w:cs="Times New Roman" w:eastAsia="Times New Roman" w:hAnsi="Times New Roman"/>
          <w:sz w:val="20"/>
          <w:szCs w:val="20"/>
          <w:color w:val="auto"/>
        </w:rPr>
        <w:t>" means the meaning set forth in SCHEDULE 16 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Discount Rate</w:t>
      </w:r>
      <w:r>
        <w:rPr>
          <w:rFonts w:ascii="Times New Roman" w:cs="Times New Roman" w:eastAsia="Times New Roman" w:hAnsi="Times New Roman"/>
          <w:sz w:val="20"/>
          <w:szCs w:val="20"/>
          <w:color w:val="auto"/>
        </w:rPr>
        <w:t>" means the meaning set forth in SCHEDULE 16 C.</w:t>
      </w:r>
    </w:p>
    <w:p>
      <w:pPr>
        <w:spacing w:after="0" w:line="189" w:lineRule="exact"/>
        <w:rPr>
          <w:sz w:val="20"/>
          <w:szCs w:val="20"/>
          <w:color w:val="auto"/>
        </w:rPr>
      </w:pPr>
    </w:p>
    <w:p>
      <w:pPr>
        <w:spacing w:after="0" w:line="4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Refinanced Doubtful Receivable</w:t>
      </w:r>
      <w:r>
        <w:rPr>
          <w:rFonts w:ascii="Times New Roman" w:cs="Times New Roman" w:eastAsia="Times New Roman" w:hAnsi="Times New Roman"/>
          <w:sz w:val="19"/>
          <w:szCs w:val="19"/>
          <w:color w:val="auto"/>
        </w:rPr>
        <w:t>" means any Refinanced Sold Receivable which is, according to the Accounting Principles, doubtful given the situation of the Debtor, open to challenge, impaired, non-performing or classified to the similar effect under those Accounting Principles.</w:t>
      </w:r>
    </w:p>
    <w:p>
      <w:pPr>
        <w:spacing w:after="0" w:line="7" w:lineRule="exact"/>
        <w:rPr>
          <w:sz w:val="20"/>
          <w:szCs w:val="20"/>
          <w:color w:val="auto"/>
        </w:rPr>
      </w:pPr>
    </w:p>
    <w:p>
      <w:pPr>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Due Net Amount</w:t>
      </w:r>
      <w:r>
        <w:rPr>
          <w:rFonts w:ascii="Times New Roman" w:cs="Times New Roman" w:eastAsia="Times New Roman" w:hAnsi="Times New Roman"/>
          <w:sz w:val="20"/>
          <w:szCs w:val="20"/>
          <w:color w:val="auto"/>
        </w:rPr>
        <w:t>" means, on any Settlement Date, the amount of the Refinanced Purchase Price, minus the Refinanced Adjusted Collections and minus any fees due by any Italian RPA Seller under the Italian Receivables Purchase Agreement on such date.</w:t>
      </w:r>
    </w:p>
    <w:p>
      <w:pPr>
        <w:spacing w:after="0" w:line="45"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Eligible Debtor</w:t>
      </w:r>
      <w:r>
        <w:rPr>
          <w:rFonts w:ascii="Times New Roman" w:cs="Times New Roman" w:eastAsia="Times New Roman" w:hAnsi="Times New Roman"/>
          <w:sz w:val="20"/>
          <w:szCs w:val="20"/>
          <w:color w:val="auto"/>
        </w:rPr>
        <w:t>" means a Debtor having the characteristics described in detail in article 13 of the Italian Receivables Purchase Agreement.</w:t>
      </w:r>
    </w:p>
    <w:p>
      <w:pPr>
        <w:spacing w:after="0" w:line="45" w:lineRule="exact"/>
        <w:rPr>
          <w:sz w:val="20"/>
          <w:szCs w:val="20"/>
          <w:color w:val="auto"/>
        </w:rPr>
      </w:pPr>
    </w:p>
    <w:p>
      <w:pPr>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Eligible Receivable</w:t>
      </w:r>
      <w:r>
        <w:rPr>
          <w:rFonts w:ascii="Times New Roman" w:cs="Times New Roman" w:eastAsia="Times New Roman" w:hAnsi="Times New Roman"/>
          <w:sz w:val="20"/>
          <w:szCs w:val="20"/>
          <w:color w:val="auto"/>
        </w:rPr>
        <w:t>" means any Refinanced Sold Receivable which has the following characteristics on the Settlement Date during the Replenishment Period:</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95" w:lineRule="exact"/>
        <w:rPr>
          <w:sz w:val="20"/>
          <w:szCs w:val="20"/>
          <w:color w:val="auto"/>
        </w:rPr>
      </w:pPr>
    </w:p>
    <w:p>
      <w:pPr>
        <w:ind w:left="640" w:hanging="632"/>
        <w:spacing w:after="0" w:line="353" w:lineRule="auto"/>
        <w:tabs>
          <w:tab w:leader="none" w:pos="634"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Refinanced Sold Receivable corresponds to a delivery of goods which has been made or to a service which has been performed and such Refinanced Sold Receivable has been invoiced;</w:t>
      </w:r>
    </w:p>
    <w:p>
      <w:pPr>
        <w:spacing w:after="0" w:line="52" w:lineRule="exact"/>
        <w:rPr>
          <w:rFonts w:ascii="Times New Roman" w:cs="Times New Roman" w:eastAsia="Times New Roman" w:hAnsi="Times New Roman"/>
          <w:sz w:val="20"/>
          <w:szCs w:val="20"/>
          <w:color w:val="auto"/>
        </w:rPr>
      </w:pPr>
    </w:p>
    <w:p>
      <w:pPr>
        <w:jc w:val="both"/>
        <w:ind w:left="640" w:hanging="632"/>
        <w:spacing w:after="0" w:line="399" w:lineRule="auto"/>
        <w:tabs>
          <w:tab w:leader="none" w:pos="635"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Date of such Refinanced Sold Receivable is not later than the earlier of (1) 190 days after the Assessment Date preceding such Settlement Date and (2) any maturity date for the Refinanced Sold Receivable prescribed by mandatory statutory law;</w:t>
      </w:r>
    </w:p>
    <w:p>
      <w:pPr>
        <w:spacing w:after="0" w:line="16" w:lineRule="exact"/>
        <w:rPr>
          <w:rFonts w:ascii="Times New Roman" w:cs="Times New Roman" w:eastAsia="Times New Roman" w:hAnsi="Times New Roman"/>
          <w:sz w:val="19"/>
          <w:szCs w:val="19"/>
          <w:color w:val="auto"/>
        </w:rPr>
      </w:pPr>
    </w:p>
    <w:p>
      <w:pPr>
        <w:ind w:left="640" w:hanging="632"/>
        <w:spacing w:after="0" w:line="353" w:lineRule="auto"/>
        <w:tabs>
          <w:tab w:leader="none" w:pos="636"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has not remained unpaid by the relevant Debtor for more than 72 days after the Maturity Date of such Refinanced Sold Receivable;</w:t>
      </w:r>
    </w:p>
    <w:p>
      <w:pPr>
        <w:spacing w:after="0" w:line="52" w:lineRule="exact"/>
        <w:rPr>
          <w:rFonts w:ascii="Times New Roman" w:cs="Times New Roman" w:eastAsia="Times New Roman" w:hAnsi="Times New Roman"/>
          <w:sz w:val="20"/>
          <w:szCs w:val="20"/>
          <w:color w:val="auto"/>
        </w:rPr>
      </w:pPr>
    </w:p>
    <w:p>
      <w:pPr>
        <w:jc w:val="both"/>
        <w:ind w:left="640" w:hanging="632"/>
        <w:spacing w:after="0" w:line="338" w:lineRule="auto"/>
        <w:tabs>
          <w:tab w:leader="none" w:pos="639"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Debtor of such Refinanced Sold Receivable has a V.A.T or a CMS identification number indicated in the electronic support attached to the relevant Transfer Deed delivered to the Purchaser in relation to such Refinanced Sold Receivable and such Refinanced Sold Receivable is identified on such electronic support in a manner which complies with the electronic exchange procedures agreed between the Agent, the Purchaser, the Centralising Unit and the Sellers; and</w:t>
      </w:r>
    </w:p>
    <w:p>
      <w:pPr>
        <w:spacing w:after="0" w:line="6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Refinanced Sold Receivable is not a Refinanced Net Miscellaneous Receivable.</w:t>
      </w:r>
    </w:p>
    <w:p>
      <w:pPr>
        <w:spacing w:after="0" w:line="18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File Collections</w:t>
      </w:r>
      <w:r>
        <w:rPr>
          <w:rFonts w:ascii="Times New Roman" w:cs="Times New Roman" w:eastAsia="Times New Roman" w:hAnsi="Times New Roman"/>
          <w:sz w:val="20"/>
          <w:szCs w:val="20"/>
          <w:color w:val="auto"/>
        </w:rPr>
        <w:t>" means, with respect to any period, all collections (excluding Refinanced Deemed Collections) on Refinanced Sold Receivables which, on the basis of the information included in any Assessment Report and the electronic date file attached thereto, were expected to be received during such period by any Italian RPA Seller as calculated by the Agent on the basis of the Assessment Reports and the electronic support attached thereto.</w:t>
      </w:r>
    </w:p>
    <w:p>
      <w:pPr>
        <w:spacing w:after="0" w:line="79"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Miscellaneous Accounting Credit Entries</w:t>
      </w:r>
      <w:r>
        <w:rPr>
          <w:rFonts w:ascii="Times New Roman" w:cs="Times New Roman" w:eastAsia="Times New Roman" w:hAnsi="Times New Roman"/>
          <w:sz w:val="20"/>
          <w:szCs w:val="20"/>
          <w:color w:val="auto"/>
        </w:rPr>
        <w:t>" means, in relation to any Italian RPA Seller, Refinanced Miscellaneous Accounting Entries booked on the credit side of the account receivables of an Eligible Debtor.</w:t>
      </w:r>
    </w:p>
    <w:p>
      <w:pPr>
        <w:spacing w:after="0" w:line="45"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Miscellaneous Accounting Debit Entries</w:t>
      </w:r>
      <w:r>
        <w:rPr>
          <w:rFonts w:ascii="Times New Roman" w:cs="Times New Roman" w:eastAsia="Times New Roman" w:hAnsi="Times New Roman"/>
          <w:sz w:val="20"/>
          <w:szCs w:val="20"/>
          <w:color w:val="auto"/>
        </w:rPr>
        <w:t>" means, in relation to any Italian RPA Seller, Refinanced Miscellaneous Accounting Entries booked on the debit side of the account receivables of an Eligible Debtor.</w:t>
      </w:r>
    </w:p>
    <w:p>
      <w:pPr>
        <w:spacing w:after="0" w:line="4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Miscellaneous Accounting Entries</w:t>
      </w:r>
      <w:r>
        <w:rPr>
          <w:rFonts w:ascii="Times New Roman" w:cs="Times New Roman" w:eastAsia="Times New Roman" w:hAnsi="Times New Roman"/>
          <w:sz w:val="20"/>
          <w:szCs w:val="20"/>
          <w:color w:val="auto"/>
        </w:rPr>
        <w:t>" means, in relation to any Italian RPA Seller, accounting entries other than invoices, credit notes or cash payments that appear on the debit side or credit side of the account receivables of an Eligible Debtor.</w:t>
      </w:r>
    </w:p>
    <w:p>
      <w:pPr>
        <w:spacing w:after="0" w:line="3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Net Miscellaneous Receivable</w:t>
      </w:r>
      <w:r>
        <w:rPr>
          <w:rFonts w:ascii="Times New Roman" w:cs="Times New Roman" w:eastAsia="Times New Roman" w:hAnsi="Times New Roman"/>
          <w:sz w:val="20"/>
          <w:szCs w:val="20"/>
          <w:color w:val="auto"/>
        </w:rPr>
        <w:t>" means, in relation to any Italian RPA Seller, any Refinanced Remaining Purchasable Receivable or Refinanced Ongoing Purchasable Receivable corresponding to the amount equal to the Refinanced Miscellaneous Accounting Debit Entries minus Refinanced Miscellaneous Accounting Credit Entries.</w:t>
      </w:r>
    </w:p>
    <w:p>
      <w:pPr>
        <w:spacing w:after="0" w:line="6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Non Allocated Cash</w:t>
      </w:r>
      <w:r>
        <w:rPr>
          <w:rFonts w:ascii="Times New Roman" w:cs="Times New Roman" w:eastAsia="Times New Roman" w:hAnsi="Times New Roman"/>
          <w:sz w:val="20"/>
          <w:szCs w:val="20"/>
          <w:color w:val="auto"/>
        </w:rPr>
        <w:t>" means any collection recorded in any Italian RPA Seller's accounting system, which has not yet been posted to the payment of a receivable.</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9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Ongoing Purchasable Receivable</w:t>
      </w:r>
      <w:r>
        <w:rPr>
          <w:rFonts w:ascii="Times New Roman" w:cs="Times New Roman" w:eastAsia="Times New Roman" w:hAnsi="Times New Roman"/>
          <w:sz w:val="20"/>
          <w:szCs w:val="20"/>
          <w:color w:val="auto"/>
        </w:rPr>
        <w:t>" means, with respect to any Funded Settlement Date and any Italian RPA Seller, a right to a payment owed to such Italian RPA Seller which shall be originated during the immediately following Monthly Reference Period and which shall have the following characteristics:</w:t>
      </w:r>
    </w:p>
    <w:p>
      <w:pPr>
        <w:spacing w:after="0" w:line="53" w:lineRule="exact"/>
        <w:rPr>
          <w:sz w:val="20"/>
          <w:szCs w:val="20"/>
          <w:color w:val="auto"/>
        </w:rPr>
      </w:pPr>
    </w:p>
    <w:p>
      <w:pPr>
        <w:jc w:val="both"/>
        <w:ind w:left="3240" w:firstLine="8"/>
        <w:spacing w:after="0" w:line="289" w:lineRule="auto"/>
        <w:tabs>
          <w:tab w:leader="none" w:pos="3878"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shall be binding against the relevant Refinanced Eligible Debtor and results from the manufacturing and/or supplying of tyres and/or activities related thereto in the normal course of such Italian RPA Seller's business; and</w:t>
      </w:r>
    </w:p>
    <w:p>
      <w:pPr>
        <w:spacing w:after="0" w:line="60" w:lineRule="exact"/>
        <w:rPr>
          <w:rFonts w:ascii="Times New Roman" w:cs="Times New Roman" w:eastAsia="Times New Roman" w:hAnsi="Times New Roman"/>
          <w:sz w:val="20"/>
          <w:szCs w:val="20"/>
          <w:color w:val="auto"/>
        </w:rPr>
      </w:pPr>
    </w:p>
    <w:p>
      <w:pPr>
        <w:ind w:left="3880" w:hanging="632"/>
        <w:spacing w:after="0"/>
        <w:tabs>
          <w:tab w:leader="none" w:pos="388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shall be payable in Italy or in Luxembourg and denominated in Euro,</w:t>
      </w:r>
    </w:p>
    <w:p>
      <w:pPr>
        <w:spacing w:after="0" w:line="14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Purchase Price</w:t>
      </w:r>
      <w:r>
        <w:rPr>
          <w:rFonts w:ascii="Times New Roman" w:cs="Times New Roman" w:eastAsia="Times New Roman" w:hAnsi="Times New Roman"/>
          <w:sz w:val="20"/>
          <w:szCs w:val="20"/>
          <w:color w:val="auto"/>
        </w:rPr>
        <w:t>" means, in relation to any Refinanced Remaining Purchasable Receivable or Refinanced Ongoing Purchasable Receivable to be acquired by the Italian Issuer during the Replenishment Period, the Outstanding Amount of such Refinanced Remaining Purchasable Receivable or Refinanced Ongoing Purchasable Receivable minus the relevant Refinanced Discount Amount applicable to such Refinanced Remaining Purchasable Receivable or Refinanced Ongoing Purchasable Receivable.</w:t>
      </w:r>
    </w:p>
    <w:p>
      <w:pPr>
        <w:spacing w:after="0" w:line="103"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Received Net Amount</w:t>
      </w:r>
      <w:r>
        <w:rPr>
          <w:rFonts w:ascii="Times New Roman" w:cs="Times New Roman" w:eastAsia="Times New Roman" w:hAnsi="Times New Roman"/>
          <w:sz w:val="20"/>
          <w:szCs w:val="20"/>
          <w:color w:val="auto"/>
        </w:rPr>
        <w:t>" means the amount of the Refinanced Adjusted Collections, minus any Refinanced Purchase Price due and not yet paid.</w:t>
      </w:r>
    </w:p>
    <w:p>
      <w:pPr>
        <w:spacing w:after="0" w:line="45"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Remaining Purchasable Receivable</w:t>
      </w:r>
      <w:r>
        <w:rPr>
          <w:rFonts w:ascii="Times New Roman" w:cs="Times New Roman" w:eastAsia="Times New Roman" w:hAnsi="Times New Roman"/>
          <w:sz w:val="20"/>
          <w:szCs w:val="20"/>
          <w:color w:val="auto"/>
        </w:rPr>
        <w:t>" means, with respect to any Funded Settlement Date and any Italian RPA Seller, an existing right to a payment which has not previously been sold as a Refinanced Ongoing Purchasable Receivable and which is owed to and owned by such Italian RPA Seller on the Assessment Date preceding such Funded Settlement Date and has the following characteristics:</w:t>
      </w:r>
    </w:p>
    <w:p>
      <w:pPr>
        <w:spacing w:after="0" w:line="12" w:lineRule="exact"/>
        <w:rPr>
          <w:sz w:val="20"/>
          <w:szCs w:val="20"/>
          <w:color w:val="auto"/>
        </w:rPr>
      </w:pPr>
    </w:p>
    <w:p>
      <w:pPr>
        <w:jc w:val="both"/>
        <w:ind w:left="1540" w:hanging="766"/>
        <w:spacing w:after="0" w:line="230" w:lineRule="auto"/>
        <w:tabs>
          <w:tab w:leader="none" w:pos="1535"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receivable is binding against the relevant Refinanced Eligible Debtor and results from the manufacturing and/or supplying of tyres and/or activities related thereto in the normal course of such Italian RPA Seller's business and (y) the receivable is payable in Italy or in Luxembourg and denominated in Euro; or</w:t>
      </w:r>
    </w:p>
    <w:p>
      <w:pPr>
        <w:spacing w:after="0" w:line="40" w:lineRule="exact"/>
        <w:rPr>
          <w:rFonts w:ascii="Times New Roman" w:cs="Times New Roman" w:eastAsia="Times New Roman" w:hAnsi="Times New Roman"/>
          <w:sz w:val="20"/>
          <w:szCs w:val="20"/>
          <w:color w:val="auto"/>
        </w:rPr>
      </w:pPr>
    </w:p>
    <w:p>
      <w:pPr>
        <w:ind w:left="1540" w:hanging="766"/>
        <w:spacing w:after="0"/>
        <w:tabs>
          <w:tab w:leader="none" w:pos="1532"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covered in (a) above, the receivable is a Refinanced Net Miscellaneous Receivable recorded as being held over a Refinanced Eligible Debtor,</w:t>
      </w:r>
    </w:p>
    <w:p>
      <w:pPr>
        <w:spacing w:after="0" w:line="103"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Sold Receivable</w:t>
      </w:r>
      <w:r>
        <w:rPr>
          <w:rFonts w:ascii="Times New Roman" w:cs="Times New Roman" w:eastAsia="Times New Roman" w:hAnsi="Times New Roman"/>
          <w:sz w:val="20"/>
          <w:szCs w:val="20"/>
          <w:color w:val="auto"/>
        </w:rPr>
        <w:t>" means, in relation to any Italian RPA Seller, those Refinanced Ongoing Purchasable Receivables and Refinanced Remaining Purchasable Receivables (i) which are existing and have been transferred from such Italian RPA Seller to the Italian Issuer pursuant to the Italian Receivables Purchase Agreement, and (ii) which have not been repurchased from the Italian Issuer.</w:t>
      </w:r>
    </w:p>
    <w:p>
      <w:pPr>
        <w:spacing w:after="0" w:line="62"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Year End Rebates</w:t>
      </w:r>
      <w:r>
        <w:rPr>
          <w:rFonts w:ascii="Times New Roman" w:cs="Times New Roman" w:eastAsia="Times New Roman" w:hAnsi="Times New Roman"/>
          <w:sz w:val="20"/>
          <w:szCs w:val="20"/>
          <w:color w:val="auto"/>
        </w:rPr>
        <w:t>" means deferred rebates granted by any Italian RPA Seller at the end of each year (or according to any periodicity) to some of its Italian located customers according to the fulfilment of their purchase commitments. These Refinanced Year End Rebates may give rise to Refinanced Credit Notes issued by such Italian RPA Seller or to invoices issued by the Italian based customers over such Italian RPA Seller.</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Share Capital</w:t>
      </w:r>
      <w:r>
        <w:rPr>
          <w:rFonts w:ascii="Times New Roman" w:cs="Times New Roman" w:eastAsia="Times New Roman" w:hAnsi="Times New Roman"/>
          <w:sz w:val="20"/>
          <w:szCs w:val="20"/>
          <w:color w:val="auto"/>
        </w:rPr>
        <w:t>" has the meaning set forth in Article 3.6.3.</w:t>
      </w:r>
    </w:p>
    <w:p>
      <w:pPr>
        <w:spacing w:after="0" w:line="189"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Currency</w:t>
      </w:r>
      <w:r>
        <w:rPr>
          <w:rFonts w:ascii="Times New Roman" w:cs="Times New Roman" w:eastAsia="Times New Roman" w:hAnsi="Times New Roman"/>
          <w:sz w:val="20"/>
          <w:szCs w:val="20"/>
          <w:color w:val="auto"/>
        </w:rPr>
        <w:t>" means (i) with respect to the Spanish RPA Sellers, the French RPA Sellers and the German RPA Sellers, Euro and (ii) with respect to the UK RPA Sellers, GBP and Euro.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Jurisdiction</w:t>
      </w:r>
      <w:r>
        <w:rPr>
          <w:rFonts w:ascii="Times New Roman" w:cs="Times New Roman" w:eastAsia="Times New Roman" w:hAnsi="Times New Roman"/>
          <w:sz w:val="20"/>
          <w:szCs w:val="20"/>
          <w:color w:val="auto"/>
        </w:rPr>
        <w:t>" means (i) with respect to the French RPA Sellers, France; (ii) with respect to the German RPA Sellers, Germany;</w:t>
      </w:r>
    </w:p>
    <w:p>
      <w:pPr>
        <w:spacing w:after="0" w:line="85" w:lineRule="exact"/>
        <w:rPr>
          <w:sz w:val="20"/>
          <w:szCs w:val="20"/>
          <w:color w:val="auto"/>
        </w:rPr>
      </w:pPr>
    </w:p>
    <w:p>
      <w:pPr>
        <w:ind w:firstLine="8"/>
        <w:spacing w:after="0" w:line="353" w:lineRule="auto"/>
        <w:tabs>
          <w:tab w:leader="none" w:pos="351"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UK RPA Sellers, England and Wales, (iv) with respect to the Spanish RPA Sellers, Spain (excluding the territories of Ceuta and Melilla) and (v) with respect to the Luxembourg Seller, Luxembourg.</w:t>
      </w:r>
    </w:p>
    <w:p>
      <w:pPr>
        <w:spacing w:after="0" w:line="48"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Remaining Purchasable Receivable</w:t>
      </w:r>
      <w:r>
        <w:rPr>
          <w:rFonts w:ascii="Times New Roman" w:cs="Times New Roman" w:eastAsia="Times New Roman" w:hAnsi="Times New Roman"/>
          <w:sz w:val="20"/>
          <w:szCs w:val="20"/>
          <w:color w:val="auto"/>
        </w:rPr>
        <w:t>" means, with respect to any Funded Settlement Date and any Seller, an existing right to a payment which has not previously been sold as an Ongoing Purchasable Receivable (unless the transfer thereof as Ongoing Purchasable Receivable is rescinded on such Funded Settlement Date pursuant to the Receivables Purchase Agreement to which such Seller is a Party) and which is owed to and owned by such Seller on the Assessment Date preceding such Funded Settlement Date (or, with respect to any existing right to a payment which has previously been sold as an Ongoing Purchasable Receivable and the transfer of which is rescinded on such Funded Settlement Date pursuant to the Receivables Purchase Agreement to which such Seller is a Party, which is owed to and owned by such Seller on such Funded Settlement Date) and has the following characteristics:</w:t>
      </w:r>
    </w:p>
    <w:p>
      <w:pPr>
        <w:spacing w:after="0" w:line="72" w:lineRule="exact"/>
        <w:rPr>
          <w:sz w:val="20"/>
          <w:szCs w:val="20"/>
          <w:color w:val="auto"/>
        </w:rPr>
      </w:pPr>
    </w:p>
    <w:p>
      <w:pPr>
        <w:ind w:left="780" w:hanging="762"/>
        <w:spacing w:after="0" w:line="345" w:lineRule="auto"/>
        <w:tabs>
          <w:tab w:leader="none" w:pos="465"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receivable is binding and enforceable with full recourse against the relevant Eligible Debtor and results from the manufacturing and/or supplying of tyres and/or activities related thereto in the normal course of such Seller's business and (y) the receivable is governed by the laws of, and payable, in the Relevant Jurisdiction and denominated in the Relevant Currency; or</w:t>
      </w:r>
    </w:p>
    <w:p>
      <w:pPr>
        <w:spacing w:after="0" w:line="61" w:lineRule="exact"/>
        <w:rPr>
          <w:rFonts w:ascii="Times New Roman" w:cs="Times New Roman" w:eastAsia="Times New Roman" w:hAnsi="Times New Roman"/>
          <w:sz w:val="20"/>
          <w:szCs w:val="20"/>
          <w:color w:val="auto"/>
        </w:rPr>
      </w:pPr>
    </w:p>
    <w:p>
      <w:pPr>
        <w:ind w:left="440" w:hanging="422"/>
        <w:spacing w:after="0"/>
        <w:tabs>
          <w:tab w:leader="none" w:pos="440" w:val="left"/>
        </w:tabs>
        <w:numPr>
          <w:ilvl w:val="0"/>
          <w:numId w:val="3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covered in (a) above, the receivable is a Net Miscellaneous Receivable recorded as being held over an Eligible Debtor.</w:t>
      </w:r>
    </w:p>
    <w:p>
      <w:pPr>
        <w:spacing w:after="0" w:line="196"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Replenishment Period</w:t>
      </w:r>
      <w:r>
        <w:rPr>
          <w:rFonts w:ascii="Times New Roman" w:cs="Times New Roman" w:eastAsia="Times New Roman" w:hAnsi="Times New Roman"/>
          <w:sz w:val="20"/>
          <w:szCs w:val="20"/>
          <w:color w:val="auto"/>
        </w:rPr>
        <w:t>" means the period of time commencing on the Signing Date and ending on the Commitment Expiry Date during which the Purchaser undertakes to purchase Ongoing Purchasable Receivables and Remaining Purchasable Receivables on each Funded Settlement Date.</w:t>
      </w:r>
    </w:p>
    <w:p>
      <w:pPr>
        <w:spacing w:after="0" w:line="76"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Requested Amount of the Purchaser's Funding</w:t>
      </w:r>
      <w:r>
        <w:rPr>
          <w:rFonts w:ascii="Times New Roman" w:cs="Times New Roman" w:eastAsia="Times New Roman" w:hAnsi="Times New Roman"/>
          <w:sz w:val="19"/>
          <w:szCs w:val="19"/>
          <w:color w:val="auto"/>
        </w:rPr>
        <w:t xml:space="preserve">" means, with respect to any Funded Settlement Date, the amount indicated as such by the Centralising Unit in the Assessment Report received on the Information Date preceding such Funded Settlement Date, </w:t>
      </w:r>
      <w:r>
        <w:rPr>
          <w:rFonts w:ascii="Times New Roman" w:cs="Times New Roman" w:eastAsia="Times New Roman" w:hAnsi="Times New Roman"/>
          <w:sz w:val="19"/>
          <w:szCs w:val="19"/>
          <w:u w:val="single" w:color="auto"/>
          <w:color w:val="auto"/>
        </w:rPr>
        <w:t>it being provided that</w:t>
      </w:r>
    </w:p>
    <w:p>
      <w:pPr>
        <w:spacing w:after="0" w:line="1" w:lineRule="exact"/>
        <w:rPr>
          <w:sz w:val="20"/>
          <w:szCs w:val="20"/>
          <w:color w:val="auto"/>
        </w:rPr>
      </w:pPr>
    </w:p>
    <w:p>
      <w:pPr>
        <w:jc w:val="both"/>
        <w:ind w:firstLine="8"/>
        <w:spacing w:after="0" w:line="333" w:lineRule="auto"/>
        <w:tabs>
          <w:tab w:leader="none" w:pos="277"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Requested Amount of the Purchaser's Funding shall, at all times, not be higher than the applicable Maximum Amount of the Purchaser's Funding and (ii) if no amount has been validly indicated as "Requested Amount of the Purchaser's Funding" in the Assessment Report received on the Information Date preceding any Funded Settlement Date, the Requested Amount of the Purchaser's Funding as for such Funded Settlement Date shall be equal to the applicable Maximum Amount of the Purchaser's Funding.</w:t>
      </w:r>
    </w:p>
    <w:p>
      <w:pPr>
        <w:spacing w:after="0" w:line="83"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the chief financial officer or treasurer of GOODYEAR or the Vice President, Finance or equivalent officer of GOODYEAR EUROPE BV.</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9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Retransferred Receivable</w:t>
      </w:r>
      <w:r>
        <w:rPr>
          <w:rFonts w:ascii="Times New Roman" w:cs="Times New Roman" w:eastAsia="Times New Roman" w:hAnsi="Times New Roman"/>
          <w:sz w:val="20"/>
          <w:szCs w:val="20"/>
          <w:color w:val="auto"/>
        </w:rPr>
        <w:t>" means any Doubtful Receivable sold back by the Purchaser to any Seller in accordance with the relevant provisions of the Receivables Purchase Agreement relating to such Seller.</w:t>
      </w:r>
    </w:p>
    <w:p>
      <w:pPr>
        <w:spacing w:after="0" w:line="1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comprehensive Sanctions (solely consisting of, at the time of this Agreement, Cuba, Iran, North Korea, Sudan, Syria and the territory of Crimea and the so-called Donetsk People's Republic and Luhansk People's Republic regions of Ukraine).</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the Federal Republic of Germany, the Netherlands, Luxembourg, France or the United Kingdom, (b) any person organized or resident in a Sanctioned Country or (c) any person owned 50% or more by any person or persons described in the foregoing points (a)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w:t>
      </w:r>
    </w:p>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 (a) the Office of Foreign Assets Control (and any successor performing similar functions) of the US Department of the Treasury or the US Department of State, or (b) the United Nations Security Council, the European Union, the Federal Republic of Germany, the Netherlands, Luxembourg, France or Her Majesty's Treasury of the United Kingdom.</w:t>
      </w:r>
    </w:p>
    <w:p>
      <w:pPr>
        <w:spacing w:after="0" w:line="8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Securitisation Documents</w:t>
      </w:r>
      <w:r>
        <w:rPr>
          <w:rFonts w:ascii="Times New Roman" w:cs="Times New Roman" w:eastAsia="Times New Roman" w:hAnsi="Times New Roman"/>
          <w:sz w:val="20"/>
          <w:szCs w:val="20"/>
          <w:color w:val="auto"/>
        </w:rPr>
        <w:t>" means the Transaction Documents, the Master Senior Deposit Agreement, the transfer and servicing agreement to be concluded with the Fund, the Fund regulations, the Custodian Agreement, the Liquidity Agreements, the Fund Subscription Agreements, the French Financial Guarantee Agreement and the Italian Financial Guarantee Agreement, as may be amended and/or supplemented from time to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Securitisation Regulation</w:t>
      </w:r>
      <w:r>
        <w:rPr>
          <w:rFonts w:ascii="Times New Roman" w:cs="Times New Roman" w:eastAsia="Times New Roman" w:hAnsi="Times New Roman"/>
          <w:sz w:val="20"/>
          <w:szCs w:val="20"/>
          <w:color w:val="auto"/>
        </w:rPr>
        <w:t>" has the meaning ascribed to such term in Article 42.1.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Securitisation Transaction</w:t>
      </w:r>
      <w:r>
        <w:rPr>
          <w:rFonts w:ascii="Times New Roman" w:cs="Times New Roman" w:eastAsia="Times New Roman" w:hAnsi="Times New Roman"/>
          <w:sz w:val="20"/>
          <w:szCs w:val="20"/>
          <w:color w:val="auto"/>
        </w:rPr>
        <w:t>" means the securitisation transaction carried out pursuant to the Transaction Documents.</w:t>
      </w:r>
    </w:p>
    <w:p>
      <w:pPr>
        <w:spacing w:after="0" w:line="189"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 means, without prejudice to Articles 38 and 39, collectively, the French Seller, the Luxembourg Seller, the German Seller, the UK Seller and the Spanish Seller.</w:t>
      </w:r>
    </w:p>
    <w:p>
      <w:pPr>
        <w:spacing w:after="0" w:line="3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Deposit</w:t>
      </w:r>
      <w:r>
        <w:rPr>
          <w:rFonts w:ascii="Times New Roman" w:cs="Times New Roman" w:eastAsia="Times New Roman" w:hAnsi="Times New Roman"/>
          <w:sz w:val="20"/>
          <w:szCs w:val="20"/>
          <w:color w:val="auto"/>
        </w:rPr>
        <w:t>" means the deposits effected by the Depositor with the Purchaser in accordance with the terms of the Master Senior Deposit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means a Funded Settlement Date or an Intermediary Settlement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Signing Date</w:t>
      </w:r>
      <w:r>
        <w:rPr>
          <w:rFonts w:ascii="Times New Roman" w:cs="Times New Roman" w:eastAsia="Times New Roman" w:hAnsi="Times New Roman"/>
          <w:sz w:val="20"/>
          <w:szCs w:val="20"/>
          <w:color w:val="auto"/>
        </w:rPr>
        <w:t>" means 10 December 2004.</w:t>
      </w:r>
    </w:p>
    <w:p>
      <w:pPr>
        <w:spacing w:after="0" w:line="189"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Sold Receivables</w:t>
      </w:r>
      <w:r>
        <w:rPr>
          <w:rFonts w:ascii="Times New Roman" w:cs="Times New Roman" w:eastAsia="Times New Roman" w:hAnsi="Times New Roman"/>
          <w:sz w:val="20"/>
          <w:szCs w:val="20"/>
          <w:color w:val="auto"/>
        </w:rPr>
        <w:t>" means, in relation to any Seller, and without double counting as result of the rescission of the transfer of certain Ongoing Purchasable Receivables pursuant to the relevant provisions of the French Receivables Purchase Agreement and the Spanish Receivables Purchase Agreement, those Ongoing Purchasable Receivables and Remaining Purchasable Receivables (i) which are existing and have been transferred from such Seller to the Purchaser pursuant to the Receivables Purchase Agreement to which such Seller is a party, and (ii) which have not been repurchased from the Purchaser.</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Solvency Certificate</w:t>
      </w:r>
      <w:r>
        <w:rPr>
          <w:rFonts w:ascii="Times New Roman" w:cs="Times New Roman" w:eastAsia="Times New Roman" w:hAnsi="Times New Roman"/>
          <w:sz w:val="20"/>
          <w:szCs w:val="20"/>
          <w:color w:val="auto"/>
        </w:rPr>
        <w:t>" means any certificate issued by any of the Sellers and the Centralising Unit, in the form of SCHEDULE 5.</w:t>
      </w:r>
    </w:p>
    <w:p>
      <w:pPr>
        <w:spacing w:after="0" w:line="189"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Spanish Insolvency Act</w:t>
      </w:r>
      <w:r>
        <w:rPr>
          <w:rFonts w:ascii="Times New Roman" w:cs="Times New Roman" w:eastAsia="Times New Roman" w:hAnsi="Times New Roman"/>
          <w:sz w:val="20"/>
          <w:szCs w:val="20"/>
          <w:color w:val="auto"/>
        </w:rPr>
        <w:t>" means the Royal Legislative Decree 1/2020, of 5 May, that approved the recast Insolvency Act (</w:t>
      </w:r>
      <w:r>
        <w:rPr>
          <w:rFonts w:ascii="Times New Roman" w:cs="Times New Roman" w:eastAsia="Times New Roman" w:hAnsi="Times New Roman"/>
          <w:sz w:val="20"/>
          <w:szCs w:val="20"/>
          <w:i w:val="1"/>
          <w:iCs w:val="1"/>
          <w:color w:val="auto"/>
        </w:rPr>
        <w:t>Real Decreto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Legislativo 1/2020, de 5 de mayo por el que se aprueba el texto refundido de la Ley Concursal</w:t>
      </w:r>
      <w:r>
        <w:rPr>
          <w:rFonts w:ascii="Times New Roman" w:cs="Times New Roman" w:eastAsia="Times New Roman" w:hAnsi="Times New Roman"/>
          <w:sz w:val="20"/>
          <w:szCs w:val="20"/>
          <w:color w:val="auto"/>
        </w:rPr>
        <w:t>) as amended from time to time.</w:t>
      </w:r>
    </w:p>
    <w:p>
      <w:pPr>
        <w:spacing w:after="0" w:line="58"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Spanish Public Document</w:t>
      </w:r>
      <w:r>
        <w:rPr>
          <w:rFonts w:ascii="Times New Roman" w:cs="Times New Roman" w:eastAsia="Times New Roman" w:hAnsi="Times New Roman"/>
          <w:sz w:val="20"/>
          <w:szCs w:val="20"/>
          <w:color w:val="auto"/>
        </w:rPr>
        <w:t>" means a Spanish law public document (</w:t>
      </w:r>
      <w:r>
        <w:rPr>
          <w:rFonts w:ascii="Times New Roman" w:cs="Times New Roman" w:eastAsia="Times New Roman" w:hAnsi="Times New Roman"/>
          <w:sz w:val="20"/>
          <w:szCs w:val="20"/>
          <w:i w:val="1"/>
          <w:iCs w:val="1"/>
          <w:color w:val="auto"/>
        </w:rPr>
        <w:t>documento público</w:t>
      </w:r>
      <w:r>
        <w:rPr>
          <w:rFonts w:ascii="Times New Roman" w:cs="Times New Roman" w:eastAsia="Times New Roman" w:hAnsi="Times New Roman"/>
          <w:sz w:val="20"/>
          <w:szCs w:val="20"/>
          <w:color w:val="auto"/>
        </w:rPr>
        <w:t xml:space="preserve">), being either an </w:t>
      </w:r>
      <w:r>
        <w:rPr>
          <w:rFonts w:ascii="Times New Roman" w:cs="Times New Roman" w:eastAsia="Times New Roman" w:hAnsi="Times New Roman"/>
          <w:sz w:val="20"/>
          <w:szCs w:val="20"/>
          <w:i w:val="1"/>
          <w:iCs w:val="1"/>
          <w:color w:val="auto"/>
        </w:rPr>
        <w:t>escritura pública</w:t>
      </w:r>
      <w:r>
        <w:rPr>
          <w:rFonts w:ascii="Times New Roman" w:cs="Times New Roman" w:eastAsia="Times New Roman" w:hAnsi="Times New Roman"/>
          <w:sz w:val="20"/>
          <w:szCs w:val="20"/>
          <w:color w:val="auto"/>
        </w:rPr>
        <w:t xml:space="preserve"> or a </w:t>
      </w:r>
      <w:r>
        <w:rPr>
          <w:rFonts w:ascii="Times New Roman" w:cs="Times New Roman" w:eastAsia="Times New Roman" w:hAnsi="Times New Roman"/>
          <w:sz w:val="20"/>
          <w:szCs w:val="20"/>
          <w:i w:val="1"/>
          <w:iCs w:val="1"/>
          <w:color w:val="auto"/>
        </w:rPr>
        <w:t>póliza 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documento intervenido por notario español.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Spanish Seller</w:t>
      </w:r>
      <w:r>
        <w:rPr>
          <w:rFonts w:ascii="Times New Roman" w:cs="Times New Roman" w:eastAsia="Times New Roman" w:hAnsi="Times New Roman"/>
          <w:sz w:val="20"/>
          <w:szCs w:val="20"/>
          <w:color w:val="auto"/>
        </w:rPr>
        <w:t>" means GOODYEAR TIRES ESPAÑA, S.A. or any New Seller that is existing under Spanish law.</w:t>
      </w:r>
    </w:p>
    <w:p>
      <w:pPr>
        <w:spacing w:after="0" w:line="189" w:lineRule="exact"/>
        <w:rPr>
          <w:sz w:val="20"/>
          <w:szCs w:val="20"/>
          <w:color w:val="auto"/>
        </w:rPr>
      </w:pPr>
    </w:p>
    <w:p>
      <w:pPr>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Spanish RPA Sellers</w:t>
      </w:r>
      <w:r>
        <w:rPr>
          <w:rFonts w:ascii="Times New Roman" w:cs="Times New Roman" w:eastAsia="Times New Roman" w:hAnsi="Times New Roman"/>
          <w:sz w:val="20"/>
          <w:szCs w:val="20"/>
          <w:color w:val="auto"/>
        </w:rPr>
        <w:t>" means the Spanish Seller and the Luxembourg Seller, in their capacity as Sellers under the Spanish Receivables Purchase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Stand-By Fee</w:t>
      </w:r>
      <w:r>
        <w:rPr>
          <w:rFonts w:ascii="Times New Roman" w:cs="Times New Roman" w:eastAsia="Times New Roman" w:hAnsi="Times New Roman"/>
          <w:sz w:val="20"/>
          <w:szCs w:val="20"/>
          <w:color w:val="auto"/>
        </w:rPr>
        <w:t>" means the management fee set out in Article 25.4.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Stand-By Servicer</w:t>
      </w:r>
      <w:r>
        <w:rPr>
          <w:rFonts w:ascii="Times New Roman" w:cs="Times New Roman" w:eastAsia="Times New Roman" w:hAnsi="Times New Roman"/>
          <w:sz w:val="20"/>
          <w:szCs w:val="20"/>
          <w:color w:val="auto"/>
        </w:rPr>
        <w:t>" means any entity appointed by the Purchaser in accordance with Article 25.4.</w:t>
      </w:r>
    </w:p>
    <w:p>
      <w:pPr>
        <w:spacing w:after="0" w:line="189" w:lineRule="exact"/>
        <w:rPr>
          <w:sz w:val="20"/>
          <w:szCs w:val="20"/>
          <w:color w:val="auto"/>
        </w:rPr>
      </w:pPr>
    </w:p>
    <w:p>
      <w:pPr>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Deposit</w:t>
      </w:r>
      <w:r>
        <w:rPr>
          <w:rFonts w:ascii="Times New Roman" w:cs="Times New Roman" w:eastAsia="Times New Roman" w:hAnsi="Times New Roman"/>
          <w:sz w:val="20"/>
          <w:szCs w:val="20"/>
          <w:color w:val="auto"/>
        </w:rPr>
        <w:t>" means any subordinated deposit effected by the Centralising Unit with the Purchaser in accordance with the terms of Article 7 and the Master Subordinated Deposit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Deposit Fee</w:t>
      </w:r>
      <w:r>
        <w:rPr>
          <w:rFonts w:ascii="Times New Roman" w:cs="Times New Roman" w:eastAsia="Times New Roman" w:hAnsi="Times New Roman"/>
          <w:sz w:val="20"/>
          <w:szCs w:val="20"/>
          <w:color w:val="auto"/>
        </w:rPr>
        <w:t>" means the fee contemplated under article 6.1 of the Master Subordinated Deposit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Depositor</w:t>
      </w:r>
      <w:r>
        <w:rPr>
          <w:rFonts w:ascii="Times New Roman" w:cs="Times New Roman" w:eastAsia="Times New Roman" w:hAnsi="Times New Roman"/>
          <w:sz w:val="20"/>
          <w:szCs w:val="20"/>
          <w:color w:val="auto"/>
        </w:rPr>
        <w:t>" means the Centralising Unit.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Commitment Non-Renewal</w:t>
      </w:r>
      <w:r>
        <w:rPr>
          <w:rFonts w:ascii="Times New Roman" w:cs="Times New Roman" w:eastAsia="Times New Roman" w:hAnsi="Times New Roman"/>
          <w:sz w:val="20"/>
          <w:szCs w:val="20"/>
          <w:color w:val="auto"/>
        </w:rPr>
        <w:t>" means, in relation to any Fund Subscriber:</w:t>
      </w:r>
    </w:p>
    <w:p>
      <w:pPr>
        <w:spacing w:after="0" w:line="206" w:lineRule="exact"/>
        <w:rPr>
          <w:sz w:val="20"/>
          <w:szCs w:val="20"/>
          <w:color w:val="auto"/>
        </w:rPr>
      </w:pPr>
    </w:p>
    <w:p>
      <w:pPr>
        <w:ind w:left="780" w:hanging="772"/>
        <w:spacing w:after="0" w:line="353" w:lineRule="auto"/>
        <w:tabs>
          <w:tab w:leader="none" w:pos="768"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non-renewal of the Fund Subscription Agreement to which it is a party at its expiry date and such Fund Subscriber has not been replaced with another bank that is rated at least A1, P1 and/or F1 by the relevant Rating Agencies; or</w:t>
      </w:r>
    </w:p>
    <w:p>
      <w:pPr>
        <w:spacing w:after="0" w:line="52" w:lineRule="exact"/>
        <w:rPr>
          <w:rFonts w:ascii="Times New Roman" w:cs="Times New Roman" w:eastAsia="Times New Roman" w:hAnsi="Times New Roman"/>
          <w:sz w:val="20"/>
          <w:szCs w:val="20"/>
          <w:color w:val="auto"/>
        </w:rPr>
      </w:pPr>
    </w:p>
    <w:p>
      <w:pPr>
        <w:ind w:left="780" w:hanging="772"/>
        <w:spacing w:after="0" w:line="353" w:lineRule="auto"/>
        <w:tabs>
          <w:tab w:leader="none" w:pos="769"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Bank Commitment Letter was executed by such Fund Subscriber, the expiry of the commitment of such Fund Subscriber under such Bank Commitment Letter.</w:t>
      </w:r>
    </w:p>
    <w:p>
      <w:pPr>
        <w:spacing w:after="0" w:line="48"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means with respect to an entity (the "</w:t>
      </w: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are consolidated with those of the Parent in the Parent's consolidated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are, as of such date, owned, controlled or held by the Parent or one or more subsidiaries of the Parent or by the Parent and one or more subsidiaries of the Parent.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T2 Day</w:t>
      </w:r>
      <w:r>
        <w:rPr>
          <w:rFonts w:ascii="Times New Roman" w:cs="Times New Roman" w:eastAsia="Times New Roman" w:hAnsi="Times New Roman"/>
          <w:sz w:val="20"/>
          <w:szCs w:val="20"/>
          <w:color w:val="auto"/>
        </w:rPr>
        <w:t>" means a day on which the T2 is open for the settlement of payments in Euro.</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91" w:lineRule="exact"/>
        <w:rPr>
          <w:sz w:val="20"/>
          <w:szCs w:val="20"/>
          <w:color w:val="auto"/>
        </w:rPr>
      </w:pPr>
    </w:p>
    <w:p>
      <w:pPr>
        <w:jc w:val="both"/>
        <w:ind w:right="4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taxes, levies, duties, imposts, assessments or other charges of whatsoever nature (including any penalty or interest payable in connection with any failure to pay or any delay in paying any of the same).</w:t>
      </w:r>
    </w:p>
    <w:p>
      <w:pPr>
        <w:spacing w:after="0" w:line="45"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this Agreement, the Master Subordinated Deposit Agreement, the Receivables Purchase Agreements, the Italian Receivables Purchase Agreement, the Italian Subscription Agreement, the Italian Sub-Servicing Agreement, the Collection Account Agreements, the Data Escrow Agreement, the Comfort Letter and the Performance Letter, as may be amended and/or supplemented from time to time.</w:t>
      </w:r>
    </w:p>
    <w:p>
      <w:pPr>
        <w:spacing w:after="0" w:line="64"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Deed</w:t>
      </w:r>
      <w:r>
        <w:rPr>
          <w:rFonts w:ascii="Times New Roman" w:cs="Times New Roman" w:eastAsia="Times New Roman" w:hAnsi="Times New Roman"/>
          <w:sz w:val="20"/>
          <w:szCs w:val="20"/>
          <w:color w:val="auto"/>
        </w:rPr>
        <w:t xml:space="preserve">" means any </w:t>
      </w:r>
      <w:r>
        <w:rPr>
          <w:rFonts w:ascii="Times New Roman" w:cs="Times New Roman" w:eastAsia="Times New Roman" w:hAnsi="Times New Roman"/>
          <w:sz w:val="20"/>
          <w:szCs w:val="20"/>
          <w:i w:val="1"/>
          <w:iCs w:val="1"/>
          <w:color w:val="auto"/>
        </w:rPr>
        <w:t>bordereau</w:t>
      </w:r>
      <w:r>
        <w:rPr>
          <w:rFonts w:ascii="Times New Roman" w:cs="Times New Roman" w:eastAsia="Times New Roman" w:hAnsi="Times New Roman"/>
          <w:sz w:val="20"/>
          <w:szCs w:val="20"/>
          <w:color w:val="auto"/>
        </w:rPr>
        <w:t xml:space="preserve"> or any form of transfer document identifying the Ongoing Purchasable Receivables and the Remaining Purchasable Receivable to be transferred, referred to in the relevant Receivables Purchase Agreement, which shall be issued by the relevant Seller or the Centralising Unit, acting in the name and on behalf of each Seller, on each Settlement Date during the Replenishment Period, in the form stipulated in the relevant Receivables Purchase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Seller</w:t>
      </w:r>
      <w:r>
        <w:rPr>
          <w:rFonts w:ascii="Times New Roman" w:cs="Times New Roman" w:eastAsia="Times New Roman" w:hAnsi="Times New Roman"/>
          <w:sz w:val="20"/>
          <w:szCs w:val="20"/>
          <w:color w:val="auto"/>
        </w:rPr>
        <w:t>" means GOODYEAR TYRES UK Ltd or any New Seller that is organized under the laws of England and Wales.</w:t>
      </w:r>
    </w:p>
    <w:p>
      <w:pPr>
        <w:spacing w:after="0" w:line="189"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RPA Sellers</w:t>
      </w:r>
      <w:r>
        <w:rPr>
          <w:rFonts w:ascii="Times New Roman" w:cs="Times New Roman" w:eastAsia="Times New Roman" w:hAnsi="Times New Roman"/>
          <w:sz w:val="20"/>
          <w:szCs w:val="20"/>
          <w:color w:val="auto"/>
        </w:rPr>
        <w:t>" means the UK Seller and the Luxembourg Seller, in their capacity as Sellers under the UK Receivables Purchase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 Dollar</w:t>
      </w:r>
      <w:r>
        <w:rPr>
          <w:rFonts w:ascii="Times New Roman" w:cs="Times New Roman" w:eastAsia="Times New Roman" w:hAnsi="Times New Roman"/>
          <w:sz w:val="20"/>
          <w:szCs w:val="20"/>
          <w:color w:val="auto"/>
        </w:rPr>
        <w:t>" refers to the lawful currency of the United States of America.</w:t>
      </w:r>
    </w:p>
    <w:p>
      <w:pPr>
        <w:spacing w:after="0" w:line="189"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 value added or similar tax imposed in any jurisdiction including penalties and interest in respect of a failure to pay or delay in payment of tax or to make returns or to comply with other formalities relating thereto.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 Credit</w:t>
      </w:r>
      <w:r>
        <w:rPr>
          <w:rFonts w:ascii="Times New Roman" w:cs="Times New Roman" w:eastAsia="Times New Roman" w:hAnsi="Times New Roman"/>
          <w:sz w:val="20"/>
          <w:szCs w:val="20"/>
          <w:color w:val="auto"/>
        </w:rPr>
        <w:t>" has the meaning set forth in Article 12.2.</w:t>
      </w:r>
    </w:p>
    <w:p>
      <w:pPr>
        <w:spacing w:after="0" w:line="189"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End Rebates</w:t>
      </w:r>
      <w:r>
        <w:rPr>
          <w:rFonts w:ascii="Times New Roman" w:cs="Times New Roman" w:eastAsia="Times New Roman" w:hAnsi="Times New Roman"/>
          <w:sz w:val="20"/>
          <w:szCs w:val="20"/>
          <w:color w:val="auto"/>
        </w:rPr>
        <w:t>" means the amount of the deferred rebates granted by any Seller at the end of each year (or according to any periodicity) to certain of its customers subject to the fulfilment of their purchase commitments, it being provided that these Year End Rebates may give rise to Credit Notes issued by any such Seller or to invoices issued by the customers over such Seller and are declared as such in each relevant Assessment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End Rebates Enhanced Financing Amount</w:t>
      </w:r>
      <w:r>
        <w:rPr>
          <w:rFonts w:ascii="Times New Roman" w:cs="Times New Roman" w:eastAsia="Times New Roman" w:hAnsi="Times New Roman"/>
          <w:sz w:val="20"/>
          <w:szCs w:val="20"/>
          <w:color w:val="auto"/>
        </w:rPr>
        <w:t>" means 95% of the minimum between:</w:t>
      </w:r>
    </w:p>
    <w:p>
      <w:pPr>
        <w:spacing w:after="0" w:line="139" w:lineRule="exact"/>
        <w:rPr>
          <w:sz w:val="20"/>
          <w:szCs w:val="20"/>
          <w:color w:val="auto"/>
        </w:rPr>
      </w:pPr>
    </w:p>
    <w:p>
      <w:pPr>
        <w:ind w:left="2300" w:right="180" w:hanging="761"/>
        <w:spacing w:after="0" w:line="220" w:lineRule="auto"/>
        <w:tabs>
          <w:tab w:leader="none" w:pos="2288"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 Rebates financing provided by the Purchaser, revisable on an annual basis (as shall be notified by the Purchaser to the Centralising Unit, on each anniversary date of the 2025 Amendment Date) and to be comprised (at the Purchaser's discretion) between the minimum and maximum amounts set out in the table below:</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If the financial ratings assigned by</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Year End Rebates Financing</w:t>
            </w:r>
          </w:p>
        </w:tc>
        <w:tc>
          <w:tcPr>
            <w:tcW w:w="3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 Year End Rebates Financing</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Standard &amp; Poor's and Moody's to</w:t>
            </w:r>
          </w:p>
        </w:tc>
        <w:tc>
          <w:tcPr>
            <w:tcW w:w="374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GOODYEAR are:</w:t>
            </w:r>
          </w:p>
        </w:tc>
        <w:tc>
          <w:tcPr>
            <w:tcW w:w="374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Borders>
              <w:left w:val="single" w:sz="8" w:color="auto"/>
              <w:right w:val="single" w:sz="8" w:color="auto"/>
            </w:tcBorders>
            <w:vMerge w:val="continue"/>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BB- / Ba3</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EUR75,000,000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EUR87,500,000</w:t>
            </w:r>
          </w:p>
        </w:tc>
        <w:tc>
          <w:tcPr>
            <w:tcW w:w="0" w:type="dxa"/>
            <w:vAlign w:val="bottom"/>
          </w:tcPr>
          <w:p>
            <w:pPr>
              <w:spacing w:after="0"/>
              <w:rPr>
                <w:sz w:val="1"/>
                <w:szCs w:val="1"/>
                <w:color w:val="auto"/>
              </w:rPr>
            </w:pPr>
          </w:p>
        </w:tc>
      </w:tr>
      <w:tr>
        <w:trPr>
          <w:trHeight w:val="153"/>
        </w:trPr>
        <w:tc>
          <w:tcPr>
            <w:tcW w:w="3760" w:type="dxa"/>
            <w:vAlign w:val="bottom"/>
            <w:tcBorders>
              <w:left w:val="single" w:sz="8" w:color="auto"/>
              <w:right w:val="single" w:sz="8" w:color="auto"/>
            </w:tcBorders>
            <w:vMerge w:val="continue"/>
          </w:tcPr>
          <w:p>
            <w:pPr>
              <w:spacing w:after="0"/>
              <w:rPr>
                <w:sz w:val="13"/>
                <w:szCs w:val="13"/>
                <w:color w:val="auto"/>
              </w:rPr>
            </w:pPr>
          </w:p>
        </w:tc>
        <w:tc>
          <w:tcPr>
            <w:tcW w:w="3740" w:type="dxa"/>
            <w:vAlign w:val="bottom"/>
            <w:tcBorders>
              <w:right w:val="single" w:sz="8" w:color="auto"/>
            </w:tcBorders>
            <w:vMerge w:val="continue"/>
          </w:tcPr>
          <w:p>
            <w:pPr>
              <w:spacing w:after="0"/>
              <w:rPr>
                <w:sz w:val="13"/>
                <w:szCs w:val="13"/>
                <w:color w:val="auto"/>
              </w:rPr>
            </w:pPr>
          </w:p>
        </w:tc>
        <w:tc>
          <w:tcPr>
            <w:tcW w:w="3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70" w:name="page271"/>
    <w:bookmarkEnd w:id="2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B+ / B1</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EUR50,000,000</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EUR62,500,000</w:t>
            </w:r>
          </w:p>
        </w:tc>
        <w:tc>
          <w:tcPr>
            <w:tcW w:w="0" w:type="dxa"/>
            <w:vAlign w:val="bottom"/>
          </w:tcPr>
          <w:p>
            <w:pPr>
              <w:spacing w:after="0"/>
              <w:rPr>
                <w:sz w:val="1"/>
                <w:szCs w:val="1"/>
                <w:color w:val="auto"/>
              </w:rPr>
            </w:pPr>
          </w:p>
        </w:tc>
      </w:tr>
      <w:tr>
        <w:trPr>
          <w:trHeight w:val="153"/>
        </w:trPr>
        <w:tc>
          <w:tcPr>
            <w:tcW w:w="3760" w:type="dxa"/>
            <w:vAlign w:val="bottom"/>
            <w:tcBorders>
              <w:left w:val="single" w:sz="8" w:color="auto"/>
              <w:right w:val="single" w:sz="8" w:color="auto"/>
            </w:tcBorders>
            <w:vMerge w:val="continue"/>
          </w:tcPr>
          <w:p>
            <w:pPr>
              <w:spacing w:after="0"/>
              <w:rPr>
                <w:sz w:val="13"/>
                <w:szCs w:val="13"/>
                <w:color w:val="auto"/>
              </w:rPr>
            </w:pPr>
          </w:p>
        </w:tc>
        <w:tc>
          <w:tcPr>
            <w:tcW w:w="3740" w:type="dxa"/>
            <w:vAlign w:val="bottom"/>
            <w:tcBorders>
              <w:right w:val="single" w:sz="8" w:color="auto"/>
            </w:tcBorders>
            <w:vMerge w:val="continue"/>
          </w:tcPr>
          <w:p>
            <w:pPr>
              <w:spacing w:after="0"/>
              <w:rPr>
                <w:sz w:val="13"/>
                <w:szCs w:val="13"/>
                <w:color w:val="auto"/>
              </w:rPr>
            </w:pPr>
          </w:p>
        </w:tc>
        <w:tc>
          <w:tcPr>
            <w:tcW w:w="3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 / B2</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EUR25,000,000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EUR37,500,000</w:t>
            </w:r>
          </w:p>
        </w:tc>
        <w:tc>
          <w:tcPr>
            <w:tcW w:w="0" w:type="dxa"/>
            <w:vAlign w:val="bottom"/>
          </w:tcPr>
          <w:p>
            <w:pPr>
              <w:spacing w:after="0"/>
              <w:rPr>
                <w:sz w:val="1"/>
                <w:szCs w:val="1"/>
                <w:color w:val="auto"/>
              </w:rPr>
            </w:pPr>
          </w:p>
        </w:tc>
      </w:tr>
      <w:tr>
        <w:trPr>
          <w:trHeight w:val="153"/>
        </w:trPr>
        <w:tc>
          <w:tcPr>
            <w:tcW w:w="3760" w:type="dxa"/>
            <w:vAlign w:val="bottom"/>
            <w:tcBorders>
              <w:left w:val="single" w:sz="8" w:color="auto"/>
              <w:right w:val="single" w:sz="8" w:color="auto"/>
            </w:tcBorders>
            <w:vMerge w:val="continue"/>
          </w:tcPr>
          <w:p>
            <w:pPr>
              <w:spacing w:after="0"/>
              <w:rPr>
                <w:sz w:val="13"/>
                <w:szCs w:val="13"/>
                <w:color w:val="auto"/>
              </w:rPr>
            </w:pPr>
          </w:p>
        </w:tc>
        <w:tc>
          <w:tcPr>
            <w:tcW w:w="3740" w:type="dxa"/>
            <w:vAlign w:val="bottom"/>
            <w:tcBorders>
              <w:right w:val="single" w:sz="8" w:color="auto"/>
            </w:tcBorders>
            <w:vMerge w:val="continue"/>
          </w:tcPr>
          <w:p>
            <w:pPr>
              <w:spacing w:after="0"/>
              <w:rPr>
                <w:sz w:val="13"/>
                <w:szCs w:val="13"/>
                <w:color w:val="auto"/>
              </w:rPr>
            </w:pPr>
          </w:p>
        </w:tc>
        <w:tc>
          <w:tcPr>
            <w:tcW w:w="3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 / B3</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EUR0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EUR0</w:t>
            </w:r>
          </w:p>
        </w:tc>
        <w:tc>
          <w:tcPr>
            <w:tcW w:w="0" w:type="dxa"/>
            <w:vAlign w:val="bottom"/>
          </w:tcPr>
          <w:p>
            <w:pPr>
              <w:spacing w:after="0"/>
              <w:rPr>
                <w:sz w:val="1"/>
                <w:szCs w:val="1"/>
                <w:color w:val="auto"/>
              </w:rPr>
            </w:pPr>
          </w:p>
        </w:tc>
      </w:tr>
      <w:tr>
        <w:trPr>
          <w:trHeight w:val="153"/>
        </w:trPr>
        <w:tc>
          <w:tcPr>
            <w:tcW w:w="3760" w:type="dxa"/>
            <w:vAlign w:val="bottom"/>
            <w:tcBorders>
              <w:left w:val="single" w:sz="8" w:color="auto"/>
              <w:right w:val="single" w:sz="8" w:color="auto"/>
            </w:tcBorders>
            <w:vMerge w:val="continue"/>
          </w:tcPr>
          <w:p>
            <w:pPr>
              <w:spacing w:after="0"/>
              <w:rPr>
                <w:sz w:val="13"/>
                <w:szCs w:val="13"/>
                <w:color w:val="auto"/>
              </w:rPr>
            </w:pPr>
          </w:p>
        </w:tc>
        <w:tc>
          <w:tcPr>
            <w:tcW w:w="3740" w:type="dxa"/>
            <w:vAlign w:val="bottom"/>
            <w:tcBorders>
              <w:right w:val="single" w:sz="8" w:color="auto"/>
            </w:tcBorders>
            <w:vMerge w:val="continue"/>
          </w:tcPr>
          <w:p>
            <w:pPr>
              <w:spacing w:after="0"/>
              <w:rPr>
                <w:sz w:val="13"/>
                <w:szCs w:val="13"/>
                <w:color w:val="auto"/>
              </w:rPr>
            </w:pPr>
          </w:p>
        </w:tc>
        <w:tc>
          <w:tcPr>
            <w:tcW w:w="3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2300" w:hanging="761"/>
        <w:spacing w:after="0"/>
        <w:tabs>
          <w:tab w:leader="none" w:pos="23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 Rebates,</w:t>
      </w:r>
    </w:p>
    <w:p>
      <w:pPr>
        <w:spacing w:after="0" w:line="1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being specified that:</w:t>
      </w:r>
    </w:p>
    <w:p>
      <w:pPr>
        <w:spacing w:after="0" w:line="175" w:lineRule="exact"/>
        <w:rPr>
          <w:sz w:val="20"/>
          <w:szCs w:val="20"/>
          <w:color w:val="auto"/>
        </w:rPr>
      </w:pPr>
    </w:p>
    <w:p>
      <w:pPr>
        <w:ind w:left="1160" w:right="40" w:hanging="66"/>
        <w:spacing w:after="0" w:line="274" w:lineRule="auto"/>
        <w:rPr>
          <w:sz w:val="20"/>
          <w:szCs w:val="20"/>
          <w:color w:val="auto"/>
        </w:rPr>
      </w:pPr>
      <w:r>
        <w:rPr>
          <w:rFonts w:ascii="Times New Roman" w:cs="Times New Roman" w:eastAsia="Times New Roman" w:hAnsi="Times New Roman"/>
          <w:sz w:val="20"/>
          <w:szCs w:val="20"/>
          <w:color w:val="auto"/>
        </w:rPr>
        <w:t>in case there is a split rating of one (1) notch between Standard &amp; Poor's and Moody's' ratings: the highest rating should be retained;</w:t>
      </w:r>
    </w:p>
    <w:p>
      <w:pPr>
        <w:spacing w:after="0" w:line="1" w:lineRule="exact"/>
        <w:rPr>
          <w:sz w:val="20"/>
          <w:szCs w:val="20"/>
          <w:color w:val="auto"/>
        </w:rPr>
      </w:pPr>
    </w:p>
    <w:p>
      <w:pPr>
        <w:ind w:left="1160" w:right="20" w:hanging="66"/>
        <w:spacing w:after="0" w:line="274" w:lineRule="auto"/>
        <w:rPr>
          <w:sz w:val="20"/>
          <w:szCs w:val="20"/>
          <w:color w:val="auto"/>
        </w:rPr>
      </w:pPr>
      <w:r>
        <w:rPr>
          <w:rFonts w:ascii="Times New Roman" w:cs="Times New Roman" w:eastAsia="Times New Roman" w:hAnsi="Times New Roman"/>
          <w:sz w:val="20"/>
          <w:szCs w:val="20"/>
          <w:color w:val="auto"/>
        </w:rPr>
        <w:t>in case there is a split rating of more than one (1) notch between Standard &amp; Poor's and Moody's' ratings: the rating that is one (1) notch higher than the lowest of the two (2) should be retained; and</w:t>
      </w:r>
    </w:p>
    <w:p>
      <w:pPr>
        <w:spacing w:after="0" w:line="1" w:lineRule="exact"/>
        <w:rPr>
          <w:sz w:val="20"/>
          <w:szCs w:val="20"/>
          <w:color w:val="auto"/>
        </w:rPr>
      </w:pPr>
    </w:p>
    <w:p>
      <w:pPr>
        <w:ind w:left="1160" w:right="20" w:hanging="66"/>
        <w:spacing w:after="0" w:line="297" w:lineRule="auto"/>
        <w:rPr>
          <w:sz w:val="20"/>
          <w:szCs w:val="20"/>
          <w:color w:val="auto"/>
        </w:rPr>
      </w:pPr>
      <w:r>
        <w:rPr>
          <w:rFonts w:ascii="Times New Roman" w:cs="Times New Roman" w:eastAsia="Times New Roman" w:hAnsi="Times New Roman"/>
          <w:sz w:val="20"/>
          <w:szCs w:val="20"/>
          <w:color w:val="auto"/>
        </w:rPr>
        <w:t>the Year End Rebates Enhanced Financing Amount from the Funded Settlement Date of October 2025 to the Funded Settlement Date of October 2026 (excluded) shall be €62,500,000.</w:t>
      </w:r>
    </w:p>
    <w:p>
      <w:pPr>
        <w:sectPr>
          <w:pgSz w:w="11900" w:h="16838" w:orient="portrait"/>
          <w:cols w:equalWidth="0" w:num="1">
            <w:col w:w="11260"/>
          </w:cols>
          <w:pgMar w:left="320" w:top="1416" w:right="319" w:bottom="1440" w:gutter="0" w:footer="0" w:header="0"/>
        </w:sectPr>
      </w:pPr>
    </w:p>
    <w:bookmarkStart w:id="271" w:name="page272"/>
    <w:bookmarkEnd w:id="271"/>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11</w:t>
      </w:r>
    </w:p>
    <w:p>
      <w:pPr>
        <w:jc w:val="center"/>
        <w:spacing w:after="0"/>
        <w:rPr>
          <w:sz w:val="20"/>
          <w:szCs w:val="20"/>
          <w:color w:val="auto"/>
        </w:rPr>
      </w:pPr>
      <w:r>
        <w:rPr>
          <w:rFonts w:ascii="Times New Roman" w:cs="Times New Roman" w:eastAsia="Times New Roman" w:hAnsi="Times New Roman"/>
          <w:sz w:val="20"/>
          <w:szCs w:val="20"/>
          <w:b w:val="1"/>
          <w:bCs w:val="1"/>
          <w:color w:val="auto"/>
        </w:rPr>
        <w:t>CONFORMITY WARRANTIES FOR REMAINING PURCHASABLE RECEIVABLES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Conformity warranties for Remaining Purchasable Receivables purchased from the French RPA Sellers</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Each French RPA Seller represents and warrants to the Purchaser that on the Funded Settlement Date during the Replenishment Period on which any receivable shall be proposed for sale, such receivable (a) shall exist, and shall conform to the description given in the definition of "</w:t>
      </w:r>
      <w:r>
        <w:rPr>
          <w:rFonts w:ascii="Times New Roman" w:cs="Times New Roman" w:eastAsia="Times New Roman" w:hAnsi="Times New Roman"/>
          <w:sz w:val="20"/>
          <w:szCs w:val="20"/>
          <w:b w:val="1"/>
          <w:bCs w:val="1"/>
          <w:color w:val="auto"/>
        </w:rPr>
        <w:t>Remaining Purchasable Receivable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(b) shall be identified in the relevant Transfer Deed and the electronic support relating to such Transfer Deed as required therein, and (c) shall have the following characteristics:</w:t>
      </w:r>
    </w:p>
    <w:p>
      <w:pPr>
        <w:spacing w:after="0" w:line="91" w:lineRule="exact"/>
        <w:rPr>
          <w:sz w:val="20"/>
          <w:szCs w:val="20"/>
          <w:color w:val="auto"/>
        </w:rPr>
      </w:pPr>
    </w:p>
    <w:p>
      <w:pPr>
        <w:ind w:left="780" w:right="20" w:hanging="772"/>
        <w:spacing w:after="0" w:line="367" w:lineRule="auto"/>
        <w:tabs>
          <w:tab w:leader="none" w:pos="768"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from which the receivable arises (a) is governed by French law and (b) is characterised as a contract of sale of tyres and activities relating thereto;</w:t>
      </w:r>
    </w:p>
    <w:p>
      <w:pPr>
        <w:spacing w:after="0" w:line="39" w:lineRule="exact"/>
        <w:rPr>
          <w:rFonts w:ascii="Times New Roman" w:cs="Times New Roman" w:eastAsia="Times New Roman" w:hAnsi="Times New Roman"/>
          <w:sz w:val="20"/>
          <w:szCs w:val="20"/>
          <w:color w:val="auto"/>
        </w:rPr>
      </w:pPr>
    </w:p>
    <w:p>
      <w:pPr>
        <w:jc w:val="both"/>
        <w:ind w:left="780" w:hanging="772"/>
        <w:spacing w:after="0" w:line="332" w:lineRule="auto"/>
        <w:tabs>
          <w:tab w:leader="none" w:pos="769"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French RPA Seller has performed its obligations under the commercial contract with the relevant Eligible Debtor that gave rise to the receivable, the receivable has been invoiced and any contract relating to any security securing such receivable (a) is valid and enforceable, (b) is the basis of legal, valid, binding and enforceable obligations of such French RPA Seller and the relevant Eligible Debtor to the contract and provider of the related security, and (c) complies with any applicable consumer protection laws and/or regulations; any consent, approval and/or authorisation which might be required for the execution and performance of such contract or with respect to such security has been obtained;</w:t>
      </w:r>
    </w:p>
    <w:p>
      <w:pPr>
        <w:spacing w:after="0" w:line="75" w:lineRule="exact"/>
        <w:rPr>
          <w:rFonts w:ascii="Times New Roman" w:cs="Times New Roman" w:eastAsia="Times New Roman" w:hAnsi="Times New Roman"/>
          <w:sz w:val="20"/>
          <w:szCs w:val="20"/>
          <w:color w:val="auto"/>
        </w:rPr>
      </w:pPr>
    </w:p>
    <w:p>
      <w:pPr>
        <w:jc w:val="both"/>
        <w:ind w:left="780" w:hanging="772"/>
        <w:spacing w:after="0" w:line="338" w:lineRule="auto"/>
        <w:tabs>
          <w:tab w:leader="none" w:pos="770"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French RPA Seller has had full title to the Remaining Purchasable Receivable since it was originated, except (x) if it was sold by such French RPA Seller and repurchased by such French RPA Seller on or before the Initial Settlement Date and (y) if it has been previously sold and transferred to the Purchaser and such transfer has been rescinded;</w:t>
      </w:r>
    </w:p>
    <w:p>
      <w:pPr>
        <w:spacing w:after="0" w:line="67" w:lineRule="exact"/>
        <w:rPr>
          <w:rFonts w:ascii="Times New Roman" w:cs="Times New Roman" w:eastAsia="Times New Roman" w:hAnsi="Times New Roman"/>
          <w:sz w:val="20"/>
          <w:szCs w:val="20"/>
          <w:color w:val="auto"/>
        </w:rPr>
      </w:pPr>
    </w:p>
    <w:p>
      <w:pPr>
        <w:jc w:val="both"/>
        <w:ind w:left="780" w:hanging="772"/>
        <w:spacing w:after="0" w:line="332" w:lineRule="auto"/>
        <w:tabs>
          <w:tab w:leader="none" w:pos="772"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impediment to the transfer of the receivable to the Purchaser, which may adversely affect enforceability of the assignment of the receivables; in particular, the receivable is not wholly or partly the subject of any assignment, delegation (</w:t>
      </w:r>
      <w:r>
        <w:rPr>
          <w:rFonts w:ascii="Times New Roman" w:cs="Times New Roman" w:eastAsia="Times New Roman" w:hAnsi="Times New Roman"/>
          <w:sz w:val="20"/>
          <w:szCs w:val="20"/>
          <w:i w:val="1"/>
          <w:iCs w:val="1"/>
          <w:color w:val="auto"/>
        </w:rPr>
        <w:t>délégation</w:t>
      </w:r>
      <w:r>
        <w:rPr>
          <w:rFonts w:ascii="Times New Roman" w:cs="Times New Roman" w:eastAsia="Times New Roman" w:hAnsi="Times New Roman"/>
          <w:sz w:val="20"/>
          <w:szCs w:val="20"/>
          <w:color w:val="auto"/>
        </w:rPr>
        <w:t>), subrogation, attachment or seizure (</w:t>
      </w:r>
      <w:r>
        <w:rPr>
          <w:rFonts w:ascii="Times New Roman" w:cs="Times New Roman" w:eastAsia="Times New Roman" w:hAnsi="Times New Roman"/>
          <w:sz w:val="20"/>
          <w:szCs w:val="20"/>
          <w:i w:val="1"/>
          <w:iCs w:val="1"/>
          <w:color w:val="auto"/>
        </w:rPr>
        <w:t>saisie</w:t>
      </w:r>
      <w:r>
        <w:rPr>
          <w:rFonts w:ascii="Times New Roman" w:cs="Times New Roman" w:eastAsia="Times New Roman" w:hAnsi="Times New Roman"/>
          <w:sz w:val="20"/>
          <w:szCs w:val="20"/>
          <w:color w:val="auto"/>
        </w:rPr>
        <w:t xml:space="preserve">) whatsoever, or of any security interest, lien, </w:t>
      </w:r>
      <w:r>
        <w:rPr>
          <w:rFonts w:ascii="Times New Roman" w:cs="Times New Roman" w:eastAsia="Times New Roman" w:hAnsi="Times New Roman"/>
          <w:sz w:val="20"/>
          <w:szCs w:val="20"/>
          <w:i w:val="1"/>
          <w:iCs w:val="1"/>
          <w:color w:val="auto"/>
        </w:rPr>
        <w:t>in rem</w:t>
      </w:r>
      <w:r>
        <w:rPr>
          <w:rFonts w:ascii="Times New Roman" w:cs="Times New Roman" w:eastAsia="Times New Roman" w:hAnsi="Times New Roman"/>
          <w:sz w:val="20"/>
          <w:szCs w:val="20"/>
          <w:color w:val="auto"/>
        </w:rPr>
        <w:t xml:space="preserve"> or personal right in favour of a third party or encumbrance whatsoever and the receivable is not contractually required to be transferred or assigned by such French RPA Seller to any entity with whom such French RPA Seller had entered into a factoring agreement, receivables purchase agreement or similar arrangement prior to the 2025 Amendment Date;</w:t>
      </w:r>
    </w:p>
    <w:p>
      <w:pPr>
        <w:spacing w:after="0" w:line="75" w:lineRule="exact"/>
        <w:rPr>
          <w:rFonts w:ascii="Times New Roman" w:cs="Times New Roman" w:eastAsia="Times New Roman" w:hAnsi="Times New Roman"/>
          <w:sz w:val="20"/>
          <w:szCs w:val="20"/>
          <w:color w:val="auto"/>
        </w:rPr>
      </w:pPr>
    </w:p>
    <w:p>
      <w:pPr>
        <w:jc w:val="both"/>
        <w:ind w:left="780" w:hanging="772"/>
        <w:spacing w:after="0" w:line="345" w:lineRule="auto"/>
        <w:tabs>
          <w:tab w:leader="none" w:pos="771"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adverse claim on such receivable arising from retention of title arrangements (whether ordinary or extended) with the suppliers of the French Seller, and such receivable is not subject to any other Lien than a Lien which would be permitted under Article 10.1.2(vii);</w:t>
      </w:r>
    </w:p>
    <w:p>
      <w:pPr>
        <w:spacing w:after="0" w:line="6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receivable is inclusive of VAT;</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95" w:lineRule="exact"/>
        <w:rPr>
          <w:sz w:val="20"/>
          <w:szCs w:val="20"/>
          <w:color w:val="auto"/>
        </w:rPr>
      </w:pPr>
    </w:p>
    <w:p>
      <w:pPr>
        <w:ind w:left="772" w:right="20" w:hanging="772"/>
        <w:spacing w:after="0" w:line="353" w:lineRule="auto"/>
        <w:tabs>
          <w:tab w:leader="none" w:pos="765"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any law or regulation that apply to (a) the receivable and any security interest that might attach thereto and (b) any contract which gives rise to the receivable and security interest(s), have been complied with;</w:t>
      </w:r>
    </w:p>
    <w:p>
      <w:pPr>
        <w:spacing w:after="0" w:line="52" w:lineRule="exact"/>
        <w:rPr>
          <w:rFonts w:ascii="Times New Roman" w:cs="Times New Roman" w:eastAsia="Times New Roman" w:hAnsi="Times New Roman"/>
          <w:sz w:val="20"/>
          <w:szCs w:val="20"/>
          <w:color w:val="auto"/>
        </w:rPr>
      </w:pPr>
    </w:p>
    <w:p>
      <w:pPr>
        <w:jc w:val="both"/>
        <w:ind w:left="772" w:hanging="772"/>
        <w:spacing w:after="0" w:line="345" w:lineRule="auto"/>
        <w:tabs>
          <w:tab w:leader="none" w:pos="766"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has been originated in accordance with such French RPA Seller's Credit and Collection Policies and guidelines, and has been serviced by such French RPA Seller since the date on which it was originated in accordance with the applicable statutes and regulations;</w:t>
      </w:r>
    </w:p>
    <w:p>
      <w:pPr>
        <w:spacing w:after="0" w:line="57" w:lineRule="exact"/>
        <w:rPr>
          <w:rFonts w:ascii="Times New Roman" w:cs="Times New Roman" w:eastAsia="Times New Roman" w:hAnsi="Times New Roman"/>
          <w:sz w:val="20"/>
          <w:szCs w:val="20"/>
          <w:color w:val="auto"/>
        </w:rPr>
      </w:pPr>
    </w:p>
    <w:p>
      <w:pPr>
        <w:jc w:val="both"/>
        <w:ind w:left="772" w:hanging="772"/>
        <w:spacing w:after="0" w:line="340" w:lineRule="auto"/>
        <w:tabs>
          <w:tab w:leader="none" w:pos="764"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non-negotiable (</w:t>
      </w:r>
      <w:r>
        <w:rPr>
          <w:rFonts w:ascii="Times New Roman" w:cs="Times New Roman" w:eastAsia="Times New Roman" w:hAnsi="Times New Roman"/>
          <w:sz w:val="20"/>
          <w:szCs w:val="20"/>
          <w:i w:val="1"/>
          <w:iCs w:val="1"/>
          <w:color w:val="auto"/>
        </w:rPr>
        <w:t>immobilisée</w:t>
      </w:r>
      <w:r>
        <w:rPr>
          <w:rFonts w:ascii="Times New Roman" w:cs="Times New Roman" w:eastAsia="Times New Roman" w:hAnsi="Times New Roman"/>
          <w:sz w:val="20"/>
          <w:szCs w:val="20"/>
          <w:color w:val="auto"/>
        </w:rPr>
        <w:t>) or subject to any defence, dispute, set off, counterclaim, enforcement, or subject to litigation (</w:t>
      </w:r>
      <w:r>
        <w:rPr>
          <w:rFonts w:ascii="Times New Roman" w:cs="Times New Roman" w:eastAsia="Times New Roman" w:hAnsi="Times New Roman"/>
          <w:sz w:val="20"/>
          <w:szCs w:val="20"/>
          <w:i w:val="1"/>
          <w:iCs w:val="1"/>
          <w:color w:val="auto"/>
        </w:rPr>
        <w:t>litigieuse</w:t>
      </w:r>
      <w:r>
        <w:rPr>
          <w:rFonts w:ascii="Times New Roman" w:cs="Times New Roman" w:eastAsia="Times New Roman" w:hAnsi="Times New Roman"/>
          <w:sz w:val="20"/>
          <w:szCs w:val="20"/>
          <w:color w:val="auto"/>
        </w:rPr>
        <w:t>), unless such set off is duly recorded in the electronic support identifying such receivable and sent to the Agent as for the relevant Settlement Date;</w:t>
      </w:r>
    </w:p>
    <w:p>
      <w:pPr>
        <w:spacing w:after="0" w:line="39" w:lineRule="exact"/>
        <w:rPr>
          <w:rFonts w:ascii="Times New Roman" w:cs="Times New Roman" w:eastAsia="Times New Roman" w:hAnsi="Times New Roman"/>
          <w:sz w:val="20"/>
          <w:szCs w:val="20"/>
          <w:color w:val="auto"/>
        </w:rPr>
      </w:pPr>
    </w:p>
    <w:p>
      <w:pPr>
        <w:ind w:left="772" w:right="780" w:hanging="772"/>
        <w:spacing w:after="0" w:line="311" w:lineRule="auto"/>
        <w:tabs>
          <w:tab w:leader="none" w:pos="76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according to the Accounting Principles, doubtful given the situation of the Debtor, open to challenge, impaired, non-performing or classified to the similar effect under the Accounting Principles;</w:t>
      </w:r>
    </w:p>
    <w:p>
      <w:pPr>
        <w:spacing w:after="0" w:line="65" w:lineRule="exact"/>
        <w:rPr>
          <w:rFonts w:ascii="Times New Roman" w:cs="Times New Roman" w:eastAsia="Times New Roman" w:hAnsi="Times New Roman"/>
          <w:sz w:val="20"/>
          <w:szCs w:val="20"/>
          <w:color w:val="auto"/>
        </w:rPr>
      </w:pPr>
    </w:p>
    <w:p>
      <w:pPr>
        <w:jc w:val="both"/>
        <w:ind w:left="772" w:hanging="772"/>
        <w:spacing w:after="0" w:line="345" w:lineRule="auto"/>
        <w:tabs>
          <w:tab w:leader="none" w:pos="764"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 off is duly recorded in the electronic support identifying such receivable and sent to the Agent as for the relevant Settlement Date;</w:t>
      </w:r>
    </w:p>
    <w:p>
      <w:pPr>
        <w:spacing w:after="0" w:line="61" w:lineRule="exact"/>
        <w:rPr>
          <w:rFonts w:ascii="Times New Roman" w:cs="Times New Roman" w:eastAsia="Times New Roman" w:hAnsi="Times New Roman"/>
          <w:sz w:val="20"/>
          <w:szCs w:val="20"/>
          <w:color w:val="auto"/>
        </w:rPr>
      </w:pPr>
    </w:p>
    <w:p>
      <w:pPr>
        <w:jc w:val="both"/>
        <w:ind w:left="772" w:hanging="772"/>
        <w:spacing w:after="0" w:line="338" w:lineRule="auto"/>
        <w:tabs>
          <w:tab w:leader="none" w:pos="765"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and assignment of such receivable, together with any related security, is valid and effective against creditors of the relevant Seller and other third parties and does not violate any duty of confidentiality, any data protection provisions nor any contractual or other legal restrictions binding on or affecting such Seller or such receivable;</w:t>
      </w:r>
    </w:p>
    <w:p>
      <w:pPr>
        <w:spacing w:after="0" w:line="63" w:lineRule="exact"/>
        <w:rPr>
          <w:rFonts w:ascii="Times New Roman" w:cs="Times New Roman" w:eastAsia="Times New Roman" w:hAnsi="Times New Roman"/>
          <w:sz w:val="20"/>
          <w:szCs w:val="20"/>
          <w:color w:val="auto"/>
        </w:rPr>
      </w:pPr>
    </w:p>
    <w:p>
      <w:pPr>
        <w:jc w:val="both"/>
        <w:ind w:left="772" w:right="20" w:hanging="772"/>
        <w:spacing w:after="0" w:line="347" w:lineRule="auto"/>
        <w:tabs>
          <w:tab w:leader="none" w:pos="766"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Bills of Exchange (</w:t>
      </w:r>
      <w:r>
        <w:rPr>
          <w:rFonts w:ascii="Times New Roman" w:cs="Times New Roman" w:eastAsia="Times New Roman" w:hAnsi="Times New Roman"/>
          <w:sz w:val="20"/>
          <w:szCs w:val="20"/>
          <w:i w:val="1"/>
          <w:iCs w:val="1"/>
          <w:color w:val="auto"/>
        </w:rPr>
        <w:t>lettres de change ou effets de commerce</w:t>
      </w:r>
      <w:r>
        <w:rPr>
          <w:rFonts w:ascii="Times New Roman" w:cs="Times New Roman" w:eastAsia="Times New Roman" w:hAnsi="Times New Roman"/>
          <w:sz w:val="20"/>
          <w:szCs w:val="20"/>
          <w:color w:val="auto"/>
        </w:rPr>
        <w:t>) issued in connection with the receivable have not been (a) discounted (</w:t>
      </w:r>
      <w:r>
        <w:rPr>
          <w:rFonts w:ascii="Times New Roman" w:cs="Times New Roman" w:eastAsia="Times New Roman" w:hAnsi="Times New Roman"/>
          <w:sz w:val="20"/>
          <w:szCs w:val="20"/>
          <w:i w:val="1"/>
          <w:iCs w:val="1"/>
          <w:color w:val="auto"/>
        </w:rPr>
        <w:t>escomptée</w:t>
      </w:r>
      <w:r>
        <w:rPr>
          <w:rFonts w:ascii="Times New Roman" w:cs="Times New Roman" w:eastAsia="Times New Roman" w:hAnsi="Times New Roman"/>
          <w:sz w:val="20"/>
          <w:szCs w:val="20"/>
          <w:color w:val="auto"/>
        </w:rPr>
        <w:t>) or endorsed (</w:t>
      </w:r>
      <w:r>
        <w:rPr>
          <w:rFonts w:ascii="Times New Roman" w:cs="Times New Roman" w:eastAsia="Times New Roman" w:hAnsi="Times New Roman"/>
          <w:sz w:val="20"/>
          <w:szCs w:val="20"/>
          <w:i w:val="1"/>
          <w:iCs w:val="1"/>
          <w:color w:val="auto"/>
        </w:rPr>
        <w:t>endossée</w:t>
      </w:r>
      <w:r>
        <w:rPr>
          <w:rFonts w:ascii="Times New Roman" w:cs="Times New Roman" w:eastAsia="Times New Roman" w:hAnsi="Times New Roman"/>
          <w:sz w:val="20"/>
          <w:szCs w:val="20"/>
          <w:color w:val="auto"/>
        </w:rPr>
        <w:t>) to any person other than the Purchaser nor (b) transferred or delivered by the French Seller to any person other than the Purchaser; and</w:t>
      </w:r>
    </w:p>
    <w:p>
      <w:pPr>
        <w:spacing w:after="0" w:line="59" w:lineRule="exact"/>
        <w:rPr>
          <w:rFonts w:ascii="Times New Roman" w:cs="Times New Roman" w:eastAsia="Times New Roman" w:hAnsi="Times New Roman"/>
          <w:sz w:val="20"/>
          <w:szCs w:val="20"/>
          <w:color w:val="auto"/>
        </w:rPr>
      </w:pPr>
    </w:p>
    <w:p>
      <w:pPr>
        <w:jc w:val="both"/>
        <w:ind w:left="772" w:hanging="772"/>
        <w:spacing w:after="0" w:line="338" w:lineRule="auto"/>
        <w:tabs>
          <w:tab w:leader="none" w:pos="769"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ectPr>
          <w:pgSz w:w="11900" w:h="16838" w:orient="portrait"/>
          <w:cols w:equalWidth="0" w:num="1">
            <w:col w:w="11232"/>
          </w:cols>
          <w:pgMar w:left="328" w:top="1440" w:right="339" w:bottom="1440" w:gutter="0" w:footer="0" w:header="0"/>
        </w:sectPr>
      </w:pPr>
    </w:p>
    <w:bookmarkStart w:id="273" w:name="page274"/>
    <w:bookmarkEnd w:id="27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Conformity warranties for Remaining Purchasable Receivables purchased from the German RPA Sellers</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Each German RPA Seller represents and warrants to the Purchaser that on the Settlement Date on which any receivable shall be proposed for sale, such receivable (a) shall exist, and shall conform to the description given in the definition of "</w:t>
      </w:r>
      <w:r>
        <w:rPr>
          <w:rFonts w:ascii="Times New Roman" w:cs="Times New Roman" w:eastAsia="Times New Roman" w:hAnsi="Times New Roman"/>
          <w:sz w:val="20"/>
          <w:szCs w:val="20"/>
          <w:b w:val="1"/>
          <w:bCs w:val="1"/>
          <w:color w:val="auto"/>
        </w:rPr>
        <w:t>Remaining Purchasable Receivable</w:t>
      </w:r>
      <w:r>
        <w:rPr>
          <w:rFonts w:ascii="Times New Roman" w:cs="Times New Roman" w:eastAsia="Times New Roman" w:hAnsi="Times New Roman"/>
          <w:sz w:val="20"/>
          <w:szCs w:val="20"/>
          <w:color w:val="auto"/>
        </w:rPr>
        <w:t>", (b) shall be identified in the relevant Transfer Deed and the electronic support relating to such Transfer Deed as required therein, and (c) shall have the following characteristics:</w:t>
      </w:r>
    </w:p>
    <w:p>
      <w:pPr>
        <w:spacing w:after="0" w:line="64" w:lineRule="exact"/>
        <w:rPr>
          <w:sz w:val="20"/>
          <w:szCs w:val="20"/>
          <w:color w:val="auto"/>
        </w:rPr>
      </w:pPr>
    </w:p>
    <w:p>
      <w:pPr>
        <w:ind w:left="900" w:hanging="762"/>
        <w:spacing w:after="0" w:line="297" w:lineRule="auto"/>
        <w:tabs>
          <w:tab w:leader="none" w:pos="404"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receivable is binding against the relevant Eligible Debtor and results from the supplying of tyres and/or activities relating thereto in the normal course of the German Seller's business;</w:t>
      </w:r>
    </w:p>
    <w:p>
      <w:pPr>
        <w:spacing w:after="0" w:line="78" w:lineRule="exact"/>
        <w:rPr>
          <w:rFonts w:ascii="Times New Roman" w:cs="Times New Roman" w:eastAsia="Times New Roman" w:hAnsi="Times New Roman"/>
          <w:sz w:val="20"/>
          <w:szCs w:val="20"/>
          <w:color w:val="auto"/>
        </w:rPr>
      </w:pPr>
    </w:p>
    <w:p>
      <w:pPr>
        <w:ind w:left="900" w:hanging="762"/>
        <w:spacing w:after="0" w:line="353" w:lineRule="auto"/>
        <w:tabs>
          <w:tab w:leader="none" w:pos="424"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from which the receivable arises (a) is governed by German law and (b) is characterised as a contract of sale of tyres and activities relating thereto;</w:t>
      </w:r>
    </w:p>
    <w:p>
      <w:pPr>
        <w:spacing w:after="0" w:line="52" w:lineRule="exact"/>
        <w:rPr>
          <w:rFonts w:ascii="Times New Roman" w:cs="Times New Roman" w:eastAsia="Times New Roman" w:hAnsi="Times New Roman"/>
          <w:sz w:val="20"/>
          <w:szCs w:val="20"/>
          <w:color w:val="auto"/>
        </w:rPr>
      </w:pPr>
    </w:p>
    <w:p>
      <w:pPr>
        <w:ind w:left="400" w:hanging="262"/>
        <w:spacing w:after="0"/>
        <w:tabs>
          <w:tab w:leader="none" w:pos="40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payable in Germany or in Luxembourg denominated in Euro;</w:t>
      </w:r>
    </w:p>
    <w:p>
      <w:pPr>
        <w:spacing w:after="0" w:line="184" w:lineRule="exact"/>
        <w:rPr>
          <w:rFonts w:ascii="Times New Roman" w:cs="Times New Roman" w:eastAsia="Times New Roman" w:hAnsi="Times New Roman"/>
          <w:sz w:val="20"/>
          <w:szCs w:val="20"/>
          <w:color w:val="auto"/>
        </w:rPr>
      </w:pPr>
    </w:p>
    <w:p>
      <w:pPr>
        <w:ind w:left="900" w:hanging="762"/>
        <w:spacing w:after="0" w:line="332" w:lineRule="auto"/>
        <w:tabs>
          <w:tab w:leader="none" w:pos="437"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German RPA Seller has performed all its obligations (</w:t>
      </w:r>
      <w:r>
        <w:rPr>
          <w:rFonts w:ascii="Times New Roman" w:cs="Times New Roman" w:eastAsia="Times New Roman" w:hAnsi="Times New Roman"/>
          <w:sz w:val="20"/>
          <w:szCs w:val="20"/>
          <w:i w:val="1"/>
          <w:iCs w:val="1"/>
          <w:color w:val="auto"/>
        </w:rPr>
        <w:t>vollständig erfüllt</w:t>
      </w:r>
      <w:r>
        <w:rPr>
          <w:rFonts w:ascii="Times New Roman" w:cs="Times New Roman" w:eastAsia="Times New Roman" w:hAnsi="Times New Roman"/>
          <w:sz w:val="20"/>
          <w:szCs w:val="20"/>
          <w:color w:val="auto"/>
        </w:rPr>
        <w:t>) under the relevant underlying contract with the relevant Eligible Debtor that gave rise to the receivable and the receivable has been invoiced and any contract relating to any security securing such receivable (a) is valid and legally enforceable, (b) is the basis of legal, valid, binding and legally enforceable obligations of such German RPA Seller and the relevant Eligible Debtor to the contract and the provider of the related security, and (c) complies with any applicable consumer protection laws and/or regulations; and any consent, approval and/or authorisation which might be required for the execution and performance of such contract or with respect to such security has been obtained and no revocation rights (</w:t>
      </w:r>
      <w:r>
        <w:rPr>
          <w:rFonts w:ascii="Times New Roman" w:cs="Times New Roman" w:eastAsia="Times New Roman" w:hAnsi="Times New Roman"/>
          <w:sz w:val="20"/>
          <w:szCs w:val="20"/>
          <w:i w:val="1"/>
          <w:iCs w:val="1"/>
          <w:color w:val="auto"/>
        </w:rPr>
        <w:t>Widerrufsrechte</w:t>
      </w:r>
      <w:r>
        <w:rPr>
          <w:rFonts w:ascii="Times New Roman" w:cs="Times New Roman" w:eastAsia="Times New Roman" w:hAnsi="Times New Roman"/>
          <w:sz w:val="20"/>
          <w:szCs w:val="20"/>
          <w:color w:val="auto"/>
        </w:rPr>
        <w:t>) shall exist;</w:t>
      </w:r>
    </w:p>
    <w:p>
      <w:pPr>
        <w:spacing w:after="0" w:line="72" w:lineRule="exact"/>
        <w:rPr>
          <w:rFonts w:ascii="Times New Roman" w:cs="Times New Roman" w:eastAsia="Times New Roman" w:hAnsi="Times New Roman"/>
          <w:sz w:val="20"/>
          <w:szCs w:val="20"/>
          <w:color w:val="auto"/>
        </w:rPr>
      </w:pPr>
    </w:p>
    <w:p>
      <w:pPr>
        <w:ind w:left="400" w:hanging="262"/>
        <w:spacing w:after="0"/>
        <w:tabs>
          <w:tab w:leader="none" w:pos="40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German RPA Seller has had full title to the receivable either since it was originated;</w:t>
      </w:r>
    </w:p>
    <w:p>
      <w:pPr>
        <w:spacing w:after="0" w:line="202" w:lineRule="exact"/>
        <w:rPr>
          <w:rFonts w:ascii="Times New Roman" w:cs="Times New Roman" w:eastAsia="Times New Roman" w:hAnsi="Times New Roman"/>
          <w:sz w:val="20"/>
          <w:szCs w:val="20"/>
          <w:color w:val="auto"/>
        </w:rPr>
      </w:pPr>
    </w:p>
    <w:p>
      <w:pPr>
        <w:ind w:left="900" w:hanging="762"/>
        <w:spacing w:after="0" w:line="329" w:lineRule="auto"/>
        <w:tabs>
          <w:tab w:leader="none" w:pos="467"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encumbrance or right of any third party exists in respect of the receivable acquired by the Purchaser, which may adversely affect enforceability of the assignment of the receivables; in particular, the receivable is assignable (</w:t>
      </w:r>
      <w:r>
        <w:rPr>
          <w:rFonts w:ascii="Times New Roman" w:cs="Times New Roman" w:eastAsia="Times New Roman" w:hAnsi="Times New Roman"/>
          <w:sz w:val="20"/>
          <w:szCs w:val="20"/>
          <w:i w:val="1"/>
          <w:iCs w:val="1"/>
          <w:color w:val="auto"/>
        </w:rPr>
        <w:t>abtretbar</w:t>
      </w:r>
      <w:r>
        <w:rPr>
          <w:rFonts w:ascii="Times New Roman" w:cs="Times New Roman" w:eastAsia="Times New Roman" w:hAnsi="Times New Roman"/>
          <w:sz w:val="20"/>
          <w:szCs w:val="20"/>
          <w:color w:val="auto"/>
        </w:rPr>
        <w:t>) and therefore not wholly or partly the subject of any assignment (</w:t>
      </w:r>
      <w:r>
        <w:rPr>
          <w:rFonts w:ascii="Times New Roman" w:cs="Times New Roman" w:eastAsia="Times New Roman" w:hAnsi="Times New Roman"/>
          <w:sz w:val="20"/>
          <w:szCs w:val="20"/>
          <w:i w:val="1"/>
          <w:iCs w:val="1"/>
          <w:color w:val="auto"/>
        </w:rPr>
        <w:t>Abtretung</w:t>
      </w:r>
      <w:r>
        <w:rPr>
          <w:rFonts w:ascii="Times New Roman" w:cs="Times New Roman" w:eastAsia="Times New Roman" w:hAnsi="Times New Roman"/>
          <w:sz w:val="20"/>
          <w:szCs w:val="20"/>
          <w:color w:val="auto"/>
        </w:rPr>
        <w:t xml:space="preserve">), delegation, subrogation, attachment or seizure whatsoever, or of any security interest, lien, </w:t>
      </w:r>
      <w:r>
        <w:rPr>
          <w:rFonts w:ascii="Times New Roman" w:cs="Times New Roman" w:eastAsia="Times New Roman" w:hAnsi="Times New Roman"/>
          <w:sz w:val="20"/>
          <w:szCs w:val="20"/>
          <w:i w:val="1"/>
          <w:iCs w:val="1"/>
          <w:color w:val="auto"/>
        </w:rPr>
        <w:t>in rem</w:t>
      </w:r>
      <w:r>
        <w:rPr>
          <w:rFonts w:ascii="Times New Roman" w:cs="Times New Roman" w:eastAsia="Times New Roman" w:hAnsi="Times New Roman"/>
          <w:sz w:val="20"/>
          <w:szCs w:val="20"/>
          <w:color w:val="auto"/>
        </w:rPr>
        <w:t xml:space="preserve"> or personal right in favour of any third party, and the receivable is not contractually required to be transferred or assigned by such German RPA Seller to any entity with whom such German RPA Seller had entered into a factoring agreement, receivables purchase agreement or similar arrangement prior to the 2025 Amendment Date;</w:t>
      </w:r>
    </w:p>
    <w:p>
      <w:pPr>
        <w:spacing w:after="0" w:line="88" w:lineRule="exact"/>
        <w:rPr>
          <w:rFonts w:ascii="Times New Roman" w:cs="Times New Roman" w:eastAsia="Times New Roman" w:hAnsi="Times New Roman"/>
          <w:sz w:val="20"/>
          <w:szCs w:val="20"/>
          <w:color w:val="auto"/>
        </w:rPr>
      </w:pPr>
    </w:p>
    <w:p>
      <w:pPr>
        <w:ind w:left="900" w:hanging="762"/>
        <w:spacing w:after="0" w:line="340" w:lineRule="auto"/>
        <w:tabs>
          <w:tab w:leader="none" w:pos="459"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adverse claim on such receivable arising from extended retention of title arrangements (</w:t>
      </w:r>
      <w:r>
        <w:rPr>
          <w:rFonts w:ascii="Times New Roman" w:cs="Times New Roman" w:eastAsia="Times New Roman" w:hAnsi="Times New Roman"/>
          <w:sz w:val="20"/>
          <w:szCs w:val="20"/>
          <w:i w:val="1"/>
          <w:iCs w:val="1"/>
          <w:color w:val="auto"/>
        </w:rPr>
        <w:t>verlängerter Eigentumsvorbehalt</w:t>
      </w:r>
      <w:r>
        <w:rPr>
          <w:rFonts w:ascii="Times New Roman" w:cs="Times New Roman" w:eastAsia="Times New Roman" w:hAnsi="Times New Roman"/>
          <w:sz w:val="20"/>
          <w:szCs w:val="20"/>
          <w:color w:val="auto"/>
        </w:rPr>
        <w:t>) with the suppliers of such German RPA Seller, and such receivable is not subject to any other Lien than a Lien which would be permitted under Article 10.1.2(vii);</w:t>
      </w:r>
    </w:p>
    <w:p>
      <w:pPr>
        <w:spacing w:after="0" w:line="66" w:lineRule="exact"/>
        <w:rPr>
          <w:rFonts w:ascii="Times New Roman" w:cs="Times New Roman" w:eastAsia="Times New Roman" w:hAnsi="Times New Roman"/>
          <w:sz w:val="20"/>
          <w:szCs w:val="20"/>
          <w:color w:val="auto"/>
        </w:rPr>
      </w:pPr>
    </w:p>
    <w:p>
      <w:pPr>
        <w:ind w:left="400" w:hanging="262"/>
        <w:spacing w:after="0"/>
        <w:tabs>
          <w:tab w:leader="none" w:pos="40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receivable is inclusive of VAT;</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95" w:lineRule="exact"/>
        <w:rPr>
          <w:sz w:val="20"/>
          <w:szCs w:val="20"/>
          <w:color w:val="auto"/>
        </w:rPr>
      </w:pPr>
    </w:p>
    <w:p>
      <w:pPr>
        <w:ind w:left="900" w:hanging="762"/>
        <w:spacing w:after="0" w:line="353" w:lineRule="auto"/>
        <w:tabs>
          <w:tab w:leader="none" w:pos="41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any law or regulation that apply to (a) the receivable and any security interest that attaches thereto and (b) the contract which gives rise to the receivable and security interest(s), have been complied with;</w:t>
      </w:r>
    </w:p>
    <w:p>
      <w:pPr>
        <w:spacing w:after="0" w:line="52" w:lineRule="exact"/>
        <w:rPr>
          <w:rFonts w:ascii="Times New Roman" w:cs="Times New Roman" w:eastAsia="Times New Roman" w:hAnsi="Times New Roman"/>
          <w:sz w:val="20"/>
          <w:szCs w:val="20"/>
          <w:color w:val="auto"/>
        </w:rPr>
      </w:pPr>
    </w:p>
    <w:p>
      <w:pPr>
        <w:ind w:left="900" w:hanging="762"/>
        <w:spacing w:after="0" w:line="367" w:lineRule="auto"/>
        <w:tabs>
          <w:tab w:leader="none" w:pos="423"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has been originated in accordance with such German RPA Seller's Credit and Collection Policies and guidelines, and has been serviced by such German RPA Seller;</w:t>
      </w:r>
    </w:p>
    <w:p>
      <w:pPr>
        <w:spacing w:after="0" w:line="39" w:lineRule="exact"/>
        <w:rPr>
          <w:rFonts w:ascii="Times New Roman" w:cs="Times New Roman" w:eastAsia="Times New Roman" w:hAnsi="Times New Roman"/>
          <w:sz w:val="20"/>
          <w:szCs w:val="20"/>
          <w:color w:val="auto"/>
        </w:rPr>
      </w:pPr>
    </w:p>
    <w:p>
      <w:pPr>
        <w:ind w:left="900" w:hanging="762"/>
        <w:spacing w:after="0" w:line="353" w:lineRule="auto"/>
        <w:tabs>
          <w:tab w:leader="none" w:pos="45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originates from a contract entered into between such German RPA Seller, which in each case constitutes a commercial contract within the meaning of § 343 of the German Commercial Code (</w:t>
      </w:r>
      <w:r>
        <w:rPr>
          <w:rFonts w:ascii="Times New Roman" w:cs="Times New Roman" w:eastAsia="Times New Roman" w:hAnsi="Times New Roman"/>
          <w:sz w:val="20"/>
          <w:szCs w:val="20"/>
          <w:i w:val="1"/>
          <w:iCs w:val="1"/>
          <w:color w:val="auto"/>
        </w:rPr>
        <w:t>HGB</w:t>
      </w:r>
      <w:r>
        <w:rPr>
          <w:rFonts w:ascii="Times New Roman" w:cs="Times New Roman" w:eastAsia="Times New Roman" w:hAnsi="Times New Roman"/>
          <w:sz w:val="20"/>
          <w:szCs w:val="20"/>
          <w:color w:val="auto"/>
        </w:rPr>
        <w:t>) for both parties (</w:t>
      </w:r>
      <w:r>
        <w:rPr>
          <w:rFonts w:ascii="Times New Roman" w:cs="Times New Roman" w:eastAsia="Times New Roman" w:hAnsi="Times New Roman"/>
          <w:sz w:val="20"/>
          <w:szCs w:val="20"/>
          <w:i w:val="1"/>
          <w:iCs w:val="1"/>
          <w:color w:val="auto"/>
        </w:rPr>
        <w:t>beiderseitiges Handelsgeschäft</w:t>
      </w:r>
      <w:r>
        <w:rPr>
          <w:rFonts w:ascii="Times New Roman" w:cs="Times New Roman" w:eastAsia="Times New Roman" w:hAnsi="Times New Roman"/>
          <w:sz w:val="20"/>
          <w:szCs w:val="20"/>
          <w:color w:val="auto"/>
        </w:rPr>
        <w:t>);</w:t>
      </w:r>
    </w:p>
    <w:p>
      <w:pPr>
        <w:spacing w:after="0" w:line="48" w:lineRule="exact"/>
        <w:rPr>
          <w:rFonts w:ascii="Times New Roman" w:cs="Times New Roman" w:eastAsia="Times New Roman" w:hAnsi="Times New Roman"/>
          <w:sz w:val="20"/>
          <w:szCs w:val="20"/>
          <w:color w:val="auto"/>
        </w:rPr>
      </w:pPr>
    </w:p>
    <w:p>
      <w:pPr>
        <w:ind w:left="900" w:hanging="762"/>
        <w:spacing w:after="0" w:line="340" w:lineRule="auto"/>
        <w:tabs>
          <w:tab w:leader="none" w:pos="47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or related security is not non-negotiable (</w:t>
      </w:r>
      <w:r>
        <w:rPr>
          <w:rFonts w:ascii="Times New Roman" w:cs="Times New Roman" w:eastAsia="Times New Roman" w:hAnsi="Times New Roman"/>
          <w:sz w:val="20"/>
          <w:szCs w:val="20"/>
          <w:i w:val="1"/>
          <w:iCs w:val="1"/>
          <w:color w:val="auto"/>
        </w:rPr>
        <w:t>unübertragbar</w:t>
      </w:r>
      <w:r>
        <w:rPr>
          <w:rFonts w:ascii="Times New Roman" w:cs="Times New Roman" w:eastAsia="Times New Roman" w:hAnsi="Times New Roman"/>
          <w:sz w:val="20"/>
          <w:szCs w:val="20"/>
          <w:color w:val="auto"/>
        </w:rPr>
        <w:t>), it neither open to challenge (</w:t>
      </w:r>
      <w:r>
        <w:rPr>
          <w:rFonts w:ascii="Times New Roman" w:cs="Times New Roman" w:eastAsia="Times New Roman" w:hAnsi="Times New Roman"/>
          <w:sz w:val="20"/>
          <w:szCs w:val="20"/>
          <w:i w:val="1"/>
          <w:iCs w:val="1"/>
          <w:color w:val="auto"/>
        </w:rPr>
        <w:t>anfechtbar</w:t>
      </w:r>
      <w:r>
        <w:rPr>
          <w:rFonts w:ascii="Times New Roman" w:cs="Times New Roman" w:eastAsia="Times New Roman" w:hAnsi="Times New Roman"/>
          <w:sz w:val="20"/>
          <w:szCs w:val="20"/>
          <w:color w:val="auto"/>
        </w:rPr>
        <w:t>) nor subject to any defence, dispute, set-off, right of retention, enforcement, or subject to litigation (</w:t>
      </w:r>
      <w:r>
        <w:rPr>
          <w:rFonts w:ascii="Times New Roman" w:cs="Times New Roman" w:eastAsia="Times New Roman" w:hAnsi="Times New Roman"/>
          <w:sz w:val="20"/>
          <w:szCs w:val="20"/>
          <w:i w:val="1"/>
          <w:iCs w:val="1"/>
          <w:color w:val="auto"/>
        </w:rPr>
        <w:t>streitbefangen oder rechtshängig</w:t>
      </w:r>
      <w:r>
        <w:rPr>
          <w:rFonts w:ascii="Times New Roman" w:cs="Times New Roman" w:eastAsia="Times New Roman" w:hAnsi="Times New Roman"/>
          <w:sz w:val="20"/>
          <w:szCs w:val="20"/>
          <w:color w:val="auto"/>
        </w:rPr>
        <w:t>), unless such set off is duly recorded in the electronic identifying such receivable and sent to the Agent on the relevant Settlement Date;</w:t>
      </w:r>
    </w:p>
    <w:p>
      <w:pPr>
        <w:spacing w:after="0" w:line="79" w:lineRule="exact"/>
        <w:rPr>
          <w:rFonts w:ascii="Times New Roman" w:cs="Times New Roman" w:eastAsia="Times New Roman" w:hAnsi="Times New Roman"/>
          <w:sz w:val="20"/>
          <w:szCs w:val="20"/>
          <w:color w:val="auto"/>
        </w:rPr>
      </w:pPr>
    </w:p>
    <w:p>
      <w:pPr>
        <w:ind w:left="900" w:hanging="762"/>
        <w:spacing w:after="0" w:line="353" w:lineRule="auto"/>
        <w:tabs>
          <w:tab w:leader="none" w:pos="458"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according to the Accounting Principles, doubtful given the situation of the Debtor, open to challenge, impaired, non-performing or classified to the similar effect under the Accounting Principles;</w:t>
      </w:r>
    </w:p>
    <w:p>
      <w:pPr>
        <w:spacing w:after="0" w:line="52" w:lineRule="exact"/>
        <w:rPr>
          <w:rFonts w:ascii="Times New Roman" w:cs="Times New Roman" w:eastAsia="Times New Roman" w:hAnsi="Times New Roman"/>
          <w:sz w:val="20"/>
          <w:szCs w:val="20"/>
          <w:color w:val="auto"/>
        </w:rPr>
      </w:pPr>
    </w:p>
    <w:p>
      <w:pPr>
        <w:ind w:left="900" w:hanging="762"/>
        <w:spacing w:after="0" w:line="338" w:lineRule="auto"/>
        <w:tabs>
          <w:tab w:leader="none" w:pos="430"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set-off is duly recorded in the electronic support identifying such receivable and sent to the Agent as for the relevant Settlement Date;</w:t>
      </w:r>
    </w:p>
    <w:p>
      <w:pPr>
        <w:spacing w:after="0" w:line="67" w:lineRule="exact"/>
        <w:rPr>
          <w:rFonts w:ascii="Times New Roman" w:cs="Times New Roman" w:eastAsia="Times New Roman" w:hAnsi="Times New Roman"/>
          <w:sz w:val="20"/>
          <w:szCs w:val="20"/>
          <w:color w:val="auto"/>
        </w:rPr>
      </w:pPr>
    </w:p>
    <w:p>
      <w:pPr>
        <w:ind w:left="900" w:hanging="762"/>
        <w:spacing w:after="0" w:line="345" w:lineRule="auto"/>
        <w:tabs>
          <w:tab w:leader="none" w:pos="474"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and assignment of such receivable, together with any related security, is valid and effective against creditors of the relevant Seller and any other party and does not violate any duty of confidentiality, any applicable data protection provisions nor any contractual or other legal restrictions binding on or affecting such Seller or such Receivable; and</w:t>
      </w:r>
    </w:p>
    <w:p>
      <w:pPr>
        <w:spacing w:after="0" w:line="57" w:lineRule="exact"/>
        <w:rPr>
          <w:rFonts w:ascii="Times New Roman" w:cs="Times New Roman" w:eastAsia="Times New Roman" w:hAnsi="Times New Roman"/>
          <w:sz w:val="20"/>
          <w:szCs w:val="20"/>
          <w:color w:val="auto"/>
        </w:rPr>
      </w:pPr>
    </w:p>
    <w:p>
      <w:pPr>
        <w:ind w:left="900" w:hanging="762"/>
        <w:spacing w:after="0" w:line="357" w:lineRule="auto"/>
        <w:tabs>
          <w:tab w:leader="none" w:pos="420"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Bills of Exchange (</w:t>
      </w:r>
      <w:r>
        <w:rPr>
          <w:rFonts w:ascii="Times New Roman" w:cs="Times New Roman" w:eastAsia="Times New Roman" w:hAnsi="Times New Roman"/>
          <w:sz w:val="20"/>
          <w:szCs w:val="20"/>
          <w:i w:val="1"/>
          <w:iCs w:val="1"/>
          <w:color w:val="auto"/>
        </w:rPr>
        <w:t>Wechsel</w:t>
      </w:r>
      <w:r>
        <w:rPr>
          <w:rFonts w:ascii="Times New Roman" w:cs="Times New Roman" w:eastAsia="Times New Roman" w:hAnsi="Times New Roman"/>
          <w:sz w:val="20"/>
          <w:szCs w:val="20"/>
          <w:color w:val="auto"/>
        </w:rPr>
        <w:t>) issued in connection with the receivables have not been (a) discounted or endorsed to any person other than the Purchaser, or (b) transferred and delivered by the German Seller to any person other than the Purchaser.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Conformity warranties for Remaining Purchasable Receivables purchased from the UK RPA Sellers</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Each UK RPA Seller represents and warrants to the Purchaser that on the Settlement Date during the Replenishment Period on which any receivable shall be proposed for sale, such receivable (a) shall exist, and shall conform to the description given in the definition of "</w:t>
      </w:r>
      <w:r>
        <w:rPr>
          <w:rFonts w:ascii="Times New Roman" w:cs="Times New Roman" w:eastAsia="Times New Roman" w:hAnsi="Times New Roman"/>
          <w:sz w:val="20"/>
          <w:szCs w:val="20"/>
          <w:b w:val="1"/>
          <w:bCs w:val="1"/>
          <w:color w:val="auto"/>
        </w:rPr>
        <w:t>Remaining Purchasable Receivable</w:t>
      </w:r>
      <w:r>
        <w:rPr>
          <w:rFonts w:ascii="Times New Roman" w:cs="Times New Roman" w:eastAsia="Times New Roman" w:hAnsi="Times New Roman"/>
          <w:sz w:val="20"/>
          <w:szCs w:val="20"/>
          <w:color w:val="auto"/>
        </w:rPr>
        <w:t>", (b) shall be identified in the relevant Transfer Deed and the electronic support relating to such Transfer Deed as required therein, and (c) shall have the following characteristics:</w:t>
      </w:r>
    </w:p>
    <w:p>
      <w:pPr>
        <w:spacing w:after="0" w:line="105" w:lineRule="exact"/>
        <w:rPr>
          <w:sz w:val="20"/>
          <w:szCs w:val="20"/>
          <w:color w:val="auto"/>
        </w:rPr>
      </w:pPr>
    </w:p>
    <w:p>
      <w:pPr>
        <w:ind w:left="780" w:right="20" w:hanging="772"/>
        <w:spacing w:after="0" w:line="353" w:lineRule="auto"/>
        <w:tabs>
          <w:tab w:leader="none" w:pos="768"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from which the receivable arises (a) is governed by the laws of England and Wales and (b) is characterised as a contract of sale of tyres and activities relating thereto;</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95" w:lineRule="exact"/>
        <w:rPr>
          <w:sz w:val="20"/>
          <w:szCs w:val="20"/>
          <w:color w:val="auto"/>
        </w:rPr>
      </w:pPr>
    </w:p>
    <w:p>
      <w:pPr>
        <w:jc w:val="both"/>
        <w:ind w:left="772" w:hanging="772"/>
        <w:spacing w:after="0" w:line="324" w:lineRule="auto"/>
        <w:tabs>
          <w:tab w:leader="none" w:pos="761"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UK RPA Seller has performed its obligations under the relevant underlying contract with the relevant Eligible Debtor that gave rise to the receivable, the receivable has been invoiced and any contract relating to the any security securing such receivable</w:t>
      </w:r>
    </w:p>
    <w:p>
      <w:pPr>
        <w:jc w:val="both"/>
        <w:ind w:left="772" w:hanging="6"/>
        <w:spacing w:after="0" w:line="338" w:lineRule="auto"/>
        <w:tabs>
          <w:tab w:leader="none" w:pos="106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valid and enforceable, (b) is the basis of legal, valid, binding and enforceable obligations of such UK RPA Seller and the relevant Eligible Debtor to the contract and provider of the related security, and (c) complies with any applicable consumer protection laws and/or regulations; any consent, approval and/or authorisation which might be required for the execution and performance of such contract or with respect to such security has been obtained and no revocation rights exist;</w:t>
      </w:r>
    </w:p>
    <w:p>
      <w:pPr>
        <w:spacing w:after="0" w:line="68" w:lineRule="exact"/>
        <w:rPr>
          <w:sz w:val="20"/>
          <w:szCs w:val="20"/>
          <w:color w:val="auto"/>
        </w:rPr>
      </w:pPr>
    </w:p>
    <w:p>
      <w:pPr>
        <w:ind w:left="752" w:hanging="752"/>
        <w:spacing w:after="0"/>
        <w:tabs>
          <w:tab w:leader="none" w:pos="752"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UK RPA Seller has had full title to the receivable since it was originated and no revocation rights exist;</w:t>
      </w:r>
    </w:p>
    <w:p>
      <w:pPr>
        <w:spacing w:after="0" w:line="188" w:lineRule="exact"/>
        <w:rPr>
          <w:rFonts w:ascii="Times New Roman" w:cs="Times New Roman" w:eastAsia="Times New Roman" w:hAnsi="Times New Roman"/>
          <w:sz w:val="20"/>
          <w:szCs w:val="20"/>
          <w:color w:val="auto"/>
        </w:rPr>
      </w:pPr>
    </w:p>
    <w:p>
      <w:pPr>
        <w:jc w:val="both"/>
        <w:ind w:left="772" w:hanging="772"/>
        <w:spacing w:after="0" w:line="332" w:lineRule="auto"/>
        <w:tabs>
          <w:tab w:leader="none" w:pos="764"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no impediment to the transfer of the receivable to the Purchaser, which may adversely affect enforceability of the assignment of the receivables; in particular, the receivable is not wholly or partly the subject of any assignment, delegation, subrogation, attachment or seizure whatsoever, or of any security interest, lien, </w:t>
      </w:r>
      <w:r>
        <w:rPr>
          <w:rFonts w:ascii="Times New Roman" w:cs="Times New Roman" w:eastAsia="Times New Roman" w:hAnsi="Times New Roman"/>
          <w:sz w:val="20"/>
          <w:szCs w:val="20"/>
          <w:i w:val="1"/>
          <w:iCs w:val="1"/>
          <w:color w:val="auto"/>
        </w:rPr>
        <w:t>in rem</w:t>
      </w:r>
      <w:r>
        <w:rPr>
          <w:rFonts w:ascii="Times New Roman" w:cs="Times New Roman" w:eastAsia="Times New Roman" w:hAnsi="Times New Roman"/>
          <w:sz w:val="20"/>
          <w:szCs w:val="20"/>
          <w:color w:val="auto"/>
        </w:rPr>
        <w:t xml:space="preserve"> or personal right in favour of a third party or encumbrance whatsoever, and the receivable is not contractually required to be transferred or assigned by such UK RPA Seller to any entity with whom such UK RPA Seller had entered into a factoring agreement, receivables purchase agreement or similar arrangement prior to the 2025 Amendment Date;</w:t>
      </w:r>
    </w:p>
    <w:p>
      <w:pPr>
        <w:spacing w:after="0" w:line="75" w:lineRule="exact"/>
        <w:rPr>
          <w:rFonts w:ascii="Times New Roman" w:cs="Times New Roman" w:eastAsia="Times New Roman" w:hAnsi="Times New Roman"/>
          <w:sz w:val="20"/>
          <w:szCs w:val="20"/>
          <w:color w:val="auto"/>
        </w:rPr>
      </w:pPr>
    </w:p>
    <w:p>
      <w:pPr>
        <w:jc w:val="both"/>
        <w:ind w:left="772" w:hanging="772"/>
        <w:spacing w:after="0" w:line="345" w:lineRule="auto"/>
        <w:tabs>
          <w:tab w:leader="none" w:pos="763"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adverse claim on such receivable arising from retention of title arrangements (whether ordinary or extended) with the suppliers of such UK RPA Seller, and such receivable is not subject to any other Lien than a Lien which would be permitted under Article 10.1.2(viii);</w:t>
      </w:r>
    </w:p>
    <w:p>
      <w:pPr>
        <w:spacing w:after="0" w:line="61"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receivable is inclusive of VAT;</w:t>
      </w:r>
    </w:p>
    <w:p>
      <w:pPr>
        <w:spacing w:after="0" w:line="188" w:lineRule="exact"/>
        <w:rPr>
          <w:rFonts w:ascii="Times New Roman" w:cs="Times New Roman" w:eastAsia="Times New Roman" w:hAnsi="Times New Roman"/>
          <w:sz w:val="20"/>
          <w:szCs w:val="20"/>
          <w:color w:val="auto"/>
        </w:rPr>
      </w:pPr>
    </w:p>
    <w:p>
      <w:pPr>
        <w:ind w:left="772" w:right="20" w:hanging="772"/>
        <w:spacing w:after="0" w:line="353" w:lineRule="auto"/>
        <w:tabs>
          <w:tab w:leader="none" w:pos="765"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any law or regulation that apply to (a) the receivable and any security interest that might attach thereto and (b) any contract which gives rise to the receivable and security interest(s), have been complied with;</w:t>
      </w:r>
    </w:p>
    <w:p>
      <w:pPr>
        <w:spacing w:after="0" w:line="52" w:lineRule="exact"/>
        <w:rPr>
          <w:rFonts w:ascii="Times New Roman" w:cs="Times New Roman" w:eastAsia="Times New Roman" w:hAnsi="Times New Roman"/>
          <w:sz w:val="20"/>
          <w:szCs w:val="20"/>
          <w:color w:val="auto"/>
        </w:rPr>
      </w:pPr>
    </w:p>
    <w:p>
      <w:pPr>
        <w:jc w:val="both"/>
        <w:ind w:left="772" w:hanging="772"/>
        <w:spacing w:after="0" w:line="345" w:lineRule="auto"/>
        <w:tabs>
          <w:tab w:leader="none" w:pos="766"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has been originated in accordance with such UK RPA Seller's Credit and Collection Policies and guidelines, and has been serviced by such UK RPA Seller since the date on which it was originated in accordance with the applicable statutes and regulations;</w:t>
      </w:r>
    </w:p>
    <w:p>
      <w:pPr>
        <w:spacing w:after="0" w:line="61" w:lineRule="exact"/>
        <w:rPr>
          <w:rFonts w:ascii="Times New Roman" w:cs="Times New Roman" w:eastAsia="Times New Roman" w:hAnsi="Times New Roman"/>
          <w:sz w:val="20"/>
          <w:szCs w:val="20"/>
          <w:color w:val="auto"/>
        </w:rPr>
      </w:pPr>
    </w:p>
    <w:p>
      <w:pPr>
        <w:jc w:val="both"/>
        <w:ind w:left="772" w:hanging="772"/>
        <w:spacing w:after="0" w:line="338" w:lineRule="auto"/>
        <w:tabs>
          <w:tab w:leader="none" w:pos="764"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non-negotiable or subject to any defence, dispute, set off, counterclaim, enforcement, or subject to litigation, unless such set off is duly recorded in the electronic support identifying such receivable and sent to the Agent as for the relevant Settlement Date;</w:t>
      </w:r>
    </w:p>
    <w:p>
      <w:pPr>
        <w:spacing w:after="0" w:line="67" w:lineRule="exact"/>
        <w:rPr>
          <w:rFonts w:ascii="Times New Roman" w:cs="Times New Roman" w:eastAsia="Times New Roman" w:hAnsi="Times New Roman"/>
          <w:sz w:val="20"/>
          <w:szCs w:val="20"/>
          <w:color w:val="auto"/>
        </w:rPr>
      </w:pPr>
    </w:p>
    <w:p>
      <w:pPr>
        <w:ind w:left="772" w:hanging="772"/>
        <w:spacing w:after="0" w:line="367" w:lineRule="auto"/>
        <w:tabs>
          <w:tab w:leader="none" w:pos="763"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according to the Accounting Principles, doubtful given the situation of the Debtor, open to challenge, impaired, non-performing or classified to the similar effect under the Accounting Principles;</w:t>
      </w:r>
    </w:p>
    <w:p>
      <w:pPr>
        <w:sectPr>
          <w:pgSz w:w="11900" w:h="16838" w:orient="portrait"/>
          <w:cols w:equalWidth="0" w:num="1">
            <w:col w:w="11232"/>
          </w:cols>
          <w:pgMar w:left="328" w:top="1440" w:right="339" w:bottom="1440" w:gutter="0" w:footer="0" w:header="0"/>
        </w:sectPr>
      </w:pPr>
    </w:p>
    <w:bookmarkStart w:id="276" w:name="page277"/>
    <w:bookmarkEnd w:id="276"/>
    <w:p>
      <w:pPr>
        <w:spacing w:after="0" w:line="95" w:lineRule="exact"/>
        <w:rPr>
          <w:sz w:val="20"/>
          <w:szCs w:val="20"/>
          <w:color w:val="auto"/>
        </w:rPr>
      </w:pPr>
    </w:p>
    <w:p>
      <w:pPr>
        <w:jc w:val="both"/>
        <w:ind w:left="780" w:hanging="772"/>
        <w:spacing w:after="0" w:line="338" w:lineRule="auto"/>
        <w:tabs>
          <w:tab w:leader="none" w:pos="772"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set-off is duly recorded in the electronic support identifying such receivable and sent to the Agent on the relevant Settlement Date;</w:t>
      </w:r>
    </w:p>
    <w:p>
      <w:pPr>
        <w:spacing w:after="0" w:line="81" w:lineRule="exact"/>
        <w:rPr>
          <w:rFonts w:ascii="Times New Roman" w:cs="Times New Roman" w:eastAsia="Times New Roman" w:hAnsi="Times New Roman"/>
          <w:sz w:val="20"/>
          <w:szCs w:val="20"/>
          <w:color w:val="auto"/>
        </w:rPr>
      </w:pPr>
    </w:p>
    <w:p>
      <w:pPr>
        <w:jc w:val="both"/>
        <w:ind w:left="780" w:hanging="772"/>
        <w:spacing w:after="0" w:line="338" w:lineRule="auto"/>
        <w:tabs>
          <w:tab w:leader="none" w:pos="773"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and assignment of such receivable, together with any related security, is valid and effective against creditors of the relevant Seller and other third parties and does not violate any duty of confidentiality, any data protection provisions nor any contractual or other legal restrictions binding on or affecting such Seller or such receivable;</w:t>
      </w:r>
    </w:p>
    <w:p>
      <w:pPr>
        <w:spacing w:after="0" w:line="67" w:lineRule="exact"/>
        <w:rPr>
          <w:rFonts w:ascii="Times New Roman" w:cs="Times New Roman" w:eastAsia="Times New Roman" w:hAnsi="Times New Roman"/>
          <w:sz w:val="20"/>
          <w:szCs w:val="20"/>
          <w:color w:val="auto"/>
        </w:rPr>
      </w:pPr>
    </w:p>
    <w:p>
      <w:pPr>
        <w:ind w:left="780" w:hanging="772"/>
        <w:spacing w:after="0" w:line="353" w:lineRule="auto"/>
        <w:tabs>
          <w:tab w:leader="none" w:pos="77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Bills of Exchange issued in connection with the receivable have not been (a) discounted or endorsed to any person other than the Purchaser nor (b) transferred or delivered by such UK RPA Seller to any person other than the Purchaser;</w:t>
      </w:r>
    </w:p>
    <w:p>
      <w:pPr>
        <w:spacing w:after="0" w:line="52" w:lineRule="exact"/>
        <w:rPr>
          <w:rFonts w:ascii="Times New Roman" w:cs="Times New Roman" w:eastAsia="Times New Roman" w:hAnsi="Times New Roman"/>
          <w:sz w:val="20"/>
          <w:szCs w:val="20"/>
          <w:color w:val="auto"/>
        </w:rPr>
      </w:pPr>
    </w:p>
    <w:p>
      <w:pPr>
        <w:jc w:val="both"/>
        <w:ind w:left="780" w:hanging="772"/>
        <w:spacing w:after="0" w:line="338" w:lineRule="auto"/>
        <w:tabs>
          <w:tab w:leader="none" w:pos="777"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pacing w:after="0" w:line="6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shall not carry any right to interest other than default interest; and</w:t>
      </w:r>
    </w:p>
    <w:p>
      <w:pPr>
        <w:spacing w:after="0" w:line="188" w:lineRule="exact"/>
        <w:rPr>
          <w:rFonts w:ascii="Times New Roman" w:cs="Times New Roman" w:eastAsia="Times New Roman" w:hAnsi="Times New Roman"/>
          <w:sz w:val="20"/>
          <w:szCs w:val="20"/>
          <w:color w:val="auto"/>
        </w:rPr>
      </w:pPr>
    </w:p>
    <w:p>
      <w:pPr>
        <w:ind w:left="780" w:hanging="772"/>
        <w:spacing w:after="0"/>
        <w:tabs>
          <w:tab w:leader="none" w:pos="780"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denominated in British Pounds or Euros.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Conformity warranties for Remaining Purchasable Receivables purchased from the Spanish RPA Sellers</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Each Spanish RPA Seller represents and warrants to the Purchaser that on the Settlement Date during the Replenishment Period on which any receivable shall be proposed for sale, such receivable (a) shall exist, and shall conform to the description given in the definition of "</w:t>
      </w:r>
      <w:r>
        <w:rPr>
          <w:rFonts w:ascii="Times New Roman" w:cs="Times New Roman" w:eastAsia="Times New Roman" w:hAnsi="Times New Roman"/>
          <w:sz w:val="20"/>
          <w:szCs w:val="20"/>
          <w:b w:val="1"/>
          <w:bCs w:val="1"/>
          <w:color w:val="auto"/>
        </w:rPr>
        <w:t>Remaining Purchasable Receivable</w:t>
      </w:r>
      <w:r>
        <w:rPr>
          <w:rFonts w:ascii="Times New Roman" w:cs="Times New Roman" w:eastAsia="Times New Roman" w:hAnsi="Times New Roman"/>
          <w:sz w:val="20"/>
          <w:szCs w:val="20"/>
          <w:color w:val="auto"/>
        </w:rPr>
        <w:t>", (b) shall be identified in the relevant Transfer Deed and the electronic support relating to such Transfer Deed as required therein, and (c) shall have the following characteristics:</w:t>
      </w:r>
    </w:p>
    <w:p>
      <w:pPr>
        <w:spacing w:after="0" w:line="105" w:lineRule="exact"/>
        <w:rPr>
          <w:sz w:val="20"/>
          <w:szCs w:val="20"/>
          <w:color w:val="auto"/>
        </w:rPr>
      </w:pPr>
    </w:p>
    <w:p>
      <w:pPr>
        <w:ind w:left="780" w:hanging="772"/>
        <w:spacing w:after="0" w:line="353" w:lineRule="auto"/>
        <w:tabs>
          <w:tab w:leader="none" w:pos="768"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binding against the relevant Eligible Debtor and results from the supplying of tyres in the normal course of such Spanish RPA Seller's business;</w:t>
      </w:r>
    </w:p>
    <w:p>
      <w:pPr>
        <w:spacing w:after="0" w:line="52" w:lineRule="exact"/>
        <w:rPr>
          <w:rFonts w:ascii="Times New Roman" w:cs="Times New Roman" w:eastAsia="Times New Roman" w:hAnsi="Times New Roman"/>
          <w:sz w:val="20"/>
          <w:szCs w:val="20"/>
          <w:color w:val="auto"/>
        </w:rPr>
      </w:pPr>
    </w:p>
    <w:p>
      <w:pPr>
        <w:ind w:left="780" w:right="20" w:hanging="772"/>
        <w:spacing w:after="0" w:line="353" w:lineRule="auto"/>
        <w:tabs>
          <w:tab w:leader="none" w:pos="769"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from which the receivable arises (a) is governed by Spanish law and (b) corresponds to a contract for the sale of tyres and activities relating thereto;</w:t>
      </w:r>
    </w:p>
    <w:p>
      <w:pPr>
        <w:spacing w:after="0" w:line="6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complies with the description given on the Transfer Deed and any related electronic support;</w:t>
      </w:r>
    </w:p>
    <w:p>
      <w:pPr>
        <w:spacing w:after="0" w:line="188" w:lineRule="exact"/>
        <w:rPr>
          <w:rFonts w:ascii="Times New Roman" w:cs="Times New Roman" w:eastAsia="Times New Roman" w:hAnsi="Times New Roman"/>
          <w:sz w:val="20"/>
          <w:szCs w:val="20"/>
          <w:color w:val="auto"/>
        </w:rPr>
      </w:pPr>
    </w:p>
    <w:p>
      <w:pPr>
        <w:jc w:val="both"/>
        <w:ind w:left="780" w:hanging="772"/>
        <w:spacing w:after="0" w:line="341" w:lineRule="auto"/>
        <w:tabs>
          <w:tab w:leader="none" w:pos="772" w:val="left"/>
        </w:tabs>
        <w:numPr>
          <w:ilvl w:val="0"/>
          <w:numId w:val="4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Spanish RPA Seller has performed its obligations under the relevant commercial contract with the relevant Eligible Debtor that gave rise to the receivable, and the receivable has been invoiced and any contract relating to any security securing such receivable</w:t>
      </w:r>
    </w:p>
    <w:p>
      <w:pPr>
        <w:jc w:val="both"/>
        <w:ind w:left="780" w:hanging="6"/>
        <w:spacing w:after="0" w:line="338" w:lineRule="auto"/>
        <w:tabs>
          <w:tab w:leader="none" w:pos="1050"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valid and enforceable, (b) is the basis of legal, valid, binding and enforceable obligations of both such Spanish RPA Seller and the relevant Debtor to the contract and provider of the related security, and (c) complies, as the case may be, with any applicable consumer</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95" w:lineRule="exact"/>
        <w:rPr>
          <w:sz w:val="20"/>
          <w:szCs w:val="20"/>
          <w:color w:val="auto"/>
        </w:rPr>
      </w:pPr>
    </w:p>
    <w:p>
      <w:pPr>
        <w:ind w:left="772"/>
        <w:spacing w:after="0" w:line="353" w:lineRule="auto"/>
        <w:rPr>
          <w:sz w:val="20"/>
          <w:szCs w:val="20"/>
          <w:color w:val="auto"/>
        </w:rPr>
      </w:pPr>
      <w:r>
        <w:rPr>
          <w:rFonts w:ascii="Times New Roman" w:cs="Times New Roman" w:eastAsia="Times New Roman" w:hAnsi="Times New Roman"/>
          <w:sz w:val="20"/>
          <w:szCs w:val="20"/>
          <w:color w:val="auto"/>
        </w:rPr>
        <w:t>protection laws and/or regulations; any consent, approval and/or authorisation which might be required for the execution and performance of the contract from which the receivable arises or in relation to such security thereof has been obtained;</w:t>
      </w:r>
    </w:p>
    <w:p>
      <w:pPr>
        <w:spacing w:after="0" w:line="52" w:lineRule="exact"/>
        <w:rPr>
          <w:sz w:val="20"/>
          <w:szCs w:val="20"/>
          <w:color w:val="auto"/>
        </w:rPr>
      </w:pPr>
    </w:p>
    <w:p>
      <w:pPr>
        <w:ind w:left="772" w:hanging="772"/>
        <w:spacing w:after="0" w:line="367" w:lineRule="auto"/>
        <w:tabs>
          <w:tab w:leader="none" w:pos="763"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Spanish RPA Seller has had full title to the receivable since it was originated, except if it was sold by such Spanish RPA Seller and repurchased by such Spanish RPA Seller on or before the Initial Settlement Date;</w:t>
      </w:r>
    </w:p>
    <w:p>
      <w:pPr>
        <w:spacing w:after="0" w:line="39" w:lineRule="exact"/>
        <w:rPr>
          <w:rFonts w:ascii="Times New Roman" w:cs="Times New Roman" w:eastAsia="Times New Roman" w:hAnsi="Times New Roman"/>
          <w:sz w:val="20"/>
          <w:szCs w:val="20"/>
          <w:color w:val="auto"/>
        </w:rPr>
      </w:pPr>
    </w:p>
    <w:p>
      <w:pPr>
        <w:jc w:val="both"/>
        <w:ind w:left="772" w:hanging="772"/>
        <w:spacing w:after="0" w:line="332" w:lineRule="auto"/>
        <w:tabs>
          <w:tab w:leader="none" w:pos="764"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no impediment to the transfer of the receivable to the Purchaser, which may adversely affect enforceability of the assignment of the receivables; in particular, the receivable is not wholly or partly the subject of any assignment, delegation, subrogation, attachment or seizure whatsoever, or of any security interest, lien, </w:t>
      </w:r>
      <w:r>
        <w:rPr>
          <w:rFonts w:ascii="Times New Roman" w:cs="Times New Roman" w:eastAsia="Times New Roman" w:hAnsi="Times New Roman"/>
          <w:sz w:val="20"/>
          <w:szCs w:val="20"/>
          <w:i w:val="1"/>
          <w:iCs w:val="1"/>
          <w:color w:val="auto"/>
        </w:rPr>
        <w:t>in rem</w:t>
      </w:r>
      <w:r>
        <w:rPr>
          <w:rFonts w:ascii="Times New Roman" w:cs="Times New Roman" w:eastAsia="Times New Roman" w:hAnsi="Times New Roman"/>
          <w:sz w:val="20"/>
          <w:szCs w:val="20"/>
          <w:color w:val="auto"/>
        </w:rPr>
        <w:t xml:space="preserve"> or personal right in favour of a third party or encumbrance whatsoever, and the receivable is not contractually required to be transferred or assigned by such Spanish RPA Seller to any entity with whom such Spanish RPA Seller had entered into a factoring agreement, receivables purchase agreement or similar arrangement prior to the 2025 Amendment Date;</w:t>
      </w:r>
    </w:p>
    <w:p>
      <w:pPr>
        <w:spacing w:after="0" w:line="75" w:lineRule="exact"/>
        <w:rPr>
          <w:rFonts w:ascii="Times New Roman" w:cs="Times New Roman" w:eastAsia="Times New Roman" w:hAnsi="Times New Roman"/>
          <w:sz w:val="20"/>
          <w:szCs w:val="20"/>
          <w:color w:val="auto"/>
        </w:rPr>
      </w:pPr>
    </w:p>
    <w:p>
      <w:pPr>
        <w:jc w:val="both"/>
        <w:ind w:left="772" w:hanging="772"/>
        <w:spacing w:after="0" w:line="338" w:lineRule="auto"/>
        <w:tabs>
          <w:tab w:leader="none" w:pos="765"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adverse claim on such receivable arising from retention of title arrangements (whether ordinary or extended) with the suppliers of such Spanish RPA Seller, and such receivable is not subject to any other Lien than a Lien which would be permitted under Article 10.1.2(vii);</w:t>
      </w:r>
    </w:p>
    <w:p>
      <w:pPr>
        <w:spacing w:after="0" w:line="67"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receivable is inclusive of VAT;</w:t>
      </w:r>
    </w:p>
    <w:p>
      <w:pPr>
        <w:spacing w:after="0" w:line="188" w:lineRule="exact"/>
        <w:rPr>
          <w:rFonts w:ascii="Times New Roman" w:cs="Times New Roman" w:eastAsia="Times New Roman" w:hAnsi="Times New Roman"/>
          <w:sz w:val="20"/>
          <w:szCs w:val="20"/>
          <w:color w:val="auto"/>
        </w:rPr>
      </w:pPr>
    </w:p>
    <w:p>
      <w:pPr>
        <w:jc w:val="both"/>
        <w:ind w:left="772" w:hanging="772"/>
        <w:spacing w:after="0" w:line="345" w:lineRule="auto"/>
        <w:tabs>
          <w:tab w:leader="none" w:pos="764"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and purchase of the receivable meets in particular all conditions set out in paragraph 1 of the third additional provision of Spanish Law 1/1999, of 5 January 1999, on venture-capital undertakings and their management companies. Such conditions are as follows at the date hereof:</w:t>
      </w:r>
    </w:p>
    <w:p>
      <w:pPr>
        <w:spacing w:after="0" w:line="34" w:lineRule="exact"/>
        <w:rPr>
          <w:sz w:val="20"/>
          <w:szCs w:val="20"/>
          <w:color w:val="auto"/>
        </w:rPr>
      </w:pPr>
    </w:p>
    <w:p>
      <w:pPr>
        <w:ind w:left="952" w:right="2340"/>
        <w:spacing w:after="0" w:line="380" w:lineRule="auto"/>
        <w:rPr>
          <w:sz w:val="20"/>
          <w:szCs w:val="20"/>
          <w:color w:val="auto"/>
        </w:rPr>
      </w:pPr>
      <w:r>
        <w:rPr>
          <w:rFonts w:ascii="Times New Roman" w:cs="Times New Roman" w:eastAsia="Times New Roman" w:hAnsi="Times New Roman"/>
          <w:sz w:val="20"/>
          <w:szCs w:val="20"/>
          <w:color w:val="auto"/>
        </w:rPr>
        <w:t>that such Spanish RPA Seller is a business entity and the receivable arises from its business activity; that the Purchaser is a credit institution or a securitisation fund;</w:t>
      </w:r>
    </w:p>
    <w:p>
      <w:pPr>
        <w:spacing w:after="0" w:line="1" w:lineRule="exact"/>
        <w:rPr>
          <w:sz w:val="20"/>
          <w:szCs w:val="20"/>
          <w:color w:val="auto"/>
        </w:rPr>
      </w:pPr>
    </w:p>
    <w:p>
      <w:pPr>
        <w:ind w:left="1012" w:hanging="65"/>
        <w:spacing w:after="0" w:line="283" w:lineRule="auto"/>
        <w:rPr>
          <w:sz w:val="20"/>
          <w:szCs w:val="20"/>
          <w:color w:val="auto"/>
        </w:rPr>
      </w:pPr>
      <w:r>
        <w:rPr>
          <w:rFonts w:ascii="Times New Roman" w:cs="Times New Roman" w:eastAsia="Times New Roman" w:hAnsi="Times New Roman"/>
          <w:sz w:val="20"/>
          <w:szCs w:val="20"/>
          <w:color w:val="auto"/>
        </w:rPr>
        <w:t>that the receivable already exists at the time of the assignment contract, or arises from the business activity of such Spanish RPA Seller within one (1) year as from the assignment contract, or the future debtor is identified in the assignment contract,</w:t>
      </w:r>
    </w:p>
    <w:p>
      <w:pPr>
        <w:spacing w:after="0" w:line="65" w:lineRule="exact"/>
        <w:rPr>
          <w:sz w:val="20"/>
          <w:szCs w:val="20"/>
          <w:color w:val="auto"/>
        </w:rPr>
      </w:pPr>
    </w:p>
    <w:p>
      <w:pPr>
        <w:ind w:left="1012" w:hanging="65"/>
        <w:spacing w:after="0" w:line="297" w:lineRule="auto"/>
        <w:rPr>
          <w:sz w:val="20"/>
          <w:szCs w:val="20"/>
          <w:color w:val="auto"/>
        </w:rPr>
      </w:pPr>
      <w:r>
        <w:rPr>
          <w:rFonts w:ascii="Times New Roman" w:cs="Times New Roman" w:eastAsia="Times New Roman" w:hAnsi="Times New Roman"/>
          <w:sz w:val="20"/>
          <w:szCs w:val="20"/>
          <w:color w:val="auto"/>
        </w:rPr>
        <w:t>that the Purchaser pays to such Spanish RPA Seller, either upfront or by means of a deferred payment, the face amount of the receivable less a discount due to the services rendered;</w:t>
      </w:r>
    </w:p>
    <w:p>
      <w:pPr>
        <w:spacing w:after="0" w:line="52" w:lineRule="exact"/>
        <w:rPr>
          <w:sz w:val="20"/>
          <w:szCs w:val="20"/>
          <w:color w:val="auto"/>
        </w:rPr>
      </w:pPr>
    </w:p>
    <w:p>
      <w:pPr>
        <w:ind w:left="1012" w:hanging="65"/>
        <w:spacing w:after="0" w:line="283" w:lineRule="auto"/>
        <w:rPr>
          <w:sz w:val="20"/>
          <w:szCs w:val="20"/>
          <w:color w:val="auto"/>
        </w:rPr>
      </w:pPr>
      <w:r>
        <w:rPr>
          <w:rFonts w:ascii="Times New Roman" w:cs="Times New Roman" w:eastAsia="Times New Roman" w:hAnsi="Times New Roman"/>
          <w:sz w:val="20"/>
          <w:szCs w:val="20"/>
          <w:color w:val="auto"/>
        </w:rPr>
        <w:t>when it is not agreed that such Spanish RPA Seller is liable against the Purchaser for the relevant Debtor's solvency, that it is evidenced that the Purchaser has fully or partly paid the amount of the receivable before it becomes due and payable;</w:t>
      </w:r>
    </w:p>
    <w:p>
      <w:pPr>
        <w:spacing w:after="0" w:line="92" w:lineRule="exact"/>
        <w:rPr>
          <w:sz w:val="20"/>
          <w:szCs w:val="20"/>
          <w:color w:val="auto"/>
        </w:rPr>
      </w:pPr>
    </w:p>
    <w:p>
      <w:pPr>
        <w:ind w:left="772" w:hanging="772"/>
        <w:spacing w:after="0" w:line="353" w:lineRule="auto"/>
        <w:tabs>
          <w:tab w:leader="none" w:pos="763"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any law or regulation that apply to (a) the receivable and any security interest that might attach thereto and (b) any contract which gives rise to the receivable and security interest(s), have been complied with;</w:t>
      </w:r>
    </w:p>
    <w:p>
      <w:pPr>
        <w:sectPr>
          <w:pgSz w:w="11900" w:h="16838" w:orient="portrait"/>
          <w:cols w:equalWidth="0" w:num="1">
            <w:col w:w="11232"/>
          </w:cols>
          <w:pgMar w:left="328" w:top="1440" w:right="339" w:bottom="1440" w:gutter="0" w:footer="0" w:header="0"/>
        </w:sectPr>
      </w:pPr>
    </w:p>
    <w:bookmarkStart w:id="278" w:name="page279"/>
    <w:bookmarkEnd w:id="278"/>
    <w:p>
      <w:pPr>
        <w:spacing w:after="0" w:line="68" w:lineRule="exact"/>
        <w:rPr>
          <w:sz w:val="20"/>
          <w:szCs w:val="20"/>
          <w:color w:val="auto"/>
        </w:rPr>
      </w:pPr>
    </w:p>
    <w:p>
      <w:pPr>
        <w:jc w:val="both"/>
        <w:ind w:left="772" w:hanging="772"/>
        <w:spacing w:after="0" w:line="275" w:lineRule="auto"/>
        <w:tabs>
          <w:tab w:leader="none" w:pos="764"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has been originated in accordance with such Spanish RPA Seller's Credit and Collection Policies and guidelines, and has been serviced by such Spanish RPA Seller, after the date on which it was originated in accordance with the applicable statutes and regulations;</w:t>
      </w:r>
    </w:p>
    <w:p>
      <w:pPr>
        <w:spacing w:after="0" w:line="69" w:lineRule="exact"/>
        <w:rPr>
          <w:rFonts w:ascii="Times New Roman" w:cs="Times New Roman" w:eastAsia="Times New Roman" w:hAnsi="Times New Roman"/>
          <w:sz w:val="20"/>
          <w:szCs w:val="20"/>
          <w:color w:val="auto"/>
        </w:rPr>
      </w:pPr>
    </w:p>
    <w:p>
      <w:pPr>
        <w:jc w:val="both"/>
        <w:ind w:left="772" w:hanging="772"/>
        <w:spacing w:after="0" w:line="277" w:lineRule="auto"/>
        <w:tabs>
          <w:tab w:leader="none" w:pos="765"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non-negotiable (</w:t>
      </w:r>
      <w:r>
        <w:rPr>
          <w:rFonts w:ascii="Times New Roman" w:cs="Times New Roman" w:eastAsia="Times New Roman" w:hAnsi="Times New Roman"/>
          <w:sz w:val="20"/>
          <w:szCs w:val="20"/>
          <w:i w:val="1"/>
          <w:iCs w:val="1"/>
          <w:color w:val="auto"/>
        </w:rPr>
        <w:t>no negociable</w:t>
      </w:r>
      <w:r>
        <w:rPr>
          <w:rFonts w:ascii="Times New Roman" w:cs="Times New Roman" w:eastAsia="Times New Roman" w:hAnsi="Times New Roman"/>
          <w:sz w:val="20"/>
          <w:szCs w:val="20"/>
          <w:color w:val="auto"/>
        </w:rPr>
        <w:t>) or subject to any defence, dispute, set off, counterclaim, enforcement, or subject to litigation, unless such set off is duly recorded in the electronic support identifying such receivable and sent to the Agent as for the relevant Settlement Date during the Replenishment Period;</w:t>
      </w:r>
    </w:p>
    <w:p>
      <w:pPr>
        <w:spacing w:after="0" w:line="71" w:lineRule="exact"/>
        <w:rPr>
          <w:rFonts w:ascii="Times New Roman" w:cs="Times New Roman" w:eastAsia="Times New Roman" w:hAnsi="Times New Roman"/>
          <w:sz w:val="20"/>
          <w:szCs w:val="20"/>
          <w:color w:val="auto"/>
        </w:rPr>
      </w:pPr>
    </w:p>
    <w:p>
      <w:pPr>
        <w:ind w:left="772" w:hanging="772"/>
        <w:spacing w:after="0" w:line="283" w:lineRule="auto"/>
        <w:tabs>
          <w:tab w:leader="none" w:pos="766"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is not, according to the Accounting Principles, doubtful given the situation of the Debtor, open to challenge, impaired, non-performing or classified to the similar effect under the Accounting Principles;</w:t>
      </w:r>
    </w:p>
    <w:p>
      <w:pPr>
        <w:spacing w:after="0" w:line="65" w:lineRule="exact"/>
        <w:rPr>
          <w:rFonts w:ascii="Times New Roman" w:cs="Times New Roman" w:eastAsia="Times New Roman" w:hAnsi="Times New Roman"/>
          <w:sz w:val="20"/>
          <w:szCs w:val="20"/>
          <w:color w:val="auto"/>
        </w:rPr>
      </w:pPr>
    </w:p>
    <w:p>
      <w:pPr>
        <w:jc w:val="both"/>
        <w:ind w:left="772" w:hanging="772"/>
        <w:spacing w:after="0" w:line="275" w:lineRule="auto"/>
        <w:tabs>
          <w:tab w:leader="none" w:pos="769"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Debtor cannot raise any valid defence, with the exception of a defence resulting solely from the application of the law, and in particular any defence of set-off, against payment of any amount relating to the receivable, unless such set off is duly recorded in the electronic support identifying such receivable and sent to the Agent as for the relevant Settlement Date;</w:t>
      </w:r>
    </w:p>
    <w:p>
      <w:pPr>
        <w:spacing w:after="0" w:line="73" w:lineRule="exact"/>
        <w:rPr>
          <w:rFonts w:ascii="Times New Roman" w:cs="Times New Roman" w:eastAsia="Times New Roman" w:hAnsi="Times New Roman"/>
          <w:sz w:val="20"/>
          <w:szCs w:val="20"/>
          <w:color w:val="auto"/>
        </w:rPr>
      </w:pPr>
    </w:p>
    <w:p>
      <w:pPr>
        <w:jc w:val="both"/>
        <w:ind w:left="772" w:hanging="772"/>
        <w:spacing w:after="0" w:line="275" w:lineRule="auto"/>
        <w:tabs>
          <w:tab w:leader="none" w:pos="768"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and assignment of any receivable, together with any related security, is valid and effective against creditors of such Spanish RPA Seller and other third parties and does not violate any duty of confidentiality, any applicable data protection provisions nor any contractual or other legal restrictions binding on or affecting such Seller or such Receivable;</w:t>
      </w:r>
    </w:p>
    <w:p>
      <w:pPr>
        <w:spacing w:after="0" w:line="69" w:lineRule="exact"/>
        <w:rPr>
          <w:rFonts w:ascii="Times New Roman" w:cs="Times New Roman" w:eastAsia="Times New Roman" w:hAnsi="Times New Roman"/>
          <w:sz w:val="20"/>
          <w:szCs w:val="20"/>
          <w:color w:val="auto"/>
        </w:rPr>
      </w:pPr>
    </w:p>
    <w:p>
      <w:pPr>
        <w:jc w:val="both"/>
        <w:ind w:left="772" w:hanging="772"/>
        <w:spacing w:after="0" w:line="277" w:lineRule="auto"/>
        <w:tabs>
          <w:tab w:leader="none" w:pos="769"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Bills of Exchange (</w:t>
      </w:r>
      <w:r>
        <w:rPr>
          <w:rFonts w:ascii="Times New Roman" w:cs="Times New Roman" w:eastAsia="Times New Roman" w:hAnsi="Times New Roman"/>
          <w:sz w:val="20"/>
          <w:szCs w:val="20"/>
          <w:i w:val="1"/>
          <w:iCs w:val="1"/>
          <w:color w:val="auto"/>
        </w:rPr>
        <w:t>letras de cambio</w:t>
      </w:r>
      <w:r>
        <w:rPr>
          <w:rFonts w:ascii="Times New Roman" w:cs="Times New Roman" w:eastAsia="Times New Roman" w:hAnsi="Times New Roman"/>
          <w:sz w:val="20"/>
          <w:szCs w:val="20"/>
          <w:color w:val="auto"/>
        </w:rPr>
        <w:t>) or promissory notes (</w:t>
      </w:r>
      <w:r>
        <w:rPr>
          <w:rFonts w:ascii="Times New Roman" w:cs="Times New Roman" w:eastAsia="Times New Roman" w:hAnsi="Times New Roman"/>
          <w:sz w:val="20"/>
          <w:szCs w:val="20"/>
          <w:i w:val="1"/>
          <w:iCs w:val="1"/>
          <w:color w:val="auto"/>
        </w:rPr>
        <w:t>pagarés</w:t>
      </w:r>
      <w:r>
        <w:rPr>
          <w:rFonts w:ascii="Times New Roman" w:cs="Times New Roman" w:eastAsia="Times New Roman" w:hAnsi="Times New Roman"/>
          <w:sz w:val="20"/>
          <w:szCs w:val="20"/>
          <w:color w:val="auto"/>
        </w:rPr>
        <w:t>) issued in connection with the receivable have not been (a) discounted (</w:t>
      </w:r>
      <w:r>
        <w:rPr>
          <w:rFonts w:ascii="Times New Roman" w:cs="Times New Roman" w:eastAsia="Times New Roman" w:hAnsi="Times New Roman"/>
          <w:sz w:val="20"/>
          <w:szCs w:val="20"/>
          <w:i w:val="1"/>
          <w:iCs w:val="1"/>
          <w:color w:val="auto"/>
        </w:rPr>
        <w:t>descontadas</w:t>
      </w:r>
      <w:r>
        <w:rPr>
          <w:rFonts w:ascii="Times New Roman" w:cs="Times New Roman" w:eastAsia="Times New Roman" w:hAnsi="Times New Roman"/>
          <w:sz w:val="20"/>
          <w:szCs w:val="20"/>
          <w:color w:val="auto"/>
        </w:rPr>
        <w:t>) or endorsed (</w:t>
      </w:r>
      <w:r>
        <w:rPr>
          <w:rFonts w:ascii="Times New Roman" w:cs="Times New Roman" w:eastAsia="Times New Roman" w:hAnsi="Times New Roman"/>
          <w:sz w:val="20"/>
          <w:szCs w:val="20"/>
          <w:i w:val="1"/>
          <w:iCs w:val="1"/>
          <w:color w:val="auto"/>
        </w:rPr>
        <w:t>endosadas</w:t>
      </w:r>
      <w:r>
        <w:rPr>
          <w:rFonts w:ascii="Times New Roman" w:cs="Times New Roman" w:eastAsia="Times New Roman" w:hAnsi="Times New Roman"/>
          <w:sz w:val="20"/>
          <w:szCs w:val="20"/>
          <w:color w:val="auto"/>
        </w:rPr>
        <w:t>) to any person other than the Purchaser nor (b) transferred or delivered by the Spanish Seller to any person other than the Purchaser; and</w:t>
      </w:r>
    </w:p>
    <w:p>
      <w:pPr>
        <w:spacing w:after="0" w:line="71" w:lineRule="exact"/>
        <w:rPr>
          <w:rFonts w:ascii="Times New Roman" w:cs="Times New Roman" w:eastAsia="Times New Roman" w:hAnsi="Times New Roman"/>
          <w:sz w:val="20"/>
          <w:szCs w:val="20"/>
          <w:color w:val="auto"/>
        </w:rPr>
      </w:pPr>
    </w:p>
    <w:p>
      <w:pPr>
        <w:jc w:val="both"/>
        <w:ind w:left="772" w:hanging="772"/>
        <w:spacing w:after="0" w:line="272" w:lineRule="auto"/>
        <w:tabs>
          <w:tab w:leader="none" w:pos="770"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ectPr>
          <w:pgSz w:w="11900" w:h="16838" w:orient="portrait"/>
          <w:cols w:equalWidth="0" w:num="1">
            <w:col w:w="11232"/>
          </w:cols>
          <w:pgMar w:left="328" w:top="1440" w:right="339" w:bottom="1440" w:gutter="0" w:footer="0" w:header="0"/>
        </w:sectPr>
      </w:pPr>
    </w:p>
    <w:bookmarkStart w:id="279" w:name="page280"/>
    <w:bookmarkEnd w:id="279"/>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14</w:t>
      </w: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COVENANTS DEFINITIONS</w:t>
      </w:r>
    </w:p>
    <w:p>
      <w:pPr>
        <w:spacing w:after="0" w:line="31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JPMSE, in its capacity as administrative agent for the Lenders under the Agreement, and its successors in such capacity.</w:t>
      </w:r>
    </w:p>
    <w:p>
      <w:pPr>
        <w:spacing w:after="0" w:line="31"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the Existing Credit Agreement, as the same may be amended, restated, supplemented, waived, replaced (whether or not upon termination, and whether with the original lenders or otherwise), refinanced, restructured or otherwise modified from time to time.</w:t>
      </w:r>
    </w:p>
    <w:p>
      <w:pPr>
        <w:spacing w:after="0" w:line="45"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Attributable Debt</w:t>
      </w:r>
      <w:r>
        <w:rPr>
          <w:rFonts w:ascii="Times New Roman" w:cs="Times New Roman" w:eastAsia="Times New Roman" w:hAnsi="Times New Roman"/>
          <w:sz w:val="20"/>
          <w:szCs w:val="20"/>
          <w:color w:val="auto"/>
        </w:rPr>
        <w:t>" means, with respect to any Sale/Leaseback Transaction that does not result in a Capitalized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 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68"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 Obligations</w:t>
      </w:r>
      <w:r>
        <w:rPr>
          <w:rFonts w:ascii="Times New Roman" w:cs="Times New Roman" w:eastAsia="Times New Roman" w:hAnsi="Times New Roman"/>
          <w:sz w:val="20"/>
          <w:szCs w:val="20"/>
          <w:color w:val="auto"/>
        </w:rPr>
        <w:t xml:space="preserve">" means, subject to Section 1.04 of the Agreement, an obligation that is required to be classified and accounted for as a capital lease for financial reporting purposes in accordance with GAAP (or a finance lease upon adoption by Goodyear of </w:t>
      </w:r>
      <w:r>
        <w:rPr>
          <w:rFonts w:ascii="Times New Roman" w:cs="Times New Roman" w:eastAsia="Times New Roman" w:hAnsi="Times New Roman"/>
          <w:sz w:val="20"/>
          <w:szCs w:val="20"/>
          <w:i w:val="1"/>
          <w:iCs w:val="1"/>
          <w:color w:val="auto"/>
        </w:rPr>
        <w:t>ASU No.°2016-02, Leases (Topic 842)</w:t>
      </w:r>
      <w:r>
        <w:rPr>
          <w:rFonts w:ascii="Times New Roman" w:cs="Times New Roman" w:eastAsia="Times New Roman" w:hAnsi="Times New Roman"/>
          <w:sz w:val="20"/>
          <w:szCs w:val="20"/>
          <w:color w:val="auto"/>
        </w:rPr>
        <w:t>), and the amount of Indebtedness represented by such obligation shall be the capitalized amount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obligation determined in accordance with GAAP.</w:t>
      </w:r>
    </w:p>
    <w:p>
      <w:pPr>
        <w:spacing w:after="0" w:line="64"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Stock</w:t>
      </w:r>
      <w:r>
        <w:rPr>
          <w:rFonts w:ascii="Times New Roman" w:cs="Times New Roman" w:eastAsia="Times New Roman" w:hAnsi="Times New Roman"/>
          <w:sz w:val="20"/>
          <w:szCs w:val="20"/>
          <w:color w:val="auto"/>
        </w:rPr>
        <w:t>"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62"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GEBV EBITDA</w:t>
      </w:r>
      <w:r>
        <w:rPr>
          <w:rFonts w:ascii="Times New Roman" w:cs="Times New Roman" w:eastAsia="Times New Roman" w:hAnsi="Times New Roman"/>
          <w:sz w:val="20"/>
          <w:szCs w:val="20"/>
          <w:color w:val="auto"/>
        </w:rPr>
        <w:t xml:space="preserve">" means, for any period, the Consolidated GEBV Net Income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to the extent included in calculating such Consolidated GEBV Net Income, foreign exchange currency gains for such period, and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 the following, to the extent deducted in calculating such Consolidated GEBV Net Income:</w:t>
      </w:r>
    </w:p>
    <w:p>
      <w:pPr>
        <w:spacing w:after="0" w:line="59" w:lineRule="exact"/>
        <w:rPr>
          <w:sz w:val="20"/>
          <w:szCs w:val="20"/>
          <w:color w:val="auto"/>
        </w:rPr>
      </w:pPr>
    </w:p>
    <w:p>
      <w:pPr>
        <w:ind w:left="640" w:hanging="632"/>
        <w:spacing w:after="0"/>
        <w:tabs>
          <w:tab w:leader="none" w:pos="64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 of GEBV and the Consolidated Restricted GEBV Subsidiaries;</w:t>
      </w:r>
    </w:p>
    <w:p>
      <w:pPr>
        <w:spacing w:after="0" w:line="18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GEBV Interest Expense;</w:t>
      </w:r>
    </w:p>
    <w:p>
      <w:pPr>
        <w:spacing w:after="0" w:line="18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expense of GEBV and the Consolidated Restricted GEBV Subsidiaries;</w:t>
      </w:r>
    </w:p>
    <w:p>
      <w:pPr>
        <w:spacing w:after="0" w:line="202"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expense of GEBV and the Consolidated Restricted GEBV Subsidiaries (excluding amortization expense attributable to a prepaid cash item that was paid in a prior period);</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95" w:lineRule="exact"/>
        <w:rPr>
          <w:sz w:val="20"/>
          <w:szCs w:val="20"/>
          <w:color w:val="auto"/>
        </w:rPr>
      </w:pPr>
    </w:p>
    <w:p>
      <w:pPr>
        <w:ind w:left="640" w:hanging="632"/>
        <w:spacing w:after="0"/>
        <w:tabs>
          <w:tab w:leader="none" w:pos="6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restructuring charges for all periods reported on or after the Restatement Effective Date not to exceed €150,000,000;</w:t>
      </w:r>
    </w:p>
    <w:p>
      <w:pPr>
        <w:spacing w:after="0" w:line="18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currency losses for such period; and</w:t>
      </w:r>
    </w:p>
    <w:p>
      <w:pPr>
        <w:spacing w:after="0" w:line="188" w:lineRule="exact"/>
        <w:rPr>
          <w:rFonts w:ascii="Times New Roman" w:cs="Times New Roman" w:eastAsia="Times New Roman" w:hAnsi="Times New Roman"/>
          <w:sz w:val="20"/>
          <w:szCs w:val="20"/>
          <w:color w:val="auto"/>
        </w:rPr>
      </w:pPr>
    </w:p>
    <w:p>
      <w:pPr>
        <w:jc w:val="both"/>
        <w:ind w:left="640" w:hanging="632"/>
        <w:spacing w:after="0" w:line="338" w:lineRule="auto"/>
        <w:tabs>
          <w:tab w:leader="none" w:pos="638"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non-cash charges of GEBV and the Consolidated Restricted GEBV Subsidiaries (excluding any such non-cash charge to the extent it represents an accrual of or reserve for cash expenditures in any future period) less all non-cash items of income of GEBV and the Consolidated Restricted GEBV Subsidiaries, in each case for such period (other than normal accruals in the ordinary course of business).</w:t>
      </w:r>
    </w:p>
    <w:p>
      <w:pPr>
        <w:spacing w:after="0" w:line="67" w:lineRule="exact"/>
        <w:rPr>
          <w:rFonts w:ascii="Times New Roman" w:cs="Times New Roman" w:eastAsia="Times New Roman" w:hAnsi="Times New Roman"/>
          <w:sz w:val="20"/>
          <w:szCs w:val="20"/>
          <w:color w:val="auto"/>
        </w:rPr>
      </w:pPr>
    </w:p>
    <w:p>
      <w:pPr>
        <w:jc w:val="both"/>
        <w:ind w:left="640"/>
        <w:spacing w:after="0" w:line="3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provision for taxes based on the income or profits of, and the depreciation and amortization and non-cash charges of, a Restricted GEBV Subsidiary shall be added to Consolidated GEBV Net Income to compute Consolidated GEBV EBITDA only to the extent (and in the same proportion) that the net income of such Restricted GEBV Subsidiary was included in calculating Consolidated GEBV Net Income and only if (A) a corresponding amount would be permitted at the date of determination to be dividended to GEBV by such Restricted GEBV Subsidiary without prior approval (that has not been obtained), pursuant to the terms of its charter and all agreements, instruments, judgments, decrees, orders, statutes, rules and governmental regulations applicable to such Restricted GEBV Subsidiary or its shareholders or (B) in the case of any Foreign Restricted GEBV Subsidiary, a corresponding amount of cash is readily procurable by GEBV from such Foreign Restricted GEBV Subsidiary (as determined in good faith by a Financial Officer of GEBV) pursuant to intercompany loans, repurchases of Capital Stock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cash of such Foreign Restricted GEBV Subsidiary provided the basis for including the net income of such Foreign Restricted GEBV Subsidiary in Consolidated GEBV Net Income pursuant to clause (c) of the definition of "</w:t>
      </w:r>
      <w:r>
        <w:rPr>
          <w:rFonts w:ascii="Times New Roman" w:cs="Times New Roman" w:eastAsia="Times New Roman" w:hAnsi="Times New Roman"/>
          <w:sz w:val="20"/>
          <w:szCs w:val="20"/>
          <w:b w:val="1"/>
          <w:bCs w:val="1"/>
          <w:color w:val="auto"/>
        </w:rPr>
        <w:t>Consolidated GEBV Net Income</w:t>
      </w:r>
      <w:r>
        <w:rPr>
          <w:rFonts w:ascii="Times New Roman" w:cs="Times New Roman" w:eastAsia="Times New Roman" w:hAnsi="Times New Roman"/>
          <w:sz w:val="20"/>
          <w:szCs w:val="20"/>
          <w:color w:val="auto"/>
        </w:rPr>
        <w:t>", such cash shall not be taken into account for the purposes of determining readily procurable cash under this clause (B). Consolidated GEBV EBITDA for any period of four consecutive fiscal quarters will be determined in Euros based upon the Exchange Rate in effect on the last day of the applicable period.</w:t>
      </w:r>
    </w:p>
    <w:p>
      <w:pPr>
        <w:spacing w:after="0" w:line="91"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GEBV Interest Expense</w:t>
      </w:r>
      <w:r>
        <w:rPr>
          <w:rFonts w:ascii="Times New Roman" w:cs="Times New Roman" w:eastAsia="Times New Roman" w:hAnsi="Times New Roman"/>
          <w:sz w:val="20"/>
          <w:szCs w:val="20"/>
          <w:color w:val="auto"/>
        </w:rPr>
        <w:t>" means, for any period, the total interest expense of GEBV and the Consolidated Restricted GEBV Subsidiaries, plus, to the extent Incurred by GEBV and the Consolidated Restricted GEBV Subsidiaries in such period but not included in such interest expense, without duplication:</w:t>
      </w:r>
    </w:p>
    <w:p>
      <w:pPr>
        <w:spacing w:after="0" w:line="66" w:lineRule="exact"/>
        <w:rPr>
          <w:sz w:val="20"/>
          <w:szCs w:val="20"/>
          <w:color w:val="auto"/>
        </w:rPr>
      </w:pPr>
    </w:p>
    <w:p>
      <w:pPr>
        <w:ind w:left="640" w:hanging="632"/>
        <w:spacing w:after="0" w:line="353" w:lineRule="auto"/>
        <w:tabs>
          <w:tab w:leader="none" w:pos="640"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attributable to Capitalized Lease Obligations and the interest expense attributable to leases constituting part of a Sale/Leaseback Transaction that does not result in a Capitalized Lease Obligation:</w:t>
      </w:r>
    </w:p>
    <w:p>
      <w:pPr>
        <w:spacing w:after="0" w:line="5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discount and debt issuance costs;</w:t>
      </w:r>
    </w:p>
    <w:p>
      <w:pPr>
        <w:spacing w:after="0" w:line="20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interest;</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95" w:lineRule="exact"/>
        <w:rPr>
          <w:sz w:val="20"/>
          <w:szCs w:val="20"/>
          <w:color w:val="auto"/>
        </w:rPr>
      </w:pPr>
    </w:p>
    <w:p>
      <w:pPr>
        <w:ind w:left="640" w:hanging="632"/>
        <w:spacing w:after="0"/>
        <w:tabs>
          <w:tab w:leader="none" w:pos="64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interest expense;</w:t>
      </w:r>
    </w:p>
    <w:p>
      <w:pPr>
        <w:spacing w:after="0" w:line="18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discounts and other fees and charges attributable to letters of credit and bankers' acceptance financing,</w:t>
      </w:r>
    </w:p>
    <w:p>
      <w:pPr>
        <w:spacing w:after="0" w:line="188" w:lineRule="exact"/>
        <w:rPr>
          <w:rFonts w:ascii="Times New Roman" w:cs="Times New Roman" w:eastAsia="Times New Roman" w:hAnsi="Times New Roman"/>
          <w:sz w:val="20"/>
          <w:szCs w:val="20"/>
          <w:color w:val="auto"/>
        </w:rPr>
      </w:pPr>
    </w:p>
    <w:p>
      <w:pPr>
        <w:jc w:val="both"/>
        <w:ind w:left="640" w:hanging="632"/>
        <w:spacing w:after="0" w:line="345" w:lineRule="auto"/>
        <w:tabs>
          <w:tab w:leader="none" w:pos="632"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accruing on any Indebtedness of any other Person to the extent such Indebtedness is Guaranteed by (or secured by the assets of) GEBV or any Restricted GEBV Subsidiary and such Indebtedness is in default under its terms or any payment is actually made in respect of such Guarantee;</w:t>
      </w:r>
    </w:p>
    <w:p>
      <w:pPr>
        <w:spacing w:after="0" w:line="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payments made pursuant to Hedging Obligations in respect of interest expense (including amortization of fees);</w:t>
      </w:r>
    </w:p>
    <w:p>
      <w:pPr>
        <w:spacing w:after="0" w:line="188"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in cash or Disqualified Stock in respect of (A) all Preferred Stock of Restricted GEBV Subsidiaries and (B) all Disqualified Stock of GEBV, in each case held by Persons other than GEBV or a Restricted GEBV Subsidiary;</w:t>
      </w:r>
    </w:p>
    <w:p>
      <w:pPr>
        <w:spacing w:after="0" w:line="5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Incurred in connection with investments in discontinued operations; and</w:t>
      </w:r>
    </w:p>
    <w:p>
      <w:pPr>
        <w:spacing w:after="0" w:line="202" w:lineRule="exact"/>
        <w:rPr>
          <w:rFonts w:ascii="Times New Roman" w:cs="Times New Roman" w:eastAsia="Times New Roman" w:hAnsi="Times New Roman"/>
          <w:sz w:val="20"/>
          <w:szCs w:val="20"/>
          <w:color w:val="auto"/>
        </w:rPr>
      </w:pPr>
    </w:p>
    <w:p>
      <w:pPr>
        <w:ind w:left="640" w:hanging="632"/>
        <w:spacing w:after="0" w:line="353" w:lineRule="auto"/>
        <w:tabs>
          <w:tab w:leader="none" w:pos="634"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contributions to any employee stock ownership plan or similar trust to the extent such contributions are used by such plan or trust to pay interest or fees to any Person (other than GEBV) in connection with Indebtedness Incurred by such plan or trust;</w:t>
      </w:r>
    </w:p>
    <w:p>
      <w:pPr>
        <w:spacing w:after="0" w:line="12"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20"/>
          <w:szCs w:val="20"/>
          <w:color w:val="auto"/>
        </w:rPr>
        <w:t xml:space="preserve">and less, to the extent included in such total interest expense, the amortization during such period of capitalized financing costs;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any financing consummated after the Restatement Effective Date, the aggregate amount of amortization relating to any such capitalized financing costs in respect of any such financing that is deducted in calculating Consolidated GEBV Interest Expense shall not exceed 5% of the aggregate amount of such financing.</w:t>
      </w:r>
    </w:p>
    <w:p>
      <w:pPr>
        <w:spacing w:after="0" w:line="101" w:lineRule="exact"/>
        <w:rPr>
          <w:sz w:val="20"/>
          <w:szCs w:val="20"/>
          <w:color w:val="auto"/>
        </w:rPr>
      </w:pPr>
    </w:p>
    <w:p>
      <w:pPr>
        <w:spacing w:after="0" w:line="3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GEBV Net Income</w:t>
      </w:r>
      <w:r>
        <w:rPr>
          <w:rFonts w:ascii="Times New Roman" w:cs="Times New Roman" w:eastAsia="Times New Roman" w:hAnsi="Times New Roman"/>
          <w:sz w:val="20"/>
          <w:szCs w:val="20"/>
          <w:color w:val="auto"/>
        </w:rPr>
        <w:t>" means for any period, the net income of GEBV and the Consolidated GEBV Subsidiaries for such period; provided, however, that there shall not be included in such Consolidated GEBV Net Income:</w:t>
      </w:r>
    </w:p>
    <w:p>
      <w:pPr>
        <w:spacing w:after="0" w:line="35" w:lineRule="exact"/>
        <w:rPr>
          <w:sz w:val="20"/>
          <w:szCs w:val="20"/>
          <w:color w:val="auto"/>
        </w:rPr>
      </w:pPr>
    </w:p>
    <w:p>
      <w:pPr>
        <w:ind w:left="640" w:hanging="632"/>
        <w:spacing w:after="0"/>
        <w:tabs>
          <w:tab w:leader="none" w:pos="640"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of any Person (other than GEBV) if such Person is not a Restricted GEBV Subsidiary, except that:</w:t>
      </w:r>
    </w:p>
    <w:p>
      <w:pPr>
        <w:spacing w:after="0" w:line="188" w:lineRule="exact"/>
        <w:rPr>
          <w:rFonts w:ascii="Times New Roman" w:cs="Times New Roman" w:eastAsia="Times New Roman" w:hAnsi="Times New Roman"/>
          <w:sz w:val="20"/>
          <w:szCs w:val="20"/>
          <w:color w:val="auto"/>
        </w:rPr>
      </w:pPr>
    </w:p>
    <w:p>
      <w:pPr>
        <w:jc w:val="both"/>
        <w:ind w:left="1160" w:hanging="514"/>
        <w:spacing w:after="0" w:line="333" w:lineRule="auto"/>
        <w:tabs>
          <w:tab w:leader="none" w:pos="1150"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limitations contained in clause (d) below, GEBV's equity in the net income of any such Person for such period shall be included in such Consolidated GEBV Net Income up to the aggregate amount of cash actually distributed by such Person during such period to GEBV or a Restricted GEBV Subsidiary as a dividend or other distribution (subject, in the case of a dividend or other distribution made to a Restricted GEBV Subsidiary, to the limitations contained in clause (c) below);</w:t>
      </w:r>
    </w:p>
    <w:p>
      <w:pPr>
        <w:spacing w:after="0" w:line="87" w:lineRule="exact"/>
        <w:rPr>
          <w:rFonts w:ascii="Times New Roman" w:cs="Times New Roman" w:eastAsia="Times New Roman" w:hAnsi="Times New Roman"/>
          <w:sz w:val="20"/>
          <w:szCs w:val="20"/>
          <w:color w:val="auto"/>
        </w:rPr>
      </w:pPr>
    </w:p>
    <w:p>
      <w:pPr>
        <w:ind w:left="1160" w:hanging="514"/>
        <w:spacing w:after="0" w:line="353" w:lineRule="auto"/>
        <w:tabs>
          <w:tab w:leader="none" w:pos="1150"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GEBV's equity in a net loss of any such Person for such period shall be included in determining such Consolidated GEBV Net Income to the extent such loss has been funded with cash from GEBV or a Restricted GEBV Subsidiary;</w:t>
      </w:r>
    </w:p>
    <w:p>
      <w:pPr>
        <w:spacing w:after="0" w:line="52"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(or loss) of any Person acquired by GEBV or a GEBV Subsidiary in a pooling of interests transaction for any period prior to the date of such acquisition;</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95" w:lineRule="exact"/>
        <w:rPr>
          <w:sz w:val="20"/>
          <w:szCs w:val="20"/>
          <w:color w:val="auto"/>
        </w:rPr>
      </w:pPr>
    </w:p>
    <w:p>
      <w:pPr>
        <w:jc w:val="both"/>
        <w:ind w:left="640" w:hanging="632"/>
        <w:spacing w:after="0" w:line="332" w:lineRule="auto"/>
        <w:tabs>
          <w:tab w:leader="none" w:pos="640"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of any Restricted GEBV Subsidiary if such Restricted GEBV Subsidiary is subject to restrictions on the payment of dividends or the making of distributions by such Restricted GEBV Subsidiary, directly or indirectly, to GEBV (but, in the case of any Foreign Restricted GEBV Subsidiary, only to the extent cash equal to such net income (or a portion thereof) for such period is not readily procurable by GEBV from such Foreign Restricted GEBV Subsidiary (with the amount of cash readily procurable from such Foreign Restricted GEBV Subsidiary being determined in good faith by a Financial Officer of GEBV) pursuant to intercompany loans, repurchases of Capital Stock or otherwise), except that:</w:t>
      </w:r>
    </w:p>
    <w:p>
      <w:pPr>
        <w:spacing w:after="0" w:line="75" w:lineRule="exact"/>
        <w:rPr>
          <w:rFonts w:ascii="Times New Roman" w:cs="Times New Roman" w:eastAsia="Times New Roman" w:hAnsi="Times New Roman"/>
          <w:sz w:val="20"/>
          <w:szCs w:val="20"/>
          <w:color w:val="auto"/>
        </w:rPr>
      </w:pPr>
    </w:p>
    <w:p>
      <w:pPr>
        <w:jc w:val="both"/>
        <w:ind w:left="1160" w:hanging="514"/>
        <w:spacing w:after="0" w:line="334" w:lineRule="auto"/>
        <w:tabs>
          <w:tab w:leader="none" w:pos="1150"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limitations contained in clause (d) below, GEBV's equity in the net income of any such Restricted GEBV Subsidiary for such period shall be included in such Consolidated GEBV Net Income up to the aggregate amount of cash actually distributed by such Restricted GEBV Subsidiary during such period to GEBV or another Restricted GEBV Subsidiary as a dividend or other distribution (subject, in the case of a dividend or other distribution made to another Restricted GEBV Subsidiary, to the limitation contained in this Article); and</w:t>
      </w:r>
    </w:p>
    <w:p>
      <w:pPr>
        <w:spacing w:after="0" w:line="73" w:lineRule="exact"/>
        <w:rPr>
          <w:rFonts w:ascii="Times New Roman" w:cs="Times New Roman" w:eastAsia="Times New Roman" w:hAnsi="Times New Roman"/>
          <w:sz w:val="20"/>
          <w:szCs w:val="20"/>
          <w:color w:val="auto"/>
        </w:rPr>
      </w:pPr>
    </w:p>
    <w:p>
      <w:pPr>
        <w:ind w:left="1160" w:hanging="514"/>
        <w:spacing w:after="0" w:line="353" w:lineRule="auto"/>
        <w:tabs>
          <w:tab w:leader="none" w:pos="1150"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loss of any such Restricted GEBV Subsidiary for such period shall not be excluded in determining such Consolidated GEBV Net Income;</w:t>
      </w:r>
    </w:p>
    <w:p>
      <w:pPr>
        <w:spacing w:after="0" w:line="52" w:lineRule="exact"/>
        <w:rPr>
          <w:rFonts w:ascii="Times New Roman" w:cs="Times New Roman" w:eastAsia="Times New Roman" w:hAnsi="Times New Roman"/>
          <w:sz w:val="20"/>
          <w:szCs w:val="20"/>
          <w:color w:val="auto"/>
        </w:rPr>
      </w:pPr>
    </w:p>
    <w:p>
      <w:pPr>
        <w:jc w:val="both"/>
        <w:ind w:left="640" w:hanging="632"/>
        <w:spacing w:after="0" w:line="345" w:lineRule="auto"/>
        <w:tabs>
          <w:tab w:leader="none" w:pos="638"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loss) realized upon the sale or other disposition of any asset of GEBV or the Consolidated GEBV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gain or loss; and</w:t>
      </w:r>
    </w:p>
    <w:p>
      <w:pPr>
        <w:spacing w:after="0" w:line="18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w:t>
      </w:r>
    </w:p>
    <w:p>
      <w:pPr>
        <w:spacing w:after="0" w:line="185"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Net GEBV Indebtedness</w:t>
      </w:r>
      <w:r>
        <w:rPr>
          <w:rFonts w:ascii="Times New Roman" w:cs="Times New Roman" w:eastAsia="Times New Roman" w:hAnsi="Times New Roman"/>
          <w:sz w:val="19"/>
          <w:szCs w:val="19"/>
          <w:color w:val="auto"/>
        </w:rPr>
        <w:t xml:space="preserve">" means, at any date, (a) the sum for GEBV and its Consolidated Subsidiaries at such date, without duplication, of (i) all Indebtedness (other than obligations in respect of Swap Agreements) that is included on GEBV's consolidated balance sheet, (ii) all Capitalized Lease Obligations, (iii) all synthetic lease financings and (iv) all Qualified Receivables Transactions,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Cash Amount, all determined in accordance with GAAP. For purposes of computing Consolidated Net GEBV Indebtedness, (A) the amount of any synthetic lease financing shall equal the amount that would be capitalized in respect of such lease if it were a Capitalized Lease Obligation, (B) Indebtedness owing by GEBV or any of its Consolidated Subsidiaries to Goodyear or any of its Consolidated Subsidiaries shall be disregarded and (C) the "</w:t>
      </w:r>
      <w:r>
        <w:rPr>
          <w:rFonts w:ascii="Times New Roman" w:cs="Times New Roman" w:eastAsia="Times New Roman" w:hAnsi="Times New Roman"/>
          <w:sz w:val="19"/>
          <w:szCs w:val="19"/>
          <w:b w:val="1"/>
          <w:bCs w:val="1"/>
          <w:color w:val="auto"/>
        </w:rPr>
        <w:t>Cash Amount</w:t>
      </w:r>
      <w:r>
        <w:rPr>
          <w:rFonts w:ascii="Times New Roman" w:cs="Times New Roman" w:eastAsia="Times New Roman" w:hAnsi="Times New Roman"/>
          <w:sz w:val="19"/>
          <w:szCs w:val="19"/>
          <w:color w:val="auto"/>
        </w:rPr>
        <w:t>" shall mean the sum of (i) the aggregate amount of cash and Temporary Cash Investments in excess of $100,000,000 held at such time by GEBV and its Consolidated Subsidiaries, (ii) the aggregate amount of cash and Temporary Cash Investments in excess of $150,000,000 held at such time by Goodyear and its Consolidated Subsidiaries that are US Subsidiaries and (iii) if at such date the requirements of Section 6.09 of the First Lien Agreement do not apply and the conditions to borrowing under the First Lien Agreement are met, the amount equal to the difference between (1) the lesser of (x) the Borrowing</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95"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Base (as defined in the First Lien Agreement) and (y) the aggregate amount of the Commitments (as defined in the First Lien Agreement) in effect at such time under the First Lien Agreement minus (2) the aggregate amount of the Credit Exposures (as defined in the First Lien Agreement) at such time. For purposes of Section 6.09, Consolidated Net GEBV Indebtedness will be determined in Euros based upon the Exchange Rate in effect on the last day of the applicable period.</w:t>
      </w:r>
    </w:p>
    <w:p>
      <w:pPr>
        <w:spacing w:after="0" w:line="6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xml:space="preserve">" means, in the case of Goodyear, unless the context otherwise requires, the consolidation of (1) in the case of Goodyear, the accounts of each of the Restricted Subsidiaries with those of Goodyear and (2) in the case of a Restricted Subsidiary the accounts of each Subsidiary of such Restricted Subsidiary that is a Restricted Subsidiary with those of such Restricted Subsidiary, in each case in accordance with GAAP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will not include consolidation of the accounts of any Unrestricted Subsidiary, but the interest of Goodyear or any Restricted Subsidiary in an Unrestricted Subsidiary will be accounted for as an investment.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xml:space="preserve">" means, in the case of GEBV, unless the context otherwise requires, the consolidation of (1) in the case of GEBV, the accounts of each of the Restricted GEBV Subsidiaries with those of GEBV and (2) in the case of a Restricted GEBV Subsidiary, the accounts of each Subsidiary of such Restricted GEBV Subsidiary that is a Restricted GEBV Subsidiary with those of such Restricted GEBV Subsidiary, in each case in accordance with GAAP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will not include consolidation of the accounts of any GEBV Subsidiary that is an Unrestricted Subsidiary, but the interest of GEBV or any Restricted GEBV Subsidiary in any such Unrestricted Subsidiary will be accounted for as an investment. The term "</w:t>
      </w:r>
      <w:r>
        <w:rPr>
          <w:rFonts w:ascii="Times New Roman" w:cs="Times New Roman" w:eastAsia="Times New Roman" w:hAnsi="Times New Roman"/>
          <w:sz w:val="20"/>
          <w:szCs w:val="20"/>
          <w:b w:val="1"/>
          <w:bCs w:val="1"/>
          <w:color w:val="auto"/>
        </w:rPr>
        <w:t>Consolidated</w:t>
      </w:r>
      <w:r>
        <w:rPr>
          <w:rFonts w:ascii="Times New Roman" w:cs="Times New Roman" w:eastAsia="Times New Roman" w:hAnsi="Times New Roman"/>
          <w:sz w:val="20"/>
          <w:szCs w:val="20"/>
          <w:color w:val="auto"/>
        </w:rPr>
        <w:t>" has a correlative meaning.</w:t>
      </w:r>
    </w:p>
    <w:p>
      <w:pPr>
        <w:spacing w:after="0" w:line="93"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Stock</w:t>
      </w:r>
      <w:r>
        <w:rPr>
          <w:rFonts w:ascii="Times New Roman" w:cs="Times New Roman" w:eastAsia="Times New Roman" w:hAnsi="Times New Roman"/>
          <w:sz w:val="20"/>
          <w:szCs w:val="20"/>
          <w:color w:val="auto"/>
        </w:rPr>
        <w:t>" means, with respect to any Person, any Capital Stock which by its terms (or by the terms of any security into which it is convertible or for which it is exchangeable or exercisable) or upon the happening of any event:</w:t>
      </w:r>
    </w:p>
    <w:p>
      <w:pPr>
        <w:spacing w:after="0" w:line="49" w:lineRule="exact"/>
        <w:rPr>
          <w:sz w:val="20"/>
          <w:szCs w:val="20"/>
          <w:color w:val="auto"/>
        </w:rPr>
      </w:pPr>
    </w:p>
    <w:p>
      <w:pPr>
        <w:ind w:left="640" w:hanging="632"/>
        <w:spacing w:after="0"/>
        <w:tabs>
          <w:tab w:leader="none" w:pos="640"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pursuant to a sinking fund obligation or otherwise;</w:t>
      </w:r>
    </w:p>
    <w:p>
      <w:pPr>
        <w:spacing w:after="0" w:line="188" w:lineRule="exact"/>
        <w:rPr>
          <w:rFonts w:ascii="Times New Roman" w:cs="Times New Roman" w:eastAsia="Times New Roman" w:hAnsi="Times New Roman"/>
          <w:sz w:val="20"/>
          <w:szCs w:val="20"/>
          <w:color w:val="auto"/>
        </w:rPr>
      </w:pPr>
    </w:p>
    <w:p>
      <w:pPr>
        <w:jc w:val="both"/>
        <w:ind w:left="640" w:hanging="632"/>
        <w:spacing w:after="0" w:line="345" w:lineRule="auto"/>
        <w:tabs>
          <w:tab w:leader="none" w:pos="638"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convertible or exchangeable for Indebtedness or Disqualified Stock (excluding Capital Stock convertible or exchangeable solely at the option of Goodyear or a Restricted Subsidiary;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any such conversion or exchange shall be deemed an Incurrence of Indebtedness or Disqualified Stock, as applicable); or</w:t>
      </w:r>
    </w:p>
    <w:p>
      <w:pPr>
        <w:spacing w:after="0" w:line="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redeemable at the option of the holder thereof, in whole or in part;</w:t>
      </w:r>
    </w:p>
    <w:p>
      <w:pPr>
        <w:spacing w:after="0" w:line="189"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 xml:space="preserve">in the case of each of clauses (a), (b) and (c), on or prior to 180 days after the Maturity Date;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any Capital Stock that would not constitute Disqualified Stock but for provisions thereof giving holders thereof the right to require such Person to repurchase or redeem such Capital Stock upon the occurrence of an "asset sale" or "change of control" occurring prior to the date that is 180 days after the Maturity Date shall not constitute Disqualified Stock if the "asset sale" or "change of control" provisions applicable to such Capital Stock are not more favorable in any material respect to the holders of such Capital Stock than the provisions of Section 4.06 and Section 4.08 of (i) the Fifth Supplemental Indenture or (ii) the Seventh Supplemental Indenture; </w:t>
      </w:r>
      <w:r>
        <w:rPr>
          <w:rFonts w:ascii="Times New Roman" w:cs="Times New Roman" w:eastAsia="Times New Roman" w:hAnsi="Times New Roman"/>
          <w:sz w:val="20"/>
          <w:szCs w:val="20"/>
          <w:u w:val="single" w:color="auto"/>
          <w:color w:val="auto"/>
        </w:rPr>
        <w:t>provided further, however,</w:t>
      </w:r>
      <w:r>
        <w:rPr>
          <w:rFonts w:ascii="Times New Roman" w:cs="Times New Roman" w:eastAsia="Times New Roman" w:hAnsi="Times New Roman"/>
          <w:sz w:val="20"/>
          <w:szCs w:val="20"/>
          <w:color w:val="auto"/>
        </w:rPr>
        <w:t xml:space="preserve"> that if</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95"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such Capital Stock is issued to any employee or to any plan for the benefit of employees of Goodyear or its Subsidiaries or by any such plan to such employees, such Capital Stock shall not constitute Disqualified Stock solely because it may be required to be repurchased by Goodyear in order to satisfy applicable statutory or regulatory obligations or as a result of such employee's termination, retirement, death or disability.</w:t>
      </w:r>
    </w:p>
    <w:p>
      <w:pPr>
        <w:spacing w:after="0" w:line="68"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8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Rate</w:t>
      </w:r>
      <w:r>
        <w:rPr>
          <w:rFonts w:ascii="Times New Roman" w:cs="Times New Roman" w:eastAsia="Times New Roman" w:hAnsi="Times New Roman"/>
          <w:sz w:val="20"/>
          <w:szCs w:val="20"/>
          <w:color w:val="auto"/>
        </w:rPr>
        <w:t xml:space="preserve">" means, on any day, with respect to US Dollars, Pounds Sterling or any other currency in relation to Euros, the rate at which such currency may be exchanged into Euros, as set forth at approximately 12:00 (noon), London time, on such day on the Reuters World Currency Page for U.S. Dollars, Pounds Sterling or such other currency,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GEBV or, in the absence of such agreement, such Exchange Rate shall instead be the arithmetic average of the spot rates of exchange of the Administrative Agent, at or about 11:00 a.m., London time, on such date for the purchase of Euros for delivery two (2) Business Days later;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any such determination, for any reason, no such spot rate is being quoted, the Administrative Agent, after consultation with GEBV, may use any reasonable method it deems appropriate to determine such rate, and such determination shall be conclusive absent manifest error.</w:t>
      </w:r>
    </w:p>
    <w:p>
      <w:pPr>
        <w:spacing w:after="0" w:line="70"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the Amended and Restated Revolving Credit Agreement dated as of October 12, 2022, among Goodyear, GEBV, Goodyear Germany GmbH, Goodyear Operations S.A., the lenders party thereto, JPMSE, as administrative agent for the Lenders, and JPMorgan Chase Bank, N.A., as collateral agent for the Lenders.</w:t>
      </w:r>
    </w:p>
    <w:p>
      <w:pPr>
        <w:spacing w:after="0" w:line="5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Goodyear or by the Board of Directors.</w:t>
      </w:r>
    </w:p>
    <w:p>
      <w:pPr>
        <w:spacing w:after="0" w:line="6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or, when reference is made to financial statements of a Person organized under the laws of a jurisdiction outside of the United States, generally accepted accounting principles in such jurisdiction, except that all determinations made under Section 6.09 of the Agreement shall be made in accordance with generally accepted accounting principles in the United States.</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GEBV</w:t>
      </w:r>
      <w:r>
        <w:rPr>
          <w:rFonts w:ascii="Times New Roman" w:cs="Times New Roman" w:eastAsia="Times New Roman" w:hAnsi="Times New Roman"/>
          <w:sz w:val="20"/>
          <w:szCs w:val="20"/>
          <w:color w:val="auto"/>
        </w:rPr>
        <w:t>" means GOODYEAR EUROPE BV, a private company with limited liability incorporated under the laws of The Netherlands.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Goodyear</w:t>
      </w:r>
      <w:r>
        <w:rPr>
          <w:rFonts w:ascii="Times New Roman" w:cs="Times New Roman" w:eastAsia="Times New Roman" w:hAnsi="Times New Roman"/>
          <w:sz w:val="20"/>
          <w:szCs w:val="20"/>
          <w:color w:val="auto"/>
        </w:rPr>
        <w:t>" means The Goodyear Tire &amp; Rubber Company, an Ohio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Guarantee</w:t>
      </w:r>
      <w:r>
        <w:rPr>
          <w:rFonts w:ascii="Times New Roman" w:cs="Times New Roman" w:eastAsia="Times New Roman" w:hAnsi="Times New Roman"/>
          <w:sz w:val="19"/>
          <w:szCs w:val="19"/>
          <w:color w:val="auto"/>
        </w:rPr>
        <w:t>" means any obligation, contingent or otherwise, of any Person directly or indirectly guaranteeing any Indebtedness of any other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and any obligation, direct or indirect, contingent or otherwise, of such Person:</w:t>
      </w:r>
    </w:p>
    <w:p>
      <w:pPr>
        <w:spacing w:after="0" w:line="189" w:lineRule="exact"/>
        <w:rPr>
          <w:sz w:val="20"/>
          <w:szCs w:val="20"/>
          <w:color w:val="auto"/>
        </w:rPr>
      </w:pPr>
    </w:p>
    <w:p>
      <w:pPr>
        <w:jc w:val="both"/>
        <w:ind w:left="640" w:hanging="632"/>
        <w:spacing w:after="0" w:line="338" w:lineRule="auto"/>
        <w:tabs>
          <w:tab w:leader="none" w:pos="640"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67"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for purposes of assuring in any other manner the obligee of such Indebtedness of the payment thereof or to protect such obligee against loss in respect thereof (in whole or in part),</w:t>
      </w:r>
    </w:p>
    <w:p>
      <w:pPr>
        <w:spacing w:after="0" w:line="2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the term "Guarantee" shall not include endorsements for collection or deposit in the ordinary course of business. The term "Guarantee" used as a verb has a corresponding meaning. The term "Guarantor" shall mean any Person Guaranteeing any obligation.</w:t>
      </w:r>
    </w:p>
    <w:p>
      <w:pPr>
        <w:spacing w:after="0" w:line="18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Hedging Obligations</w:t>
      </w:r>
      <w:r>
        <w:rPr>
          <w:rFonts w:ascii="Times New Roman" w:cs="Times New Roman" w:eastAsia="Times New Roman" w:hAnsi="Times New Roman"/>
          <w:sz w:val="20"/>
          <w:szCs w:val="20"/>
          <w:color w:val="auto"/>
        </w:rPr>
        <w:t>" of any Person means the obligations of such Person pursuant to any Interest Rate Agreement, Currency Agreement or raw materials hedge agreement.</w:t>
      </w:r>
    </w:p>
    <w:p>
      <w:pPr>
        <w:spacing w:after="0" w:line="45"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Incur</w:t>
      </w:r>
      <w:r>
        <w:rPr>
          <w:rFonts w:ascii="Times New Roman" w:cs="Times New Roman" w:eastAsia="Times New Roman" w:hAnsi="Times New Roman"/>
          <w:sz w:val="19"/>
          <w:szCs w:val="19"/>
          <w:color w:val="auto"/>
        </w:rPr>
        <w:t xml:space="preserve">" means issue, assume, Guarantee, incur or otherwise become liable for;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xml:space="preserve"> that any Indebtedness or Capital Stock of a Person existing at the time such Person becomes a Subsidiary (whether by merger, consolidation, acquisition or otherwise) shall be deemed to be Incurred by such Person at the time it becomes a Subsidiary. The term "</w:t>
      </w:r>
      <w:r>
        <w:rPr>
          <w:rFonts w:ascii="Times New Roman" w:cs="Times New Roman" w:eastAsia="Times New Roman" w:hAnsi="Times New Roman"/>
          <w:sz w:val="19"/>
          <w:szCs w:val="19"/>
          <w:b w:val="1"/>
          <w:bCs w:val="1"/>
          <w:color w:val="auto"/>
        </w:rPr>
        <w:t>Incurrence</w:t>
      </w:r>
      <w:r>
        <w:rPr>
          <w:rFonts w:ascii="Times New Roman" w:cs="Times New Roman" w:eastAsia="Times New Roman" w:hAnsi="Times New Roman"/>
          <w:sz w:val="19"/>
          <w:szCs w:val="19"/>
          <w:color w:val="auto"/>
        </w:rPr>
        <w:t>" when used as a noun shall have a correlative meaning. The accretion of principal of a non-interest bearing or other discount security shall not be deemed the Incurrence of Indebtedness.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on any date of determination, without duplication:</w:t>
      </w:r>
    </w:p>
    <w:p>
      <w:pPr>
        <w:spacing w:after="0" w:line="193" w:lineRule="exact"/>
        <w:rPr>
          <w:sz w:val="20"/>
          <w:szCs w:val="20"/>
          <w:color w:val="auto"/>
        </w:rPr>
      </w:pPr>
    </w:p>
    <w:p>
      <w:pPr>
        <w:ind w:left="640" w:hanging="632"/>
        <w:spacing w:after="0"/>
        <w:tabs>
          <w:tab w:leader="none" w:pos="640"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and premium (if any) in respect of indebtedness of such Person for borrowed money;</w:t>
      </w:r>
    </w:p>
    <w:p>
      <w:pPr>
        <w:spacing w:after="0" w:line="188"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and premium (if any) in respect of obligations of such Person evidenced by bonds, debentures, notes or other similar instruments;</w:t>
      </w:r>
    </w:p>
    <w:p>
      <w:pPr>
        <w:spacing w:after="0" w:line="65" w:lineRule="exact"/>
        <w:rPr>
          <w:rFonts w:ascii="Times New Roman" w:cs="Times New Roman" w:eastAsia="Times New Roman" w:hAnsi="Times New Roman"/>
          <w:sz w:val="20"/>
          <w:szCs w:val="20"/>
          <w:color w:val="auto"/>
        </w:rPr>
      </w:pPr>
    </w:p>
    <w:p>
      <w:pPr>
        <w:jc w:val="both"/>
        <w:ind w:left="640" w:hanging="632"/>
        <w:spacing w:after="0" w:line="352" w:lineRule="auto"/>
        <w:tabs>
          <w:tab w:leader="none" w:pos="640" w:val="left"/>
        </w:tabs>
        <w:numPr>
          <w:ilvl w:val="0"/>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for the reimbursement of any obligor on any letter of credit, bank guarantee, bankers' acceptance or similar credit transaction (other than obligations with respect to letters of credit, bank guarantees, Trade Acceptances or similar credit transactions securing obligations (other than obligations described in clauses (a), (b), and (e))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following payment on the letter of credit, bank guarantee, Trade Acceptance or similar credit transaction);</w:t>
      </w:r>
    </w:p>
    <w:p>
      <w:pPr>
        <w:spacing w:after="0" w:line="189" w:lineRule="exact"/>
        <w:rPr>
          <w:sz w:val="20"/>
          <w:szCs w:val="20"/>
          <w:color w:val="auto"/>
        </w:rPr>
      </w:pPr>
    </w:p>
    <w:p>
      <w:pPr>
        <w:jc w:val="both"/>
        <w:ind w:left="640" w:hanging="632"/>
        <w:spacing w:after="0" w:line="345" w:lineRule="auto"/>
        <w:tabs>
          <w:tab w:leader="none" w:pos="638"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and unpaid purchase price of property or services (except Trade Payables), which purchase price is due more than six months after the date of placing such property in service or taking delivery and title thereto or the completion of such services;</w:t>
      </w:r>
    </w:p>
    <w:p>
      <w:pPr>
        <w:spacing w:after="0" w:line="6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all Capitalized Lease Obligations and all Attributable Debt of such Person;</w:t>
      </w:r>
    </w:p>
    <w:p>
      <w:pPr>
        <w:spacing w:after="0" w:line="189" w:lineRule="exact"/>
        <w:rPr>
          <w:sz w:val="20"/>
          <w:szCs w:val="20"/>
          <w:color w:val="auto"/>
        </w:rPr>
      </w:pPr>
    </w:p>
    <w:p>
      <w:pPr>
        <w:jc w:val="both"/>
        <w:ind w:left="640" w:hanging="632"/>
        <w:spacing w:after="0" w:line="338" w:lineRule="auto"/>
        <w:tabs>
          <w:tab w:leader="none" w:pos="632"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67" w:lineRule="exact"/>
        <w:rPr>
          <w:rFonts w:ascii="Times New Roman" w:cs="Times New Roman" w:eastAsia="Times New Roman" w:hAnsi="Times New Roman"/>
          <w:sz w:val="20"/>
          <w:szCs w:val="20"/>
          <w:color w:val="auto"/>
        </w:rPr>
      </w:pPr>
    </w:p>
    <w:p>
      <w:pPr>
        <w:ind w:left="640" w:hanging="632"/>
        <w:spacing w:after="0" w:line="367" w:lineRule="auto"/>
        <w:tabs>
          <w:tab w:leader="none" w:pos="638"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Indebtedness of other Persons secured by a Lien on any asset of such Person, whether or not such Indebtedness is assumed by such Person;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the amount of Indebtedness of such Person shall be the lesser of:</w:t>
      </w:r>
    </w:p>
    <w:p>
      <w:pPr>
        <w:spacing w:after="0" w:line="39" w:lineRule="exact"/>
        <w:rPr>
          <w:sz w:val="20"/>
          <w:szCs w:val="20"/>
          <w:color w:val="auto"/>
        </w:rPr>
      </w:pPr>
    </w:p>
    <w:p>
      <w:pPr>
        <w:ind w:left="640"/>
        <w:spacing w:after="0"/>
        <w:tabs>
          <w:tab w:leader="none" w:pos="30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the Fair Market Value of such asset at such date of determination and</w:t>
      </w:r>
    </w:p>
    <w:p>
      <w:pPr>
        <w:spacing w:after="0" w:line="189" w:lineRule="exact"/>
        <w:rPr>
          <w:sz w:val="20"/>
          <w:szCs w:val="20"/>
          <w:color w:val="auto"/>
        </w:rPr>
      </w:pPr>
    </w:p>
    <w:p>
      <w:pPr>
        <w:ind w:left="1140" w:hanging="494"/>
        <w:spacing w:after="0"/>
        <w:tabs>
          <w:tab w:leader="none" w:pos="114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such Indebtedness of such other Persons;</w:t>
      </w:r>
    </w:p>
    <w:p>
      <w:pPr>
        <w:spacing w:after="0" w:line="18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Hedging Obligations of such Person; and</w:t>
      </w:r>
    </w:p>
    <w:p>
      <w:pPr>
        <w:spacing w:after="0" w:line="189" w:lineRule="exact"/>
        <w:rPr>
          <w:sz w:val="20"/>
          <w:szCs w:val="20"/>
          <w:color w:val="auto"/>
        </w:rPr>
      </w:pPr>
    </w:p>
    <w:p>
      <w:pPr>
        <w:ind w:left="640" w:hanging="632"/>
        <w:spacing w:after="0" w:line="353" w:lineRule="auto"/>
        <w:tabs>
          <w:tab w:leader="none" w:pos="63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the type referred to in clauses (a) through (h) of other Persons for the payment of which such Person is responsible or liable, directly or indirectly, as obligor, guarantor or otherwise, including by means of any Guarantee.</w:t>
      </w:r>
    </w:p>
    <w:p>
      <w:pPr>
        <w:spacing w:after="0" w:line="66"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 xml:space="preserve">Notwithstanding the foregoing, in connection with the purchase by Goodyear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at the time of closing, the amount of any such payment is not determinable and, to the extent such payment thereafter becomes fixed and determined, the amount is paid within 30 days thereafter.</w:t>
      </w:r>
    </w:p>
    <w:p>
      <w:pPr>
        <w:spacing w:after="0" w:line="88"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 xml:space="preserve">The amount of Indebtedness of any Person at any date shall be the outstanding balance at such date of all unconditional obligations as described above;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in the case of Indebtedness sold at a discount, the amount of such Indebtedness at any time will be the accreted value thereof at such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JPMSE</w:t>
      </w:r>
      <w:r>
        <w:rPr>
          <w:rFonts w:ascii="Times New Roman" w:cs="Times New Roman" w:eastAsia="Times New Roman" w:hAnsi="Times New Roman"/>
          <w:sz w:val="20"/>
          <w:szCs w:val="20"/>
          <w:color w:val="auto"/>
        </w:rPr>
        <w:t>" means J.P. Morgan SE, and its successors.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Receivables Transaction</w:t>
      </w:r>
      <w:r>
        <w:rPr>
          <w:rFonts w:ascii="Times New Roman" w:cs="Times New Roman" w:eastAsia="Times New Roman" w:hAnsi="Times New Roman"/>
          <w:sz w:val="20"/>
          <w:szCs w:val="20"/>
          <w:color w:val="auto"/>
        </w:rPr>
        <w:t>" means any transaction or series of transactions that may be entered into by Goodyear or any of 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pursuant to which Goodyear or any of its Subsidiaries may sell, convey or otherwise transfer to:</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95"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a Receivables Entity (in the case of a transfer by Goodyear or any of its Subsidiaries); or</w:t>
      </w:r>
    </w:p>
    <w:p>
      <w:pPr>
        <w:spacing w:after="0" w:line="189" w:lineRule="exact"/>
        <w:rPr>
          <w:sz w:val="20"/>
          <w:szCs w:val="20"/>
          <w:color w:val="auto"/>
        </w:rPr>
      </w:pPr>
    </w:p>
    <w:p>
      <w:pPr>
        <w:ind w:left="640" w:hanging="632"/>
        <w:spacing w:after="0"/>
        <w:tabs>
          <w:tab w:leader="none" w:pos="64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Person (in the case of a transfer by a Receivables Entity);</w:t>
      </w:r>
    </w:p>
    <w:p>
      <w:pPr>
        <w:spacing w:after="0" w:line="189"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 xml:space="preserve">or may grant a security interest in, any accounts receivable (whether now existing or arising in the future) of Goodyear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the financing terms, covenants, termination events and other provisions thereof shall be market terms (as determined in good faith by a Financial Officer of Goodyear); and </w:t>
      </w:r>
      <w:r>
        <w:rPr>
          <w:rFonts w:ascii="Times New Roman" w:cs="Times New Roman" w:eastAsia="Times New Roman" w:hAnsi="Times New Roman"/>
          <w:sz w:val="20"/>
          <w:szCs w:val="20"/>
          <w:u w:val="single" w:color="auto"/>
          <w:color w:val="auto"/>
        </w:rPr>
        <w:t>provided further, however,</w:t>
      </w:r>
      <w:r>
        <w:rPr>
          <w:rFonts w:ascii="Times New Roman" w:cs="Times New Roman" w:eastAsia="Times New Roman" w:hAnsi="Times New Roman"/>
          <w:sz w:val="20"/>
          <w:szCs w:val="20"/>
          <w:color w:val="auto"/>
        </w:rPr>
        <w:t xml:space="preserve"> that no such transaction or series of transactions shall be a Qualified Receivables Transaction if any of the accounts receivable subject thereto is or would absent such transaction or series of transactions otherwise be subject to a Lien securing any European Bank Indebtedness.</w:t>
      </w:r>
    </w:p>
    <w:p>
      <w:pPr>
        <w:spacing w:after="0" w:line="74"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20"/>
          <w:szCs w:val="20"/>
          <w:color w:val="auto"/>
        </w:rPr>
        <w:t>The grant of a security interest in any accounts receivable of Goodyear or any of its Restricted Subsidiaries to secure Bank Indebtedness shall not be deemed a Qualified Receivables Transaction.</w:t>
      </w:r>
    </w:p>
    <w:p>
      <w:pPr>
        <w:spacing w:after="0" w:line="48"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Receivables Entity</w:t>
      </w:r>
      <w:r>
        <w:rPr>
          <w:rFonts w:ascii="Times New Roman" w:cs="Times New Roman" w:eastAsia="Times New Roman" w:hAnsi="Times New Roman"/>
          <w:sz w:val="20"/>
          <w:szCs w:val="20"/>
          <w:color w:val="auto"/>
        </w:rPr>
        <w:t>" means a (a) Wholly Owned Subsidiary of Goodyear which is a Restricted Subsidiary and which is designated by the Board of Directors (as provided below) as a Receivables Entity or (b) another Person engaging in a Qualified Receivables Transaction with Goodyear or a Subsidiary of Goodyear which Person engages in the business of the financing of accounts receivable, and in either of clause</w:t>
      </w:r>
    </w:p>
    <w:p>
      <w:pPr>
        <w:ind w:left="280" w:hanging="272"/>
        <w:spacing w:after="0"/>
        <w:tabs>
          <w:tab w:leader="none" w:pos="280"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w:t>
      </w:r>
    </w:p>
    <w:p>
      <w:pPr>
        <w:spacing w:after="0" w:line="188" w:lineRule="exact"/>
        <w:rPr>
          <w:rFonts w:ascii="Times New Roman" w:cs="Times New Roman" w:eastAsia="Times New Roman" w:hAnsi="Times New Roman"/>
          <w:sz w:val="20"/>
          <w:szCs w:val="20"/>
          <w:color w:val="auto"/>
        </w:rPr>
      </w:pPr>
    </w:p>
    <w:p>
      <w:pPr>
        <w:ind w:left="1140" w:hanging="494"/>
        <w:spacing w:after="0"/>
        <w:tabs>
          <w:tab w:leader="none" w:pos="1140"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obligations (contingent or otherwise) of which</w:t>
      </w:r>
    </w:p>
    <w:p>
      <w:pPr>
        <w:spacing w:after="0" w:line="188" w:lineRule="exact"/>
        <w:rPr>
          <w:rFonts w:ascii="Times New Roman" w:cs="Times New Roman" w:eastAsia="Times New Roman" w:hAnsi="Times New Roman"/>
          <w:sz w:val="20"/>
          <w:szCs w:val="20"/>
          <w:color w:val="auto"/>
        </w:rPr>
      </w:pPr>
    </w:p>
    <w:p>
      <w:pPr>
        <w:ind w:left="1660" w:hanging="504"/>
        <w:spacing w:after="0" w:line="353" w:lineRule="auto"/>
        <w:tabs>
          <w:tab w:leader="none" w:pos="1654"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Guaranteed by Goodyear or any Subsidiary of Goodyear (excluding Guarantees of obligations (other than the principal of, and interest on, Indebtedness) pursuant to Standard Securitization Undertakings);</w:t>
      </w:r>
    </w:p>
    <w:p>
      <w:pPr>
        <w:spacing w:after="0" w:line="52" w:lineRule="exact"/>
        <w:rPr>
          <w:rFonts w:ascii="Times New Roman" w:cs="Times New Roman" w:eastAsia="Times New Roman" w:hAnsi="Times New Roman"/>
          <w:sz w:val="20"/>
          <w:szCs w:val="20"/>
          <w:color w:val="auto"/>
        </w:rPr>
      </w:pPr>
    </w:p>
    <w:p>
      <w:pPr>
        <w:ind w:left="1660" w:hanging="504"/>
        <w:spacing w:after="0" w:line="367" w:lineRule="auto"/>
        <w:tabs>
          <w:tab w:leader="none" w:pos="1656"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recourse to or obligates Goodyear or any Subsidiary of Goodyear in any way other than pursuant to Standard Securitization Undertakings; or</w:t>
      </w:r>
    </w:p>
    <w:p>
      <w:pPr>
        <w:spacing w:after="0" w:line="39" w:lineRule="exact"/>
        <w:rPr>
          <w:rFonts w:ascii="Times New Roman" w:cs="Times New Roman" w:eastAsia="Times New Roman" w:hAnsi="Times New Roman"/>
          <w:sz w:val="20"/>
          <w:szCs w:val="20"/>
          <w:color w:val="auto"/>
        </w:rPr>
      </w:pPr>
    </w:p>
    <w:p>
      <w:pPr>
        <w:ind w:left="1660" w:hanging="504"/>
        <w:spacing w:after="0" w:line="353" w:lineRule="auto"/>
        <w:tabs>
          <w:tab w:leader="none" w:pos="1656"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subjects any property or asset of Goodyear or any Subsidiary of Goodyear, directly or indirectly, contingently or otherwise, to the satisfaction thereof, other than pursuant to Standard Securitization Undertakings;</w:t>
      </w:r>
    </w:p>
    <w:p>
      <w:pPr>
        <w:spacing w:after="0" w:line="52" w:lineRule="exact"/>
        <w:rPr>
          <w:rFonts w:ascii="Times New Roman" w:cs="Times New Roman" w:eastAsia="Times New Roman" w:hAnsi="Times New Roman"/>
          <w:sz w:val="20"/>
          <w:szCs w:val="20"/>
          <w:color w:val="auto"/>
        </w:rPr>
      </w:pPr>
    </w:p>
    <w:p>
      <w:pPr>
        <w:jc w:val="both"/>
        <w:ind w:left="1180" w:hanging="534"/>
        <w:spacing w:after="0" w:line="338" w:lineRule="auto"/>
        <w:tabs>
          <w:tab w:leader="none" w:pos="1169"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an Affiliate of Goodyear or with which neither Goodyear nor any Subsidiary of Goodyear has any material contract, agreement, arrangement or understanding other than on terms which Goodyear reasonably believes to be no less favorable to Goodyear or such Subsidiary than those that might be obtained at the time from Persons that are not Affiliates of Goodyear; and</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95" w:lineRule="exact"/>
        <w:rPr>
          <w:sz w:val="20"/>
          <w:szCs w:val="20"/>
          <w:color w:val="auto"/>
        </w:rPr>
      </w:pPr>
    </w:p>
    <w:p>
      <w:pPr>
        <w:ind w:left="1180" w:hanging="534"/>
        <w:spacing w:after="0" w:line="353" w:lineRule="auto"/>
        <w:tabs>
          <w:tab w:leader="none" w:pos="1169"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which neither Goodyear nor any Subsidiary of Goodyear has any obligation to maintain or preserve such entity's financial condition or cause such entity to achieve certain levels of operating results.</w:t>
      </w:r>
    </w:p>
    <w:p>
      <w:pPr>
        <w:spacing w:after="0" w:line="52" w:lineRule="exact"/>
        <w:rPr>
          <w:sz w:val="20"/>
          <w:szCs w:val="20"/>
          <w:color w:val="auto"/>
        </w:rPr>
      </w:pPr>
    </w:p>
    <w:p>
      <w:pPr>
        <w:jc w:val="both"/>
        <w:ind w:right="20"/>
        <w:spacing w:after="0" w:line="345" w:lineRule="auto"/>
        <w:rPr>
          <w:sz w:val="20"/>
          <w:szCs w:val="20"/>
          <w:color w:val="auto"/>
        </w:rPr>
      </w:pPr>
      <w:r>
        <w:rPr>
          <w:rFonts w:ascii="Times New Roman" w:cs="Times New Roman" w:eastAsia="Times New Roman" w:hAnsi="Times New Roman"/>
          <w:sz w:val="20"/>
          <w:szCs w:val="20"/>
          <w:color w:val="auto"/>
        </w:rPr>
        <w:t>Any such designation by the Board of Directors shall be evidenced to the Administrative Agent by furnishing to the Administrative Agent a certified copy of the resolution of the Board of Directors giving effect to such designation and a certificate of a Financial Officer certifying that such designation complied with the foregoing conditions.</w:t>
      </w:r>
    </w:p>
    <w:p>
      <w:pPr>
        <w:spacing w:after="0" w:line="57"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Restatement Effective Date</w:t>
      </w:r>
      <w:r>
        <w:rPr>
          <w:rFonts w:ascii="Times New Roman" w:cs="Times New Roman" w:eastAsia="Times New Roman" w:hAnsi="Times New Roman"/>
          <w:sz w:val="20"/>
          <w:szCs w:val="20"/>
          <w:color w:val="auto"/>
        </w:rPr>
        <w:t>" means the date on which the conditions specified in Section 4.01 of the Agreement are satisfied (or waived in accordance with Section 9.02 of the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GEBV Subsidiary</w:t>
      </w:r>
      <w:r>
        <w:rPr>
          <w:rFonts w:ascii="Times New Roman" w:cs="Times New Roman" w:eastAsia="Times New Roman" w:hAnsi="Times New Roman"/>
          <w:sz w:val="20"/>
          <w:szCs w:val="20"/>
          <w:color w:val="auto"/>
        </w:rPr>
        <w:t>" means any GEBV Subsidiary that is a Restricted Subsidiary.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Subsidiary</w:t>
      </w:r>
      <w:r>
        <w:rPr>
          <w:rFonts w:ascii="Times New Roman" w:cs="Times New Roman" w:eastAsia="Times New Roman" w:hAnsi="Times New Roman"/>
          <w:sz w:val="20"/>
          <w:szCs w:val="20"/>
          <w:color w:val="auto"/>
        </w:rPr>
        <w:t>" means any Subsidiary of Goodyear other than an Unrestricted Subsidiary.</w:t>
      </w:r>
    </w:p>
    <w:p>
      <w:pPr>
        <w:spacing w:after="0" w:line="202"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Sale/Leaseback Transaction</w:t>
      </w:r>
      <w:r>
        <w:rPr>
          <w:rFonts w:ascii="Times New Roman" w:cs="Times New Roman" w:eastAsia="Times New Roman" w:hAnsi="Times New Roman"/>
          <w:sz w:val="20"/>
          <w:szCs w:val="20"/>
          <w:color w:val="auto"/>
        </w:rPr>
        <w:t>" means an arrangement relating to property, plant and equipment now owned or hereafter acquired by Goodyear or a Restricted Subsidiary whereby Goodyear or a Restricted Subsidiary transfers such property to a Person and Goodyear or such Restricted Subsidiary leases it from such Person other than (i) leases between Goodyear and a Restricted Subsidiary or between Restricted Subsidiaries or (ii) any such transaction entered into with respect to any property, plant and equipment or any improvements thereto at the time of, or within 180 days after, the 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6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Goodyear or any Subsidiary of Goodyear which, taken as a whole, are customary in an accounts receivable transaction.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subsidiary of Goodyear.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Agreement</w:t>
      </w:r>
      <w:r>
        <w:rPr>
          <w:rFonts w:ascii="Times New Roman" w:cs="Times New Roman" w:eastAsia="Times New Roman" w:hAnsi="Times New Roman"/>
          <w:sz w:val="20"/>
          <w:szCs w:val="20"/>
          <w:color w:val="auto"/>
        </w:rPr>
        <w:t>" means any agreement in respect of any Hedging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Temporary Cash Investments</w:t>
      </w:r>
      <w:r>
        <w:rPr>
          <w:rFonts w:ascii="Times New Roman" w:cs="Times New Roman" w:eastAsia="Times New Roman" w:hAnsi="Times New Roman"/>
          <w:sz w:val="20"/>
          <w:szCs w:val="20"/>
          <w:color w:val="auto"/>
        </w:rPr>
        <w:t>" means any of the following:</w:t>
      </w:r>
    </w:p>
    <w:p>
      <w:pPr>
        <w:spacing w:after="0" w:line="193" w:lineRule="exact"/>
        <w:rPr>
          <w:sz w:val="20"/>
          <w:szCs w:val="20"/>
          <w:color w:val="auto"/>
        </w:rPr>
      </w:pPr>
    </w:p>
    <w:p>
      <w:pPr>
        <w:jc w:val="both"/>
        <w:ind w:left="640" w:hanging="632"/>
        <w:spacing w:after="0" w:line="355" w:lineRule="auto"/>
        <w:tabs>
          <w:tab w:leader="none" w:pos="640"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United States of America, the United Kingdom, the Kingdom of the Netherlands, the French Republic, the Federal Republic of Germany or the Grand Duchy of Luxembourg or another member state of the European Union (or by any agency thereof to the extent such obligations are backed by the full faith and credit of such sovereign), in each case maturing within one year from the date of acquisition thereof;</w:t>
      </w:r>
    </w:p>
    <w:p>
      <w:pPr>
        <w:spacing w:after="0" w:line="57" w:lineRule="exact"/>
        <w:rPr>
          <w:rFonts w:ascii="Times New Roman" w:cs="Times New Roman" w:eastAsia="Times New Roman" w:hAnsi="Times New Roman"/>
          <w:sz w:val="19"/>
          <w:szCs w:val="19"/>
          <w:color w:val="auto"/>
        </w:rPr>
      </w:pPr>
    </w:p>
    <w:p>
      <w:pPr>
        <w:jc w:val="both"/>
        <w:ind w:left="640" w:hanging="632"/>
        <w:spacing w:after="0" w:line="345" w:lineRule="auto"/>
        <w:tabs>
          <w:tab w:leader="none" w:pos="638"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95" w:lineRule="exact"/>
        <w:rPr>
          <w:sz w:val="20"/>
          <w:szCs w:val="20"/>
          <w:color w:val="auto"/>
        </w:rPr>
      </w:pPr>
    </w:p>
    <w:p>
      <w:pPr>
        <w:jc w:val="both"/>
        <w:ind w:left="632" w:hanging="632"/>
        <w:spacing w:after="0" w:line="332" w:lineRule="auto"/>
        <w:tabs>
          <w:tab w:leader="none" w:pos="632"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180 days from the date of acquisition thereof and issued or guaranteed by or placed with, and money market deposit accounts issued or offered by any commercial bank organized under the laws of the United States of America or any state thereof, , the United Kingdom, the Kingdom of the Netherlands, the French Republic, the Federal Republic of Germany, the Grand Duchy of Luxembourg, or another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75" w:lineRule="exact"/>
        <w:rPr>
          <w:rFonts w:ascii="Times New Roman" w:cs="Times New Roman" w:eastAsia="Times New Roman" w:hAnsi="Times New Roman"/>
          <w:sz w:val="20"/>
          <w:szCs w:val="20"/>
          <w:color w:val="auto"/>
        </w:rPr>
      </w:pPr>
    </w:p>
    <w:p>
      <w:pPr>
        <w:ind w:left="632" w:hanging="632"/>
        <w:spacing w:after="0" w:line="353" w:lineRule="auto"/>
        <w:tabs>
          <w:tab w:leader="none" w:pos="630"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described in clause (c) above;</w:t>
      </w:r>
    </w:p>
    <w:p>
      <w:pPr>
        <w:spacing w:after="0" w:line="52" w:lineRule="exact"/>
        <w:rPr>
          <w:rFonts w:ascii="Times New Roman" w:cs="Times New Roman" w:eastAsia="Times New Roman" w:hAnsi="Times New Roman"/>
          <w:sz w:val="20"/>
          <w:szCs w:val="20"/>
          <w:color w:val="auto"/>
        </w:rPr>
      </w:pPr>
    </w:p>
    <w:p>
      <w:pPr>
        <w:jc w:val="both"/>
        <w:ind w:left="632" w:hanging="632"/>
        <w:spacing w:after="0" w:line="345" w:lineRule="auto"/>
        <w:tabs>
          <w:tab w:leader="none" w:pos="632"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(ii) have not less than two of the following ratings: AAA from Standard &amp; Poor's, Aaa from Moody's and AAA from Fitch and (iii) have portfolio assets of at least $3,000,000,000;</w:t>
      </w:r>
    </w:p>
    <w:p>
      <w:pPr>
        <w:spacing w:after="0" w:line="61" w:lineRule="exact"/>
        <w:rPr>
          <w:rFonts w:ascii="Times New Roman" w:cs="Times New Roman" w:eastAsia="Times New Roman" w:hAnsi="Times New Roman"/>
          <w:sz w:val="20"/>
          <w:szCs w:val="20"/>
          <w:color w:val="auto"/>
        </w:rPr>
      </w:pPr>
    </w:p>
    <w:p>
      <w:pPr>
        <w:jc w:val="both"/>
        <w:ind w:left="632" w:hanging="632"/>
        <w:spacing w:after="0" w:line="338" w:lineRule="auto"/>
        <w:tabs>
          <w:tab w:leader="none" w:pos="624"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the type and maturity described in clauses (b) through (e) of foreign obligors, which investments or obligors have ratings described in such Articles or equivalent ratings from comparable foreign rating agencies (and with respect to clause (e), are not required to comply with the Rule 2a-7 criteria);</w:t>
      </w:r>
    </w:p>
    <w:p>
      <w:pPr>
        <w:spacing w:after="0" w:line="67" w:lineRule="exact"/>
        <w:rPr>
          <w:rFonts w:ascii="Times New Roman" w:cs="Times New Roman" w:eastAsia="Times New Roman" w:hAnsi="Times New Roman"/>
          <w:sz w:val="20"/>
          <w:szCs w:val="20"/>
          <w:color w:val="auto"/>
        </w:rPr>
      </w:pPr>
    </w:p>
    <w:p>
      <w:pPr>
        <w:jc w:val="both"/>
        <w:ind w:left="632" w:hanging="632"/>
        <w:spacing w:after="0" w:line="338" w:lineRule="auto"/>
        <w:tabs>
          <w:tab w:leader="none" w:pos="630"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 clause (c)) or (ii) carries a rating at least equivalent to the rating of the sovereign nation in which it is located; and</w:t>
      </w:r>
    </w:p>
    <w:p>
      <w:pPr>
        <w:spacing w:after="0" w:line="67" w:lineRule="exact"/>
        <w:rPr>
          <w:rFonts w:ascii="Times New Roman" w:cs="Times New Roman" w:eastAsia="Times New Roman" w:hAnsi="Times New Roman"/>
          <w:sz w:val="20"/>
          <w:szCs w:val="20"/>
          <w:color w:val="auto"/>
        </w:rPr>
      </w:pPr>
    </w:p>
    <w:p>
      <w:pPr>
        <w:jc w:val="both"/>
        <w:ind w:left="632" w:hanging="632"/>
        <w:spacing w:after="0" w:line="349" w:lineRule="auto"/>
        <w:tabs>
          <w:tab w:leader="none" w:pos="630"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(c) in obligors organized under the laws of a jurisdiction other than the United States in any country in which such Foreign Subsidiary is located, provided that the investments permitted under this sub-clause (ii) shall be made in amounts and jurisdictions consistent with Goodyear's policies governing short-term investments.</w:t>
      </w:r>
    </w:p>
    <w:p>
      <w:pPr>
        <w:sectPr>
          <w:pgSz w:w="11900" w:h="16838" w:orient="portrait"/>
          <w:cols w:equalWidth="0" w:num="1">
            <w:col w:w="11232"/>
          </w:cols>
          <w:pgMar w:left="328" w:top="1440" w:right="339" w:bottom="1440" w:gutter="0" w:footer="0" w:header="0"/>
        </w:sectPr>
      </w:pPr>
    </w:p>
    <w:bookmarkStart w:id="290" w:name="page291"/>
    <w:bookmarkEnd w:id="290"/>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640" w:hanging="632"/>
        <w:spacing w:after="0" w:line="353" w:lineRule="auto"/>
        <w:tabs>
          <w:tab w:leader="none" w:pos="640"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Goodyear that at the time of determination shall be designated an Unrestricted Subsidiary by the Board of Directors in the manner provided below and</w:t>
      </w:r>
    </w:p>
    <w:p>
      <w:pPr>
        <w:spacing w:after="0" w:line="6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an Unrestricted Subsidiary</w:t>
      </w:r>
      <w:r>
        <w:rPr>
          <w:rFonts w:ascii="Times New Roman" w:cs="Times New Roman" w:eastAsia="Times New Roman" w:hAnsi="Times New Roman"/>
          <w:sz w:val="20"/>
          <w:szCs w:val="20"/>
          <w:color w:val="0000FF"/>
        </w:rPr>
        <w:t>.</w:t>
      </w:r>
    </w:p>
    <w:p>
      <w:pPr>
        <w:spacing w:after="0" w:line="18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20"/>
          <w:szCs w:val="20"/>
          <w:color w:val="auto"/>
        </w:rPr>
        <w:t xml:space="preserve">The Board of Directors may designate any Subsidiary of Goodyear (including any newly acquired or newly formed Subsidiary of Goodyear) to be an Unrestricted Subsidiary unless such Subsidiary or any of its Subsidiaries owns any Capital Stock or Indebtedness of, or owns or holds any Lien on any property of, Goodyear or any other Subsidiary of Goodyear that is not a Subsidiary of the Subsidiary to be so designated;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either:</w:t>
      </w:r>
    </w:p>
    <w:p>
      <w:pPr>
        <w:spacing w:after="0" w:line="74" w:lineRule="exact"/>
        <w:rPr>
          <w:sz w:val="20"/>
          <w:szCs w:val="20"/>
          <w:color w:val="auto"/>
        </w:rPr>
      </w:pPr>
    </w:p>
    <w:p>
      <w:pPr>
        <w:ind w:left="640" w:hanging="632"/>
        <w:spacing w:after="0"/>
        <w:tabs>
          <w:tab w:leader="none" w:pos="640"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to be so designated has total Consolidated assets of $1,000 or less; or</w:t>
      </w:r>
    </w:p>
    <w:p>
      <w:pPr>
        <w:spacing w:after="0" w:line="202" w:lineRule="exact"/>
        <w:rPr>
          <w:rFonts w:ascii="Times New Roman" w:cs="Times New Roman" w:eastAsia="Times New Roman" w:hAnsi="Times New Roman"/>
          <w:sz w:val="20"/>
          <w:szCs w:val="20"/>
          <w:color w:val="auto"/>
        </w:rPr>
      </w:pPr>
    </w:p>
    <w:p>
      <w:pPr>
        <w:ind w:left="640" w:hanging="632"/>
        <w:spacing w:after="0" w:line="353" w:lineRule="auto"/>
        <w:tabs>
          <w:tab w:leader="none" w:pos="638"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has total Consolidated assets greater than $1,000, then such designation would be permitted under Section 6.02 of the Agreement.</w:t>
      </w:r>
    </w:p>
    <w:p>
      <w:pPr>
        <w:spacing w:after="0" w:line="52" w:lineRule="exact"/>
        <w:rPr>
          <w:sz w:val="20"/>
          <w:szCs w:val="20"/>
          <w:color w:val="auto"/>
        </w:rPr>
      </w:pPr>
    </w:p>
    <w:p>
      <w:pPr>
        <w:spacing w:after="0" w:line="353" w:lineRule="auto"/>
        <w:rPr>
          <w:sz w:val="20"/>
          <w:szCs w:val="20"/>
          <w:color w:val="auto"/>
        </w:rPr>
      </w:pPr>
      <w:r>
        <w:rPr>
          <w:rFonts w:ascii="Times New Roman" w:cs="Times New Roman" w:eastAsia="Times New Roman" w:hAnsi="Times New Roman"/>
          <w:sz w:val="20"/>
          <w:szCs w:val="20"/>
          <w:color w:val="auto"/>
        </w:rPr>
        <w:t xml:space="preserve">The Board of Directors may designate any Unrestricted Subsidiary to be a Restricted Subsidiary;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immediately after giving effect to such designation:</w:t>
      </w:r>
    </w:p>
    <w:p>
      <w:pPr>
        <w:spacing w:after="0" w:line="52" w:lineRule="exact"/>
        <w:rPr>
          <w:sz w:val="20"/>
          <w:szCs w:val="20"/>
          <w:color w:val="auto"/>
        </w:rPr>
      </w:pPr>
    </w:p>
    <w:p>
      <w:pPr>
        <w:jc w:val="both"/>
        <w:ind w:left="640" w:hanging="632"/>
        <w:spacing w:after="0" w:line="345" w:lineRule="auto"/>
        <w:tabs>
          <w:tab w:leader="none" w:pos="640"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Goodyear could Incur $1.00 of additional Indebtedness under Section 6.01(a) of the Agreement or (2) the Consolidated Coverage Ratio (as defined in the Agreement) for Goodyear and its Restricted Subsidiaries would be greater after giving effect to such designation than before such designation and</w:t>
      </w:r>
    </w:p>
    <w:p>
      <w:pPr>
        <w:spacing w:after="0" w:line="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have occurred and be continuing.</w:t>
      </w:r>
    </w:p>
    <w:p>
      <w:pPr>
        <w:spacing w:after="0" w:line="18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Any such designation of a Subsidiary as a Restricted Subsidiary or Unrestricted Subsidiary by the Board of Directors shall be evidenced to the Administrative Agent by 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8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All other terms capitalized in this Schedule 14 and not defined shall be deemed to have the meaning in the Agreement. Terms in this Schedule 14 relating to Article 11.3(xv) of the General Master Purchase Agreement shall be deemed amended, for the purposes of the General Master Purchase Agreement, from time upon the amendment of the Agreement.</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PAGE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in Paris, on 10 October 2025, by electronic signature.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ESTER FINANCE TECHNOLOGIES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as the Purchaser</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represented by:</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Frédéric Mazet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3557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63" w:lineRule="exact"/>
        <w:rPr>
          <w:sz w:val="20"/>
          <w:szCs w:val="20"/>
          <w:color w:val="auto"/>
        </w:rPr>
      </w:pPr>
    </w:p>
    <w:p>
      <w:pPr>
        <w:ind w:left="20"/>
        <w:spacing w:after="0"/>
        <w:tabs>
          <w:tab w:leader="none" w:pos="17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Frédéric Mazet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0" w:type="dxa"/>
            <w:vAlign w:val="bottom"/>
          </w:tcPr>
          <w:p>
            <w:pPr>
              <w:spacing w:after="0"/>
              <w:rPr>
                <w:sz w:val="22"/>
                <w:szCs w:val="22"/>
                <w:color w:val="auto"/>
              </w:rPr>
            </w:pPr>
          </w:p>
        </w:tc>
        <w:tc>
          <w:tcPr>
            <w:tcW w:w="9640" w:type="dxa"/>
            <w:vAlign w:val="bottom"/>
            <w:gridSpan w:val="5"/>
          </w:tcPr>
          <w:p>
            <w:pPr>
              <w:jc w:val="center"/>
              <w:ind w:right="1501"/>
              <w:spacing w:after="0"/>
              <w:rPr>
                <w:sz w:val="20"/>
                <w:szCs w:val="20"/>
                <w:color w:val="auto"/>
              </w:rPr>
            </w:pPr>
            <w:r>
              <w:rPr>
                <w:rFonts w:ascii="Times New Roman" w:cs="Times New Roman" w:eastAsia="Times New Roman" w:hAnsi="Times New Roman"/>
                <w:sz w:val="20"/>
                <w:szCs w:val="20"/>
                <w:b w:val="1"/>
                <w:bCs w:val="1"/>
                <w:color w:val="auto"/>
                <w:w w:val="98"/>
              </w:rPr>
              <w:t>CREDIT AGRICOLE CORPORATE AND INVESTMENT BANK</w:t>
            </w:r>
          </w:p>
        </w:tc>
      </w:tr>
      <w:tr>
        <w:trPr>
          <w:trHeight w:val="459"/>
        </w:trPr>
        <w:tc>
          <w:tcPr>
            <w:tcW w:w="1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34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i w:val="1"/>
                <w:iCs w:val="1"/>
                <w:color w:val="auto"/>
                <w:w w:val="99"/>
              </w:rPr>
              <w:t>as the Agent</w:t>
            </w:r>
          </w:p>
        </w:tc>
        <w:tc>
          <w:tcPr>
            <w:tcW w:w="3860" w:type="dxa"/>
            <w:vAlign w:val="bottom"/>
          </w:tcPr>
          <w:p>
            <w:pPr>
              <w:spacing w:after="0"/>
              <w:rPr>
                <w:sz w:val="24"/>
                <w:szCs w:val="24"/>
                <w:color w:val="auto"/>
              </w:rPr>
            </w:pPr>
          </w:p>
        </w:tc>
      </w:tr>
      <w:tr>
        <w:trPr>
          <w:trHeight w:val="486"/>
        </w:trPr>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3860" w:type="dxa"/>
            <w:vAlign w:val="bottom"/>
          </w:tcPr>
          <w:p>
            <w:pPr>
              <w:spacing w:after="0"/>
              <w:rPr>
                <w:sz w:val="24"/>
                <w:szCs w:val="24"/>
                <w:color w:val="auto"/>
              </w:rPr>
            </w:pPr>
          </w:p>
        </w:tc>
      </w:tr>
      <w:tr>
        <w:trPr>
          <w:trHeight w:val="729"/>
        </w:trPr>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Frédéric Mazet</w:t>
            </w:r>
          </w:p>
        </w:tc>
        <w:tc>
          <w:tcPr>
            <w:tcW w:w="2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Frédéric Mazet</w:t>
            </w:r>
          </w:p>
        </w:tc>
        <w:tc>
          <w:tcPr>
            <w:tcW w:w="3860" w:type="dxa"/>
            <w:vAlign w:val="bottom"/>
          </w:tcPr>
          <w:p>
            <w:pPr>
              <w:spacing w:after="0"/>
              <w:rPr>
                <w:sz w:val="24"/>
                <w:szCs w:val="24"/>
                <w:color w:val="auto"/>
              </w:rPr>
            </w:pPr>
          </w:p>
        </w:tc>
      </w:tr>
      <w:tr>
        <w:trPr>
          <w:trHeight w:val="250"/>
        </w:trPr>
        <w:tc>
          <w:tcPr>
            <w:tcW w:w="16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r>
      <w:tr>
        <w:trPr>
          <w:trHeight w:val="256"/>
        </w:trPr>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Frédéric Mazet</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Frédéric Mazet</w:t>
            </w:r>
          </w:p>
        </w:tc>
      </w:tr>
      <w:tr>
        <w:trPr>
          <w:trHeight w:val="51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Authorized signatory</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Authorized signatory</w:t>
            </w:r>
          </w:p>
        </w:tc>
      </w:tr>
    </w:tbl>
    <w:p>
      <w:pPr>
        <w:sectPr>
          <w:pgSz w:w="11900" w:h="16838" w:orient="portrait"/>
          <w:cols w:equalWidth="0" w:num="1">
            <w:col w:w="11240"/>
          </w:cols>
          <w:pgMar w:left="320" w:top="1440" w:right="339" w:bottom="1440" w:gutter="0" w:footer="0" w:header="0"/>
        </w:sectPr>
      </w:pPr>
    </w:p>
    <w:bookmarkStart w:id="292" w:name="page293"/>
    <w:bookmarkEnd w:id="292"/>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060" w:type="dxa"/>
            <w:vAlign w:val="bottom"/>
            <w:gridSpan w:val="3"/>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DUNLOP TYRES LTD.</w:t>
            </w:r>
          </w:p>
        </w:tc>
        <w:tc>
          <w:tcPr>
            <w:tcW w:w="392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60" w:type="dxa"/>
            <w:vAlign w:val="bottom"/>
            <w:gridSpan w:val="3"/>
          </w:tcPr>
          <w:p>
            <w:pPr>
              <w:jc w:val="center"/>
              <w:ind w:right="221"/>
              <w:spacing w:after="0"/>
              <w:rPr>
                <w:sz w:val="20"/>
                <w:szCs w:val="20"/>
                <w:color w:val="auto"/>
              </w:rPr>
            </w:pPr>
            <w:r>
              <w:rPr>
                <w:rFonts w:ascii="Times New Roman" w:cs="Times New Roman" w:eastAsia="Times New Roman" w:hAnsi="Times New Roman"/>
                <w:sz w:val="20"/>
                <w:szCs w:val="20"/>
                <w:i w:val="1"/>
                <w:iCs w:val="1"/>
                <w:color w:val="auto"/>
                <w:w w:val="98"/>
              </w:rPr>
              <w:t>as the Centralising Unit</w:t>
            </w:r>
          </w:p>
        </w:tc>
        <w:tc>
          <w:tcPr>
            <w:tcW w:w="392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20" w:type="dxa"/>
            <w:vAlign w:val="bottom"/>
          </w:tcPr>
          <w:p>
            <w:pPr>
              <w:spacing w:after="0"/>
              <w:rPr>
                <w:sz w:val="24"/>
                <w:szCs w:val="24"/>
                <w:color w:val="auto"/>
              </w:rPr>
            </w:pPr>
          </w:p>
        </w:tc>
      </w:tr>
      <w:tr>
        <w:trPr>
          <w:trHeight w:val="81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2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59"/>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Raf Monnens</w:t>
            </w:r>
          </w:p>
        </w:tc>
      </w:tr>
      <w:tr>
        <w:trPr>
          <w:trHeight w:val="742"/>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78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22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GOODYEAR TYRES UK LTD</w:t>
            </w:r>
          </w:p>
        </w:tc>
        <w:tc>
          <w:tcPr>
            <w:tcW w:w="392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2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i w:val="1"/>
                <w:iCs w:val="1"/>
                <w:color w:val="auto"/>
                <w:w w:val="98"/>
              </w:rPr>
              <w:t>as the UK Seller</w:t>
            </w:r>
          </w:p>
        </w:tc>
        <w:tc>
          <w:tcPr>
            <w:tcW w:w="392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20" w:type="dxa"/>
            <w:vAlign w:val="bottom"/>
          </w:tcPr>
          <w:p>
            <w:pPr>
              <w:spacing w:after="0"/>
              <w:rPr>
                <w:sz w:val="24"/>
                <w:szCs w:val="24"/>
                <w:color w:val="auto"/>
              </w:rPr>
            </w:pPr>
          </w:p>
        </w:tc>
      </w:tr>
      <w:tr>
        <w:trPr>
          <w:trHeight w:val="8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2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58"/>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Raf Monnens</w:t>
            </w:r>
          </w:p>
        </w:tc>
      </w:tr>
      <w:tr>
        <w:trPr>
          <w:trHeight w:val="743"/>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62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ectPr>
          <w:pgSz w:w="11900" w:h="16838" w:orient="portrait"/>
          <w:cols w:equalWidth="0" w:num="1">
            <w:col w:w="11240"/>
          </w:cols>
          <w:pgMar w:left="320" w:top="1440"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200" w:type="dxa"/>
            <w:vAlign w:val="bottom"/>
            <w:gridSpan w:val="3"/>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GOODYEAR FRANCE S.A.S.</w:t>
            </w:r>
          </w:p>
        </w:tc>
        <w:tc>
          <w:tcPr>
            <w:tcW w:w="392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gridSpan w:val="3"/>
          </w:tcPr>
          <w:p>
            <w:pPr>
              <w:jc w:val="center"/>
              <w:ind w:right="101"/>
              <w:spacing w:after="0"/>
              <w:rPr>
                <w:sz w:val="20"/>
                <w:szCs w:val="20"/>
                <w:color w:val="auto"/>
              </w:rPr>
            </w:pPr>
            <w:r>
              <w:rPr>
                <w:rFonts w:ascii="Times New Roman" w:cs="Times New Roman" w:eastAsia="Times New Roman" w:hAnsi="Times New Roman"/>
                <w:sz w:val="20"/>
                <w:szCs w:val="20"/>
                <w:i w:val="1"/>
                <w:iCs w:val="1"/>
                <w:color w:val="auto"/>
                <w:w w:val="98"/>
              </w:rPr>
              <w:t>as the French Seller</w:t>
            </w:r>
          </w:p>
        </w:tc>
        <w:tc>
          <w:tcPr>
            <w:tcW w:w="392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20" w:type="dxa"/>
            <w:vAlign w:val="bottom"/>
          </w:tcPr>
          <w:p>
            <w:pPr>
              <w:spacing w:after="0"/>
              <w:rPr>
                <w:sz w:val="24"/>
                <w:szCs w:val="24"/>
                <w:color w:val="auto"/>
              </w:rPr>
            </w:pPr>
          </w:p>
        </w:tc>
      </w:tr>
      <w:tr>
        <w:trPr>
          <w:trHeight w:val="81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2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58"/>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Raf Monnens</w:t>
            </w:r>
          </w:p>
        </w:tc>
      </w:tr>
      <w:tr>
        <w:trPr>
          <w:trHeight w:val="743"/>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64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340" w:type="dxa"/>
            <w:vAlign w:val="bottom"/>
            <w:gridSpan w:val="3"/>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GOODYEAR TIRES ESPAÑA, S.A.</w:t>
            </w:r>
          </w:p>
        </w:tc>
        <w:tc>
          <w:tcPr>
            <w:tcW w:w="390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as the Spanish Seller</w:t>
            </w:r>
          </w:p>
        </w:tc>
        <w:tc>
          <w:tcPr>
            <w:tcW w:w="390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00" w:type="dxa"/>
            <w:vAlign w:val="bottom"/>
          </w:tcPr>
          <w:p>
            <w:pPr>
              <w:spacing w:after="0"/>
              <w:rPr>
                <w:sz w:val="24"/>
                <w:szCs w:val="24"/>
                <w:color w:val="auto"/>
              </w:rPr>
            </w:pPr>
          </w:p>
        </w:tc>
      </w:tr>
      <w:tr>
        <w:trPr>
          <w:trHeight w:val="8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0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458"/>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Raf Monnens</w:t>
            </w:r>
          </w:p>
        </w:tc>
      </w:tr>
      <w:tr>
        <w:trPr>
          <w:trHeight w:val="743"/>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ectPr>
          <w:pgSz w:w="11900" w:h="16838" w:orient="portrait"/>
          <w:cols w:equalWidth="0" w:num="1">
            <w:col w:w="11240"/>
          </w:cols>
          <w:pgMar w:left="320" w:top="1436" w:right="33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260" w:type="dxa"/>
            <w:vAlign w:val="bottom"/>
            <w:gridSpan w:val="3"/>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GOODYEAR GERMANY GmbH</w:t>
            </w:r>
          </w:p>
        </w:tc>
        <w:tc>
          <w:tcPr>
            <w:tcW w:w="392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60" w:type="dxa"/>
            <w:vAlign w:val="bottom"/>
            <w:gridSpan w:val="3"/>
          </w:tcPr>
          <w:p>
            <w:pPr>
              <w:jc w:val="center"/>
              <w:ind w:right="21"/>
              <w:spacing w:after="0"/>
              <w:rPr>
                <w:sz w:val="20"/>
                <w:szCs w:val="20"/>
                <w:color w:val="auto"/>
              </w:rPr>
            </w:pPr>
            <w:r>
              <w:rPr>
                <w:rFonts w:ascii="Times New Roman" w:cs="Times New Roman" w:eastAsia="Times New Roman" w:hAnsi="Times New Roman"/>
                <w:sz w:val="20"/>
                <w:szCs w:val="20"/>
                <w:i w:val="1"/>
                <w:iCs w:val="1"/>
                <w:color w:val="auto"/>
                <w:w w:val="99"/>
              </w:rPr>
              <w:t>As the German Seller</w:t>
            </w:r>
          </w:p>
        </w:tc>
        <w:tc>
          <w:tcPr>
            <w:tcW w:w="392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20" w:type="dxa"/>
            <w:vAlign w:val="bottom"/>
          </w:tcPr>
          <w:p>
            <w:pPr>
              <w:spacing w:after="0"/>
              <w:rPr>
                <w:sz w:val="24"/>
                <w:szCs w:val="24"/>
                <w:color w:val="auto"/>
              </w:rPr>
            </w:pPr>
          </w:p>
        </w:tc>
      </w:tr>
      <w:tr>
        <w:trPr>
          <w:trHeight w:val="81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2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58"/>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Raf Monnens</w:t>
            </w:r>
          </w:p>
        </w:tc>
      </w:tr>
      <w:tr>
        <w:trPr>
          <w:trHeight w:val="743"/>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58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260" w:type="dxa"/>
            <w:vAlign w:val="bottom"/>
            <w:gridSpan w:val="3"/>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GOODYEAR OPERATIONS S.A</w:t>
            </w:r>
          </w:p>
        </w:tc>
        <w:tc>
          <w:tcPr>
            <w:tcW w:w="3920" w:type="dxa"/>
            <w:vAlign w:val="bottom"/>
          </w:tcPr>
          <w:p>
            <w:pPr>
              <w:spacing w:after="0"/>
              <w:rPr>
                <w:sz w:val="22"/>
                <w:szCs w:val="22"/>
                <w:color w:val="auto"/>
              </w:rPr>
            </w:pPr>
          </w:p>
        </w:tc>
      </w:tr>
      <w:tr>
        <w:trPr>
          <w:trHeight w:val="459"/>
        </w:trPr>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60" w:type="dxa"/>
            <w:vAlign w:val="bottom"/>
            <w:gridSpan w:val="3"/>
          </w:tcPr>
          <w:p>
            <w:pPr>
              <w:jc w:val="center"/>
              <w:ind w:right="41"/>
              <w:spacing w:after="0"/>
              <w:rPr>
                <w:sz w:val="20"/>
                <w:szCs w:val="20"/>
                <w:color w:val="auto"/>
              </w:rPr>
            </w:pPr>
            <w:r>
              <w:rPr>
                <w:rFonts w:ascii="Times New Roman" w:cs="Times New Roman" w:eastAsia="Times New Roman" w:hAnsi="Times New Roman"/>
                <w:sz w:val="20"/>
                <w:szCs w:val="20"/>
                <w:i w:val="1"/>
                <w:iCs w:val="1"/>
                <w:color w:val="auto"/>
                <w:w w:val="98"/>
              </w:rPr>
              <w:t>As the Luxembourg Seller</w:t>
            </w:r>
          </w:p>
        </w:tc>
        <w:tc>
          <w:tcPr>
            <w:tcW w:w="3920" w:type="dxa"/>
            <w:vAlign w:val="bottom"/>
          </w:tcPr>
          <w:p>
            <w:pPr>
              <w:spacing w:after="0"/>
              <w:rPr>
                <w:sz w:val="24"/>
                <w:szCs w:val="24"/>
                <w:color w:val="auto"/>
              </w:rPr>
            </w:pPr>
          </w:p>
        </w:tc>
      </w:tr>
      <w:tr>
        <w:trPr>
          <w:trHeight w:val="486"/>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represented by:</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c>
          <w:tcPr>
            <w:tcW w:w="3920" w:type="dxa"/>
            <w:vAlign w:val="bottom"/>
          </w:tcPr>
          <w:p>
            <w:pPr>
              <w:spacing w:after="0"/>
              <w:rPr>
                <w:sz w:val="24"/>
                <w:szCs w:val="24"/>
                <w:color w:val="auto"/>
              </w:rPr>
            </w:pPr>
          </w:p>
        </w:tc>
      </w:tr>
      <w:tr>
        <w:trPr>
          <w:trHeight w:val="81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Burcu Guvenc Demiryontar</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Raf Monnens</w:t>
            </w:r>
          </w:p>
        </w:tc>
        <w:tc>
          <w:tcPr>
            <w:tcW w:w="3920" w:type="dxa"/>
            <w:vAlign w:val="bottom"/>
          </w:tcPr>
          <w:p>
            <w:pPr>
              <w:spacing w:after="0"/>
              <w:rPr>
                <w:sz w:val="24"/>
                <w:szCs w:val="24"/>
                <w:color w:val="auto"/>
              </w:rPr>
            </w:pPr>
          </w:p>
        </w:tc>
      </w:tr>
      <w:tr>
        <w:trPr>
          <w:trHeight w:val="278"/>
        </w:trPr>
        <w:tc>
          <w:tcPr>
            <w:tcW w:w="1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59"/>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2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Burcu Guvenc Demiryontar</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Raf Monnens</w:t>
            </w:r>
          </w:p>
        </w:tc>
      </w:tr>
      <w:tr>
        <w:trPr>
          <w:trHeight w:val="742"/>
        </w:trPr>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58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Attorney in fact</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Attorney in fact</w:t>
            </w:r>
          </w:p>
        </w:tc>
      </w:tr>
    </w:tbl>
    <w:p>
      <w:pPr>
        <w:sectPr>
          <w:pgSz w:w="11900" w:h="16838" w:orient="portrait"/>
          <w:cols w:equalWidth="0" w:num="1">
            <w:col w:w="11240"/>
          </w:cols>
          <w:pgMar w:left="320" w:top="1436" w:right="339" w:bottom="1440" w:gutter="0" w:footer="0" w:header="0"/>
        </w:sectPr>
      </w:pPr>
    </w:p>
    <w:bookmarkStart w:id="295" w:name="page296"/>
    <w:bookmarkEnd w:id="295"/>
    <w:p>
      <w:pPr>
        <w:ind w:left="101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THE REGISTRANT (1) (2) (3)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companies of The Goodyear Tire &amp; Rubber Company at December 31, 2025, and the places of incorporation or organization thereof, are:</w:t>
      </w: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20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38"/>
        </w:trPr>
        <w:tc>
          <w:tcPr>
            <w:tcW w:w="82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0"/>
        </w:trPr>
        <w:tc>
          <w:tcPr>
            <w:tcW w:w="82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60" w:type="dxa"/>
            <w:vAlign w:val="bottom"/>
            <w:tcBorders>
              <w:bottom w:val="single" w:sz="8" w:color="auto"/>
            </w:tcBorders>
          </w:tcPr>
          <w:p>
            <w:pPr>
              <w:spacing w:after="0"/>
              <w:rPr>
                <w:sz w:val="22"/>
                <w:szCs w:val="22"/>
                <w:color w:val="auto"/>
              </w:rPr>
            </w:pP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Celeron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Divested Atomic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3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82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Export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Farms,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Laurelwood Properties,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Max-Trac Tire Co.,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Raben Tire Co., LLC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Retreading L,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Retreading L, Inc. of Oregon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Ridge Property NC, LLC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T&amp;WA, Inc.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Kentucky</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Wingfoot Brands LLC</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Wingfoot Corporation</w:t>
            </w:r>
          </w:p>
        </w:tc>
        <w:tc>
          <w:tcPr>
            <w:tcW w:w="3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60"/>
          </w:cols>
          <w:pgMar w:left="320" w:top="1413" w:right="319" w:bottom="1440" w:gutter="0" w:footer="0" w:header="0"/>
        </w:sectPr>
      </w:pPr>
    </w:p>
    <w:bookmarkStart w:id="296" w:name="page297"/>
    <w:bookmarkEnd w:id="296"/>
    <w:tbl>
      <w:tblPr>
        <w:tblLayout w:type="fixed"/>
        <w:tblInd w:w="1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38"/>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0"/>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3"/>
                <w:szCs w:val="23"/>
                <w:color w:val="auto"/>
              </w:rPr>
            </w:pPr>
          </w:p>
        </w:tc>
      </w:tr>
      <w:tr>
        <w:trPr>
          <w:trHeight w:val="27"/>
        </w:trPr>
        <w:tc>
          <w:tcPr>
            <w:tcW w:w="7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7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 Goodyear de Venezuela</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Venezuela</w:t>
            </w:r>
          </w:p>
        </w:tc>
      </w:tr>
      <w:tr>
        <w:trPr>
          <w:trHeight w:val="27"/>
        </w:trPr>
        <w:tc>
          <w:tcPr>
            <w:tcW w:w="796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+Compania Goodyear del Peru,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Global Holding Co.,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International Rubber,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Jamaica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(Kunshan) Tire Co.,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Asia-Pacific (Shanghai) Trading Co.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(China) Investment Co.,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(Barbados)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Brazil Ltda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de Mexico S.A. de C.V.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Tire &amp; Rubber Company Europe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 Tyre &amp; Rubber Company UK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Corporacion de Occidente S.A. de C.V.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Dunglaide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Dunlop Tyres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Easy Autocentres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Fonds de Pension Goodyear ASBL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G.I.E. Goodyear Mireval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Amiens SAS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Australia Pty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Austria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Baltic OU</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Belgium N.V.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Canada Inc.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Costa Rica S.R.L.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Costa 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Czech s.r.o.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Dalian Tire Company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Danmark 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de Chile S.A.I.C.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de Colombia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do Brasil Produtos de Borracha Ltda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Dunlop Tyres UK (Pension Trustees)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Egypt L.L.C.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Egypt</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Europe B.V.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Finland OY</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France SAS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Germany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Germany Manufacturing GmbH &amp; Co. KG</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Hanau Manufacturing GmbH &amp; Co. KG</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Hellas Single Member Industrial and Commercial Societe Anonyme</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Holdings Sarl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Hrvatska d.o.o.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Croatia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Hungary Kft.</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Hungary</w:t>
            </w:r>
          </w:p>
        </w:tc>
      </w:tr>
    </w:tbl>
    <w:p>
      <w:pPr>
        <w:sectPr>
          <w:pgSz w:w="11900" w:h="16838" w:orient="portrait"/>
          <w:cols w:equalWidth="0" w:num="1">
            <w:col w:w="10920"/>
          </w:cols>
          <w:pgMar w:left="320" w:top="1143" w:right="659" w:bottom="1440" w:gutter="0" w:footer="0" w:header="0"/>
        </w:sectPr>
      </w:pPr>
    </w:p>
    <w:bookmarkStart w:id="297" w:name="page298"/>
    <w:bookmarkEnd w:id="2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38"/>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0"/>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3"/>
                <w:szCs w:val="23"/>
                <w:color w:val="auto"/>
              </w:rPr>
            </w:pPr>
          </w:p>
        </w:tc>
      </w:tr>
      <w:tr>
        <w:trPr>
          <w:trHeight w:val="27"/>
        </w:trPr>
        <w:tc>
          <w:tcPr>
            <w:tcW w:w="7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India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Industrial Rubber Products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Italiana S.p.A.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Jamaica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Jamaica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Korea Company</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Korea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Lastikleri TAS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Malaysia Berhad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Middle East FZE</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Dubai</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Nederland B.V.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Norge 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Operations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Operations Romania SrL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Orient Company Private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Philippines, Inc.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Polska Sp. z.o.o.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Portugal Unipessoal, Ltda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Regional Business Services Inc.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Retail Systems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Romania S.r.L.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Russia LLC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Serbia d.o.o.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Serbia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Servicios Comerciales S. de R.L. de C.V.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(Shanghai) Trading Company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Slovakia s.r.o.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Slovenija d.o.o.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Slovenia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Goodyear-SLP, S. de R.L. de C.V.</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South Africa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South Asia Tyres Private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Suisse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Sverige A.B.</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Taiwan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Technology Center India Pvt.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(Thailand) Public Company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Tire Management Company (Shanghai)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Tires Espana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Tires Italia SpA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 and Rubber Holdings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(Australia)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Ireland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(NZ)</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UK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bl>
    <w:p>
      <w:pPr>
        <w:sectPr>
          <w:pgSz w:w="11900" w:h="16838" w:orient="portrait"/>
          <w:cols w:equalWidth="0" w:num="1">
            <w:col w:w="10920"/>
          </w:cols>
          <w:pgMar w:left="320" w:top="1143" w:right="659" w:bottom="1440" w:gutter="0" w:footer="0" w:header="0"/>
        </w:sectPr>
      </w:pPr>
    </w:p>
    <w:bookmarkStart w:id="298" w:name="page299"/>
    <w:bookmarkEnd w:id="2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796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38"/>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0"/>
        </w:trPr>
        <w:tc>
          <w:tcPr>
            <w:tcW w:w="79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3"/>
                <w:szCs w:val="23"/>
                <w:color w:val="auto"/>
              </w:rPr>
            </w:pPr>
          </w:p>
        </w:tc>
      </w:tr>
      <w:tr>
        <w:trPr>
          <w:trHeight w:val="27"/>
        </w:trPr>
        <w:tc>
          <w:tcPr>
            <w:tcW w:w="7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Tyres Vietnam LLC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Ukraine LLC</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Ventech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Goodyear Versicherungsservice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GRIP Reifen und Rader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Hi-Q Automotive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HiQ Holdings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Kabushiki Kaisha Goodyear Aviation Japan</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Kelly-Springfield Tyre Company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Kettering Tyres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Motorway Tyres &amp; Accessories (UK)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Neumaticos Goodyear S.r.L.</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Nippon Goodyear Kabushiki Kaisha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Goodyear Indonesia Tbk</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+Qingdao Ge Rui Da Rubber Co.,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Reifen Baierlacher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Reifen Burkhardt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RoadCloud OY</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Saudi Goodyear Management Consulting Co.</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Snella Auto SAS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+Tire Company Debica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Tyres Australia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Tren Tyre Holdings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Trentyre (Lesotho)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Lesotho</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Trentyre (Pty) Ltd.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Tyre Services Great Britain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 Tyres Lubricants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Vulco Developpement S.A.</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Vulco Truck Services SAS</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Weeting Tyres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Wingfoot Insurance Company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WTL Suffolk Limited</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WW Reifen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 Fleet Group GmbH</w:t>
            </w:r>
          </w:p>
        </w:tc>
        <w:tc>
          <w:tcPr>
            <w:tcW w:w="2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319" w:lineRule="exact"/>
        <w:rPr>
          <w:sz w:val="20"/>
          <w:szCs w:val="20"/>
          <w:color w:val="auto"/>
        </w:rPr>
      </w:pPr>
    </w:p>
    <w:p>
      <w:pPr>
        <w:ind w:firstLine="8"/>
        <w:spacing w:after="0" w:line="282" w:lineRule="auto"/>
        <w:tabs>
          <w:tab w:leader="none" w:pos="453"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conducts its business under its corporate name and, in a few instances, under a shortened form of its corporate name or in combination with a trade name.</w:t>
      </w:r>
    </w:p>
    <w:p>
      <w:pPr>
        <w:sectPr>
          <w:pgSz w:w="11900" w:h="16838" w:orient="portrait"/>
          <w:cols w:equalWidth="0" w:num="1">
            <w:col w:w="11080"/>
          </w:cols>
          <w:pgMar w:left="320" w:top="1143" w:right="499" w:bottom="1440" w:gutter="0" w:footer="0" w:header="0"/>
        </w:sectPr>
      </w:pPr>
    </w:p>
    <w:bookmarkStart w:id="299" w:name="page300"/>
    <w:bookmarkEnd w:id="299"/>
    <w:p>
      <w:pPr>
        <w:jc w:val="both"/>
        <w:ind w:left="-8" w:firstLine="8"/>
        <w:spacing w:after="0" w:line="258" w:lineRule="auto"/>
        <w:tabs>
          <w:tab w:leader="none" w:pos="42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Goodyear India Ltd., 74%; Goodyear Jamaica Limited, 60%; Goodyear Lastikleri TAS, 74.6%; Goodyear Malaysia Berhad, 51%; Goodyear Philippines, Inc., 88.54%; Goodyear Taiwan Limited, 94.22%; Goodyear (Thailand) Public Company Limited, 66.87%; P.T. Goodyear Indonesia Tbk, 85%; Qingdao Ge Rui Da Rubber Co., Ltd., 65%; and Tire Company Debica S.A., 87.25%.</w:t>
      </w:r>
    </w:p>
    <w:p>
      <w:pPr>
        <w:spacing w:after="0" w:line="210" w:lineRule="exact"/>
        <w:rPr>
          <w:rFonts w:ascii="Times New Roman" w:cs="Times New Roman" w:eastAsia="Times New Roman" w:hAnsi="Times New Roman"/>
          <w:sz w:val="18"/>
          <w:szCs w:val="18"/>
          <w:color w:val="auto"/>
        </w:rPr>
      </w:pPr>
    </w:p>
    <w:p>
      <w:pPr>
        <w:ind w:left="-8" w:firstLine="8"/>
        <w:spacing w:after="0" w:line="282" w:lineRule="auto"/>
        <w:tabs>
          <w:tab w:leader="none" w:pos="49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C.A. Goodyear de Venezuela and Wingfoot Corporation, at December 31, 2025, the Registrant did not have any majority owned subsidiaries that were not consolidated.</w:t>
      </w:r>
    </w:p>
    <w:p>
      <w:pPr>
        <w:sectPr>
          <w:pgSz w:w="11900" w:h="16838" w:orient="portrait"/>
          <w:cols w:equalWidth="0" w:num="1">
            <w:col w:w="11072"/>
          </w:cols>
          <w:pgMar w:left="328" w:top="1093" w:right="4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December 31, 2025, guarantors of the Company's 4.875% senior notes due 2027, 5% senior notes due 2029, 6.625% senior notes due 2030, 5.25% senior notes due April 2031, 5.25% senior notes due July 2031 and 5.625% senior notes due 2033: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w:t>
            </w:r>
          </w:p>
        </w:tc>
      </w:tr>
      <w:tr>
        <w:trPr>
          <w:trHeight w:val="198"/>
        </w:trPr>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860" w:type="dxa"/>
            <w:vAlign w:val="bottom"/>
            <w:gridSpan w:val="3"/>
          </w:tcPr>
          <w:p>
            <w:pPr>
              <w:ind w:left="2040"/>
              <w:spacing w:after="0" w:line="198" w:lineRule="exact"/>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50"/>
        </w:trPr>
        <w:tc>
          <w:tcPr>
            <w:tcW w:w="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4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5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T&amp;WA,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27" w:right="339" w:bottom="1440" w:gutter="0" w:footer="0" w:header="0"/>
        </w:sectPr>
      </w:pPr>
    </w:p>
    <w:bookmarkStart w:id="301" w:name="page302"/>
    <w:bookmarkEnd w:id="301"/>
    <w:p>
      <w:pPr>
        <w:ind w:left="101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333-289409, 333-269857, 333-266570, 333-219603, 333-190252, 333-141468, 333-126566, and 333-126565) and Form S-3 (No. 333-287633) of The Goodyear Tire &amp; Rubber Company of our report dated February 10, 2026 relating to the financial statements, financial statement schedule and the effectiveness of internal control over financial reporting, which appears in this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pacing w:after="0" w:line="35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359"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GOODYEAR TIRE &amp; RUBBER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KNOW ALL PERSONS BY THESE PRESENTS</w:t>
      </w:r>
      <w:r>
        <w:rPr>
          <w:rFonts w:ascii="Times New Roman" w:cs="Times New Roman" w:eastAsia="Times New Roman" w:hAnsi="Times New Roman"/>
          <w:sz w:val="22"/>
          <w:szCs w:val="22"/>
          <w:color w:val="auto"/>
        </w:rPr>
        <w:t>, that the undersigned directors of THE GOODYEAR TIRE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RUBBER COMPANY, a corporation organized and existing under the laws of the State of Ohio (the “Company”), hereby constitute and appoint CHRISTINA L. ZAMARRO, MARGARET V. SNYDER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2025,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have subscribed these presents this 8th day of December, 2025.</w:t>
      </w:r>
    </w:p>
    <w:p>
      <w:pPr>
        <w:sectPr>
          <w:pgSz w:w="11900" w:h="16838" w:orient="portrait"/>
          <w:cols w:equalWidth="0" w:num="1">
            <w:col w:w="11240"/>
          </w:cols>
          <w:pgMar w:left="320" w:top="1413" w:right="339" w:bottom="1440" w:gutter="0" w:footer="0" w:header="0"/>
        </w:sectPr>
      </w:pPr>
    </w:p>
    <w:p>
      <w:pPr>
        <w:spacing w:after="0" w:line="2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/s/ Norma B.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2918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Norma B. Clayton, Director</w:t>
      </w:r>
    </w:p>
    <w:p>
      <w:pPr>
        <w:spacing w:after="0" w:line="2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/s/ Werner Geissler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2918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Werner Geissler, Director</w:t>
      </w:r>
    </w:p>
    <w:p>
      <w:pPr>
        <w:spacing w:after="0" w:line="2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/s/ Laurette T. Koellner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2918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9"/>
          <w:szCs w:val="19"/>
          <w:color w:val="auto"/>
        </w:rPr>
        <w:t>Laurette T. Koellner, Director</w:t>
      </w:r>
    </w:p>
    <w:p>
      <w:pPr>
        <w:spacing w:after="0" w:line="4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/s/ John E.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2918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John E. McGlade, Director</w:t>
      </w:r>
    </w:p>
    <w:p>
      <w:pPr>
        <w:spacing w:after="0" w:line="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 Hera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2918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Hera Siu, Director</w:t>
      </w:r>
    </w:p>
    <w:p>
      <w:pPr>
        <w:spacing w:after="0" w:line="2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/s/ Michael R.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2918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Michael R. Wessel, Director</w:t>
      </w:r>
    </w:p>
    <w:p>
      <w:pPr>
        <w:spacing w:after="0" w:line="4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20"/>
          <w:szCs w:val="20"/>
          <w:color w:val="auto"/>
        </w:rPr>
        <w:t>/s/ Roger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918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Roger J. Wood, Director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 James A.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22860</wp:posOffset>
            </wp:positionV>
            <wp:extent cx="32918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James A. Firestone, Director</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 Joseph R.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21590</wp:posOffset>
            </wp:positionV>
            <wp:extent cx="32918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Joseph R. Hinrichs, Director</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 Karla R.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21590</wp:posOffset>
            </wp:positionV>
            <wp:extent cx="32918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Karla R. Lewis, Director</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 Max H.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21590</wp:posOffset>
            </wp:positionV>
            <wp:extent cx="32918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Max H. Mitchell, Director</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 Mark 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21590</wp:posOffset>
            </wp:positionV>
            <wp:extent cx="32918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Mark W. Stewart, Director</w:t>
      </w:r>
    </w:p>
    <w:p>
      <w:pPr>
        <w:spacing w:after="0" w:line="28"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20"/>
          <w:szCs w:val="20"/>
          <w:color w:val="auto"/>
        </w:rPr>
        <w:t>/s/ Jason J.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21590</wp:posOffset>
            </wp:positionV>
            <wp:extent cx="32918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20"/>
          <w:szCs w:val="20"/>
          <w:color w:val="auto"/>
        </w:rPr>
        <w:t>Jason J. Winkler, Director</w:t>
      </w:r>
    </w:p>
    <w:p>
      <w:pPr>
        <w:sectPr>
          <w:pgSz w:w="11900" w:h="16838" w:orient="portrait"/>
          <w:cols w:equalWidth="0" w:num="2">
            <w:col w:w="6800" w:space="720"/>
            <w:col w:w="3720"/>
          </w:cols>
          <w:pgMar w:left="320" w:top="1413" w:right="339" w:bottom="1440" w:gutter="0" w:footer="0" w:header="0"/>
          <w:type w:val="continuous"/>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85" w:lineRule="exact"/>
        <w:rPr>
          <w:sz w:val="20"/>
          <w:szCs w:val="20"/>
          <w:color w:val="auto"/>
        </w:rPr>
      </w:pPr>
    </w:p>
    <w:p>
      <w:pPr>
        <w:ind w:left="1060" w:hanging="1052"/>
        <w:spacing w:after="0"/>
        <w:tabs>
          <w:tab w:leader="none" w:pos="10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3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3">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85" w:lineRule="exact"/>
        <w:rPr>
          <w:sz w:val="20"/>
          <w:szCs w:val="20"/>
          <w:color w:val="auto"/>
        </w:rPr>
      </w:pPr>
    </w:p>
    <w:p>
      <w:pPr>
        <w:ind w:left="1060" w:hanging="1052"/>
        <w:spacing w:after="0"/>
        <w:tabs>
          <w:tab w:leader="none" w:pos="10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19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2025, as filed with the Securities and Exchange Commission (the “10-K Report”) that to their knowledge:</w:t>
      </w:r>
    </w:p>
    <w:p>
      <w:pPr>
        <w:spacing w:after="0" w:line="135" w:lineRule="exact"/>
        <w:rPr>
          <w:sz w:val="20"/>
          <w:szCs w:val="20"/>
          <w:color w:val="auto"/>
        </w:rPr>
      </w:pPr>
    </w:p>
    <w:p>
      <w:pPr>
        <w:ind w:left="2260" w:hanging="1280"/>
        <w:spacing w:after="0"/>
        <w:tabs>
          <w:tab w:leader="none" w:pos="22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10-K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2280" w:hanging="1300"/>
        <w:spacing w:after="0" w:line="282" w:lineRule="auto"/>
        <w:tabs>
          <w:tab w:leader="none" w:pos="22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10-K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80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10, 2026</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5">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Mark W. Stewart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333" w:lineRule="exact"/>
        <w:rPr>
          <w:sz w:val="20"/>
          <w:szCs w:val="20"/>
          <w:color w:val="auto"/>
        </w:rPr>
      </w:pPr>
    </w:p>
    <w:p>
      <w:pPr>
        <w:ind w:left="20"/>
        <w:spacing w:after="0"/>
        <w:tabs>
          <w:tab w:leader="none" w:pos="800" w:val="left"/>
          <w:tab w:leader="none" w:pos="6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10, 2026</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6">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C17530C"/>
    <w:multiLevelType w:val="hybridMultilevel"/>
    <w:lvl w:ilvl="0">
      <w:lvlJc w:val="left"/>
      <w:lvlText w:val="•"/>
      <w:numFmt w:val="bullet"/>
      <w:start w:val="1"/>
    </w:lvl>
  </w:abstractNum>
  <w:abstractNum w:abstractNumId="1">
    <w:nsid w:val="19A52566"/>
    <w:multiLevelType w:val="hybridMultilevel"/>
    <w:lvl w:ilvl="0">
      <w:lvlJc w:val="left"/>
      <w:lvlText w:val="•"/>
      <w:numFmt w:val="bullet"/>
      <w:start w:val="1"/>
    </w:lvl>
  </w:abstractNum>
  <w:abstractNum w:abstractNumId="2">
    <w:nsid w:val="335A1DF1"/>
    <w:multiLevelType w:val="hybridMultilevel"/>
    <w:lvl w:ilvl="0">
      <w:lvlJc w:val="left"/>
      <w:lvlText w:val="•"/>
      <w:numFmt w:val="bullet"/>
      <w:start w:val="1"/>
    </w:lvl>
  </w:abstractNum>
  <w:abstractNum w:abstractNumId="3">
    <w:nsid w:val="28677B7C"/>
    <w:multiLevelType w:val="hybridMultilevel"/>
    <w:lvl w:ilvl="0">
      <w:lvlJc w:val="left"/>
      <w:lvlText w:val="•"/>
      <w:numFmt w:val="bullet"/>
      <w:start w:val="1"/>
    </w:lvl>
  </w:abstractNum>
  <w:abstractNum w:abstractNumId="4">
    <w:nsid w:val="378D97C0"/>
    <w:multiLevelType w:val="hybridMultilevel"/>
    <w:lvl w:ilvl="0">
      <w:lvlJc w:val="left"/>
      <w:lvlText w:val="•"/>
      <w:numFmt w:val="bullet"/>
      <w:start w:val="1"/>
    </w:lvl>
  </w:abstractNum>
  <w:abstractNum w:abstractNumId="5">
    <w:nsid w:val="1D91467C"/>
    <w:multiLevelType w:val="hybridMultilevel"/>
    <w:lvl w:ilvl="0">
      <w:lvlJc w:val="left"/>
      <w:lvlText w:val="•"/>
      <w:numFmt w:val="bullet"/>
      <w:start w:val="1"/>
    </w:lvl>
  </w:abstractNum>
  <w:abstractNum w:abstractNumId="6">
    <w:nsid w:val="316032BB"/>
    <w:multiLevelType w:val="hybridMultilevel"/>
    <w:lvl w:ilvl="0">
      <w:lvlJc w:val="left"/>
      <w:lvlText w:val="•"/>
      <w:numFmt w:val="bullet"/>
      <w:start w:val="1"/>
    </w:lvl>
  </w:abstractNum>
  <w:abstractNum w:abstractNumId="7">
    <w:nsid w:val="44344C22"/>
    <w:multiLevelType w:val="hybridMultilevel"/>
    <w:lvl w:ilvl="0">
      <w:lvlJc w:val="left"/>
      <w:lvlText w:val="•"/>
      <w:numFmt w:val="bullet"/>
      <w:start w:val="1"/>
    </w:lvl>
  </w:abstractNum>
  <w:abstractNum w:abstractNumId="8">
    <w:nsid w:val="13CDFCFC"/>
    <w:multiLevelType w:val="hybridMultilevel"/>
    <w:lvl w:ilvl="0">
      <w:lvlJc w:val="left"/>
      <w:lvlText w:val="•"/>
      <w:numFmt w:val="bullet"/>
      <w:start w:val="1"/>
    </w:lvl>
  </w:abstractNum>
  <w:abstractNum w:abstractNumId="9">
    <w:nsid w:val="471745E4"/>
    <w:multiLevelType w:val="hybridMultilevel"/>
    <w:lvl w:ilvl="0">
      <w:lvlJc w:val="left"/>
      <w:lvlText w:val="•"/>
      <w:numFmt w:val="bullet"/>
      <w:start w:val="1"/>
    </w:lvl>
  </w:abstractNum>
  <w:abstractNum w:abstractNumId="10">
    <w:nsid w:val="1DDBC66"/>
    <w:multiLevelType w:val="hybridMultilevel"/>
    <w:lvl w:ilvl="0">
      <w:lvlJc w:val="left"/>
      <w:lvlText w:val="•"/>
      <w:numFmt w:val="bullet"/>
      <w:start w:val="1"/>
    </w:lvl>
  </w:abstractNum>
  <w:abstractNum w:abstractNumId="11">
    <w:nsid w:val="30AADFDA"/>
    <w:multiLevelType w:val="hybridMultilevel"/>
    <w:lvl w:ilvl="0">
      <w:lvlJc w:val="left"/>
      <w:lvlText w:val="•"/>
      <w:numFmt w:val="bullet"/>
      <w:start w:val="1"/>
    </w:lvl>
  </w:abstractNum>
  <w:abstractNum w:abstractNumId="12">
    <w:nsid w:val="30EADA61"/>
    <w:multiLevelType w:val="hybridMultilevel"/>
    <w:lvl w:ilvl="0">
      <w:lvlJc w:val="left"/>
      <w:lvlText w:val="•"/>
      <w:numFmt w:val="bullet"/>
      <w:start w:val="1"/>
    </w:lvl>
  </w:abstractNum>
  <w:abstractNum w:abstractNumId="13">
    <w:nsid w:val="27179C0B"/>
    <w:multiLevelType w:val="hybridMultilevel"/>
    <w:lvl w:ilvl="0">
      <w:lvlJc w:val="left"/>
      <w:lvlText w:val="(%1)"/>
      <w:numFmt w:val="decimal"/>
      <w:start w:val="1"/>
    </w:lvl>
  </w:abstractNum>
  <w:abstractNum w:abstractNumId="14">
    <w:nsid w:val="5E636063"/>
    <w:multiLevelType w:val="hybridMultilevel"/>
    <w:lvl w:ilvl="0">
      <w:lvlJc w:val="left"/>
      <w:lvlText w:val="•"/>
      <w:numFmt w:val="bullet"/>
      <w:start w:val="1"/>
    </w:lvl>
  </w:abstractNum>
  <w:abstractNum w:abstractNumId="15">
    <w:nsid w:val="215641AF"/>
    <w:multiLevelType w:val="hybridMultilevel"/>
    <w:lvl w:ilvl="0">
      <w:lvlJc w:val="left"/>
      <w:lvlText w:val="•"/>
      <w:numFmt w:val="bullet"/>
      <w:start w:val="1"/>
    </w:lvl>
  </w:abstractNum>
  <w:abstractNum w:abstractNumId="16">
    <w:nsid w:val="53280662"/>
    <w:multiLevelType w:val="hybridMultilevel"/>
    <w:lvl w:ilvl="0">
      <w:lvlJc w:val="left"/>
      <w:lvlText w:val="•"/>
      <w:numFmt w:val="bullet"/>
      <w:start w:val="1"/>
    </w:lvl>
  </w:abstractNum>
  <w:abstractNum w:abstractNumId="17">
    <w:nsid w:val="46B24DBC"/>
    <w:multiLevelType w:val="hybridMultilevel"/>
    <w:lvl w:ilvl="0">
      <w:lvlJc w:val="left"/>
      <w:lvlText w:val="•"/>
      <w:numFmt w:val="bullet"/>
      <w:start w:val="1"/>
    </w:lvl>
  </w:abstractNum>
  <w:abstractNum w:abstractNumId="18">
    <w:nsid w:val="75B52783"/>
    <w:multiLevelType w:val="hybridMultilevel"/>
    <w:lvl w:ilvl="0">
      <w:lvlJc w:val="left"/>
      <w:lvlText w:val="(%1)"/>
      <w:numFmt w:val="decimal"/>
      <w:start w:val="1"/>
    </w:lvl>
  </w:abstractNum>
  <w:abstractNum w:abstractNumId="19">
    <w:nsid w:val="57CE66B4"/>
    <w:multiLevelType w:val="hybridMultilevel"/>
    <w:lvl w:ilvl="0">
      <w:lvlJc w:val="left"/>
      <w:lvlText w:val="(%1)"/>
      <w:numFmt w:val="decimal"/>
      <w:start w:val="2"/>
    </w:lvl>
  </w:abstractNum>
  <w:abstractNum w:abstractNumId="20">
    <w:nsid w:val="67A70B69"/>
    <w:multiLevelType w:val="hybridMultilevel"/>
    <w:lvl w:ilvl="0">
      <w:lvlJc w:val="left"/>
      <w:lvlText w:val="(%1)"/>
      <w:numFmt w:val="decimal"/>
      <w:start w:val="1"/>
    </w:lvl>
    <w:lvl w:ilvl="1">
      <w:lvlJc w:val="left"/>
      <w:lvlText w:val="•"/>
      <w:numFmt w:val="bullet"/>
      <w:start w:val="1"/>
    </w:lvl>
  </w:abstractNum>
  <w:abstractNum w:abstractNumId="21">
    <w:nsid w:val="5953172F"/>
    <w:multiLevelType w:val="hybridMultilevel"/>
    <w:lvl w:ilvl="0">
      <w:lvlJc w:val="left"/>
      <w:lvlText w:val="(%1)"/>
      <w:numFmt w:val="decimal"/>
      <w:start w:val="6"/>
    </w:lvl>
  </w:abstractNum>
  <w:abstractNum w:abstractNumId="22">
    <w:nsid w:val="27EDFE3A"/>
    <w:multiLevelType w:val="hybridMultilevel"/>
    <w:lvl w:ilvl="0">
      <w:lvlJc w:val="left"/>
      <w:lvlText w:val="•"/>
      <w:numFmt w:val="bullet"/>
      <w:start w:val="1"/>
    </w:lvl>
  </w:abstractNum>
  <w:abstractNum w:abstractNumId="23">
    <w:nsid w:val="52AC7DFF"/>
    <w:multiLevelType w:val="hybridMultilevel"/>
    <w:lvl w:ilvl="0">
      <w:lvlJc w:val="left"/>
      <w:lvlText w:val="•"/>
      <w:numFmt w:val="bullet"/>
      <w:start w:val="1"/>
    </w:lvl>
  </w:abstractNum>
  <w:abstractNum w:abstractNumId="24">
    <w:nsid w:val="C4C3AF"/>
    <w:multiLevelType w:val="hybridMultilevel"/>
    <w:lvl w:ilvl="0">
      <w:lvlJc w:val="left"/>
      <w:lvlText w:val="•"/>
      <w:numFmt w:val="bullet"/>
      <w:start w:val="1"/>
    </w:lvl>
  </w:abstractNum>
  <w:abstractNum w:abstractNumId="25">
    <w:nsid w:val="44380727"/>
    <w:multiLevelType w:val="hybridMultilevel"/>
    <w:lvl w:ilvl="0">
      <w:lvlJc w:val="left"/>
      <w:lvlText w:val="•"/>
      <w:numFmt w:val="bullet"/>
      <w:start w:val="1"/>
    </w:lvl>
  </w:abstractNum>
  <w:abstractNum w:abstractNumId="26">
    <w:nsid w:val="6C053B16"/>
    <w:multiLevelType w:val="hybridMultilevel"/>
    <w:lvl w:ilvl="0">
      <w:lvlJc w:val="left"/>
      <w:lvlText w:val="•"/>
      <w:numFmt w:val="bullet"/>
      <w:start w:val="1"/>
    </w:lvl>
  </w:abstractNum>
  <w:abstractNum w:abstractNumId="27">
    <w:nsid w:val="4F294393"/>
    <w:multiLevelType w:val="hybridMultilevel"/>
    <w:lvl w:ilvl="0">
      <w:lvlJc w:val="left"/>
      <w:lvlText w:val="•"/>
      <w:numFmt w:val="bullet"/>
      <w:start w:val="1"/>
    </w:lvl>
  </w:abstractNum>
  <w:abstractNum w:abstractNumId="28">
    <w:nsid w:val="5243BFAC"/>
    <w:multiLevelType w:val="hybridMultilevel"/>
    <w:lvl w:ilvl="0">
      <w:lvlJc w:val="left"/>
      <w:lvlText w:val="•"/>
      <w:numFmt w:val="bullet"/>
      <w:start w:val="1"/>
    </w:lvl>
  </w:abstractNum>
  <w:abstractNum w:abstractNumId="29">
    <w:nsid w:val="425EB207"/>
    <w:multiLevelType w:val="hybridMultilevel"/>
    <w:lvl w:ilvl="0">
      <w:lvlJc w:val="left"/>
      <w:lvlText w:val="•"/>
      <w:numFmt w:val="bullet"/>
      <w:start w:val="1"/>
    </w:lvl>
  </w:abstractNum>
  <w:abstractNum w:abstractNumId="30">
    <w:nsid w:val="334A6F1F"/>
    <w:multiLevelType w:val="hybridMultilevel"/>
    <w:lvl w:ilvl="0">
      <w:lvlJc w:val="left"/>
      <w:lvlText w:val="(%1)"/>
      <w:numFmt w:val="decimal"/>
      <w:start w:val="1"/>
    </w:lvl>
  </w:abstractNum>
  <w:abstractNum w:abstractNumId="31">
    <w:nsid w:val="2E5B12B8"/>
    <w:multiLevelType w:val="hybridMultilevel"/>
    <w:lvl w:ilvl="0">
      <w:lvlJc w:val="left"/>
      <w:lvlText w:val="(%1)"/>
      <w:numFmt w:val="decimal"/>
      <w:start w:val="1"/>
    </w:lvl>
  </w:abstractNum>
  <w:abstractNum w:abstractNumId="32">
    <w:nsid w:val="5C03D76D"/>
    <w:multiLevelType w:val="hybridMultilevel"/>
    <w:lvl w:ilvl="0">
      <w:lvlJc w:val="left"/>
      <w:lvlText w:val="(%1)"/>
      <w:numFmt w:val="decimal"/>
      <w:start w:val="1"/>
    </w:lvl>
  </w:abstractNum>
  <w:abstractNum w:abstractNumId="33">
    <w:nsid w:val="66A48D11"/>
    <w:multiLevelType w:val="hybridMultilevel"/>
    <w:lvl w:ilvl="0">
      <w:lvlJc w:val="left"/>
      <w:lvlText w:val="(%1)"/>
      <w:numFmt w:val="decimal"/>
      <w:start w:val="1"/>
    </w:lvl>
  </w:abstractNum>
  <w:abstractNum w:abstractNumId="34">
    <w:nsid w:val="56C28E34"/>
    <w:multiLevelType w:val="hybridMultilevel"/>
    <w:lvl w:ilvl="0">
      <w:lvlJc w:val="left"/>
      <w:lvlText w:val="(%1)"/>
      <w:numFmt w:val="decimal"/>
      <w:start w:val="1"/>
    </w:lvl>
  </w:abstractNum>
  <w:abstractNum w:abstractNumId="35">
    <w:nsid w:val="13916F2D"/>
    <w:multiLevelType w:val="hybridMultilevel"/>
    <w:lvl w:ilvl="0">
      <w:lvlJc w:val="left"/>
      <w:lvlText w:val="(%1)"/>
      <w:numFmt w:val="decimal"/>
      <w:start w:val="1"/>
    </w:lvl>
  </w:abstractNum>
  <w:abstractNum w:abstractNumId="36">
    <w:nsid w:val="435D38D"/>
    <w:multiLevelType w:val="hybridMultilevel"/>
    <w:lvl w:ilvl="0">
      <w:lvlJc w:val="left"/>
      <w:lvlText w:val="•"/>
      <w:numFmt w:val="bullet"/>
      <w:start w:val="1"/>
    </w:lvl>
  </w:abstractNum>
  <w:abstractNum w:abstractNumId="37">
    <w:nsid w:val="822C0EF"/>
    <w:multiLevelType w:val="hybridMultilevel"/>
    <w:lvl w:ilvl="0">
      <w:lvlJc w:val="left"/>
      <w:lvlText w:val="(%1)"/>
      <w:numFmt w:val="decimal"/>
      <w:start w:val="1"/>
    </w:lvl>
  </w:abstractNum>
  <w:abstractNum w:abstractNumId="38">
    <w:nsid w:val="57C5BB4F"/>
    <w:multiLevelType w:val="hybridMultilevel"/>
    <w:lvl w:ilvl="0">
      <w:lvlJc w:val="left"/>
      <w:lvlText w:val="(%1)"/>
      <w:numFmt w:val="decimal"/>
      <w:start w:val="1"/>
    </w:lvl>
  </w:abstractNum>
  <w:abstractNum w:abstractNumId="39">
    <w:nsid w:val="1803D089"/>
    <w:multiLevelType w:val="hybridMultilevel"/>
    <w:lvl w:ilvl="0">
      <w:lvlJc w:val="left"/>
      <w:lvlText w:val="(%1)"/>
      <w:numFmt w:val="decimal"/>
      <w:start w:val="1"/>
    </w:lvl>
  </w:abstractNum>
  <w:abstractNum w:abstractNumId="40">
    <w:nsid w:val="4F3A06D4"/>
    <w:multiLevelType w:val="hybridMultilevel"/>
    <w:lvl w:ilvl="0">
      <w:lvlJc w:val="left"/>
      <w:lvlText w:val="(%1)"/>
      <w:numFmt w:val="decimal"/>
      <w:start w:val="1"/>
    </w:lvl>
  </w:abstractNum>
  <w:abstractNum w:abstractNumId="41">
    <w:nsid w:val="59A377B6"/>
    <w:multiLevelType w:val="hybridMultilevel"/>
    <w:lvl w:ilvl="0">
      <w:lvlJc w:val="left"/>
      <w:lvlText w:val="•"/>
      <w:numFmt w:val="bullet"/>
      <w:start w:val="1"/>
    </w:lvl>
  </w:abstractNum>
  <w:abstractNum w:abstractNumId="42">
    <w:nsid w:val="48AEB063"/>
    <w:multiLevelType w:val="hybridMultilevel"/>
    <w:lvl w:ilvl="0">
      <w:lvlJc w:val="left"/>
      <w:lvlText w:val="(%1)"/>
      <w:numFmt w:val="lowerRoman"/>
      <w:start w:val="5"/>
    </w:lvl>
  </w:abstractNum>
  <w:abstractNum w:abstractNumId="43">
    <w:nsid w:val="24E135"/>
    <w:multiLevelType w:val="hybridMultilevel"/>
    <w:lvl w:ilvl="0">
      <w:lvlJc w:val="left"/>
      <w:lvlText w:val="•"/>
      <w:numFmt w:val="bullet"/>
      <w:start w:val="1"/>
    </w:lvl>
  </w:abstractNum>
  <w:abstractNum w:abstractNumId="44">
    <w:nsid w:val="BB13C1"/>
    <w:multiLevelType w:val="hybridMultilevel"/>
    <w:lvl w:ilvl="0">
      <w:lvlJc w:val="left"/>
      <w:lvlText w:val="(%1)"/>
      <w:numFmt w:val="decimal"/>
      <w:start w:val="1"/>
    </w:lvl>
  </w:abstractNum>
  <w:abstractNum w:abstractNumId="45">
    <w:nsid w:val="271210C7"/>
    <w:multiLevelType w:val="hybridMultilevel"/>
    <w:lvl w:ilvl="0">
      <w:lvlJc w:val="left"/>
      <w:lvlText w:val="•"/>
      <w:numFmt w:val="bullet"/>
      <w:start w:val="1"/>
    </w:lvl>
  </w:abstractNum>
  <w:abstractNum w:abstractNumId="46">
    <w:nsid w:val="217B22E4"/>
    <w:multiLevelType w:val="hybridMultilevel"/>
    <w:lvl w:ilvl="0">
      <w:lvlJc w:val="left"/>
      <w:lvlText w:val="(%1)"/>
      <w:numFmt w:val="decimal"/>
      <w:start w:val="1"/>
    </w:lvl>
  </w:abstractNum>
  <w:abstractNum w:abstractNumId="47">
    <w:nsid w:val="53E31A24"/>
    <w:multiLevelType w:val="hybridMultilevel"/>
    <w:lvl w:ilvl="0">
      <w:lvlJc w:val="left"/>
      <w:lvlText w:val="(%1)"/>
      <w:numFmt w:val="decimal"/>
      <w:start w:val="1"/>
    </w:lvl>
  </w:abstractNum>
  <w:abstractNum w:abstractNumId="48">
    <w:nsid w:val="6DC45E83"/>
    <w:multiLevelType w:val="hybridMultilevel"/>
    <w:lvl w:ilvl="0">
      <w:lvlJc w:val="left"/>
      <w:lvlText w:val="•"/>
      <w:numFmt w:val="bullet"/>
      <w:start w:val="1"/>
    </w:lvl>
  </w:abstractNum>
  <w:abstractNum w:abstractNumId="49">
    <w:nsid w:val="17304A67"/>
    <w:multiLevelType w:val="hybridMultilevel"/>
    <w:lvl w:ilvl="0">
      <w:lvlJc w:val="left"/>
      <w:lvlText w:val="(%1)"/>
      <w:numFmt w:val="decimal"/>
      <w:start w:val="1"/>
    </w:lvl>
  </w:abstractNum>
  <w:abstractNum w:abstractNumId="50">
    <w:nsid w:val="2BB180D8"/>
    <w:multiLevelType w:val="hybridMultilevel"/>
    <w:lvl w:ilvl="0">
      <w:lvlJc w:val="left"/>
      <w:lvlText w:val="(%1)"/>
      <w:numFmt w:val="decimal"/>
      <w:start w:val="1"/>
    </w:lvl>
  </w:abstractNum>
  <w:abstractNum w:abstractNumId="51">
    <w:nsid w:val="556B69ED"/>
    <w:multiLevelType w:val="hybridMultilevel"/>
    <w:lvl w:ilvl="0">
      <w:lvlJc w:val="left"/>
      <w:lvlText w:val="2"/>
      <w:numFmt w:val="bullet"/>
      <w:start w:val="1"/>
    </w:lvl>
  </w:abstractNum>
  <w:abstractNum w:abstractNumId="52">
    <w:nsid w:val="70836196"/>
    <w:multiLevelType w:val="hybridMultilevel"/>
    <w:lvl w:ilvl="0">
      <w:lvlJc w:val="left"/>
      <w:lvlText w:val="(%1)"/>
      <w:numFmt w:val="lowerLetter"/>
      <w:start w:val="1"/>
    </w:lvl>
  </w:abstractNum>
  <w:abstractNum w:abstractNumId="53">
    <w:nsid w:val="539F7F12"/>
    <w:multiLevelType w:val="hybridMultilevel"/>
    <w:lvl w:ilvl="0">
      <w:lvlJc w:val="left"/>
      <w:lvlText w:val="3"/>
      <w:numFmt w:val="bullet"/>
      <w:start w:val="1"/>
    </w:lvl>
  </w:abstractNum>
  <w:abstractNum w:abstractNumId="54">
    <w:nsid w:val="2817E7EC"/>
    <w:multiLevelType w:val="hybridMultilevel"/>
    <w:lvl w:ilvl="0">
      <w:lvlJc w:val="left"/>
      <w:lvlText w:val="(%1)"/>
      <w:numFmt w:val="lowerLetter"/>
      <w:start w:val="1"/>
    </w:lvl>
  </w:abstractNum>
  <w:abstractNum w:abstractNumId="55">
    <w:nsid w:val="71482545"/>
    <w:multiLevelType w:val="hybridMultilevel"/>
    <w:lvl w:ilvl="0">
      <w:lvlJc w:val="left"/>
      <w:lvlText w:val="4"/>
      <w:numFmt w:val="bullet"/>
      <w:start w:val="1"/>
    </w:lvl>
  </w:abstractNum>
  <w:abstractNum w:abstractNumId="56">
    <w:nsid w:val="17D78639"/>
    <w:multiLevelType w:val="hybridMultilevel"/>
    <w:lvl w:ilvl="0">
      <w:lvlJc w:val="left"/>
      <w:lvlText w:val="(%1)"/>
      <w:numFmt w:val="lowerLetter"/>
      <w:start w:val="1"/>
    </w:lvl>
  </w:abstractNum>
  <w:abstractNum w:abstractNumId="57">
    <w:nsid w:val="141D2302"/>
    <w:multiLevelType w:val="hybridMultilevel"/>
    <w:lvl w:ilvl="0">
      <w:lvlJc w:val="left"/>
      <w:lvlText w:val="(%1)"/>
      <w:numFmt w:val="lowerLetter"/>
      <w:start w:val="2"/>
    </w:lvl>
  </w:abstractNum>
  <w:abstractNum w:abstractNumId="58">
    <w:nsid w:val="407168D8"/>
    <w:multiLevelType w:val="hybridMultilevel"/>
    <w:lvl w:ilvl="0">
      <w:lvlJc w:val="left"/>
      <w:lvlText w:val="(%1)"/>
      <w:numFmt w:val="lowerLetter"/>
      <w:start w:val="6"/>
    </w:lvl>
  </w:abstractNum>
  <w:abstractNum w:abstractNumId="59">
    <w:nsid w:val="6A1B45E5"/>
    <w:multiLevelType w:val="hybridMultilevel"/>
    <w:lvl w:ilvl="0">
      <w:lvlJc w:val="left"/>
      <w:lvlText w:val="%1"/>
      <w:numFmt w:val="decimal"/>
      <w:start w:val="10"/>
    </w:lvl>
  </w:abstractNum>
  <w:abstractNum w:abstractNumId="60">
    <w:nsid w:val="567BD50A"/>
    <w:multiLevelType w:val="hybridMultilevel"/>
    <w:lvl w:ilvl="0">
      <w:lvlJc w:val="left"/>
      <w:lvlText w:val="(%1)"/>
      <w:numFmt w:val="lowerLetter"/>
      <w:start w:val="1"/>
    </w:lvl>
  </w:abstractNum>
  <w:abstractNum w:abstractNumId="61">
    <w:nsid w:val="73BBD7F8"/>
    <w:multiLevelType w:val="hybridMultilevel"/>
    <w:lvl w:ilvl="0">
      <w:lvlJc w:val="left"/>
      <w:lvlText w:val="%1"/>
      <w:numFmt w:val="decimal"/>
      <w:start w:val="19"/>
    </w:lvl>
  </w:abstractNum>
  <w:abstractNum w:abstractNumId="62">
    <w:nsid w:val="1876589D"/>
    <w:multiLevelType w:val="hybridMultilevel"/>
    <w:lvl w:ilvl="0">
      <w:lvlJc w:val="left"/>
      <w:lvlText w:val="(%1)"/>
      <w:numFmt w:val="lowerLetter"/>
      <w:start w:val="1"/>
    </w:lvl>
  </w:abstractNum>
  <w:abstractNum w:abstractNumId="63">
    <w:nsid w:val="327FAC77"/>
    <w:multiLevelType w:val="hybridMultilevel"/>
    <w:lvl w:ilvl="0">
      <w:lvlJc w:val="left"/>
      <w:lvlText w:val="%1"/>
      <w:numFmt w:val="decimal"/>
      <w:start w:val="21"/>
    </w:lvl>
  </w:abstractNum>
  <w:abstractNum w:abstractNumId="64">
    <w:nsid w:val="5A606509"/>
    <w:multiLevelType w:val="hybridMultilevel"/>
    <w:lvl w:ilvl="0">
      <w:lvlJc w:val="left"/>
      <w:lvlText w:val="%1"/>
      <w:numFmt w:val="decimal"/>
      <w:start w:val="22"/>
    </w:lvl>
  </w:abstractNum>
  <w:abstractNum w:abstractNumId="65">
    <w:nsid w:val="6F38E6D1"/>
    <w:multiLevelType w:val="hybridMultilevel"/>
    <w:lvl w:ilvl="0">
      <w:lvlJc w:val="left"/>
      <w:lvlText w:val="%1"/>
      <w:numFmt w:val="decimal"/>
      <w:start w:val="23"/>
    </w:lvl>
  </w:abstractNum>
  <w:abstractNum w:abstractNumId="66">
    <w:nsid w:val="46111BA5"/>
    <w:multiLevelType w:val="hybridMultilevel"/>
    <w:lvl w:ilvl="0">
      <w:lvlJc w:val="left"/>
      <w:lvlText w:val="%1"/>
      <w:numFmt w:val="decimal"/>
      <w:start w:val="24"/>
    </w:lvl>
  </w:abstractNum>
  <w:abstractNum w:abstractNumId="67">
    <w:nsid w:val="5E963896"/>
    <w:multiLevelType w:val="hybridMultilevel"/>
    <w:lvl w:ilvl="0">
      <w:lvlJc w:val="left"/>
      <w:lvlText w:val="%1"/>
      <w:numFmt w:val="decimal"/>
      <w:start w:val="31"/>
    </w:lvl>
  </w:abstractNum>
  <w:abstractNum w:abstractNumId="68">
    <w:nsid w:val="775BA7C1"/>
    <w:multiLevelType w:val="hybridMultilevel"/>
    <w:lvl w:ilvl="0">
      <w:lvlJc w:val="left"/>
      <w:lvlText w:val="%1"/>
      <w:numFmt w:val="decimal"/>
      <w:start w:val="32"/>
    </w:lvl>
  </w:abstractNum>
  <w:abstractNum w:abstractNumId="69">
    <w:nsid w:val="1DD6D6F4"/>
    <w:multiLevelType w:val="hybridMultilevel"/>
    <w:lvl w:ilvl="0">
      <w:lvlJc w:val="left"/>
      <w:lvlText w:val="%1"/>
      <w:numFmt w:val="decimal"/>
      <w:start w:val="97"/>
    </w:lvl>
  </w:abstractNum>
  <w:abstractNum w:abstractNumId="70">
    <w:nsid w:val="769A091F"/>
    <w:multiLevelType w:val="hybridMultilevel"/>
    <w:lvl w:ilvl="0">
      <w:lvlJc w:val="left"/>
      <w:lvlText w:val="(%1)"/>
      <w:numFmt w:val="lowerLetter"/>
      <w:start w:val="1"/>
    </w:lvl>
  </w:abstractNum>
  <w:abstractNum w:abstractNumId="71">
    <w:nsid w:val="4695AE95"/>
    <w:multiLevelType w:val="hybridMultilevel"/>
    <w:lvl w:ilvl="0">
      <w:lvlJc w:val="left"/>
      <w:lvlText w:val="*"/>
      <w:numFmt w:val="bullet"/>
      <w:start w:val="1"/>
    </w:lvl>
    <w:lvl w:ilvl="1">
      <w:lvlJc w:val="left"/>
      <w:lvlText w:val="%2"/>
      <w:numFmt w:val="decimal"/>
      <w:start w:val="104"/>
    </w:lvl>
  </w:abstractNum>
  <w:abstractNum w:abstractNumId="72">
    <w:nsid w:val="777A4EAA"/>
    <w:multiLevelType w:val="hybridMultilevel"/>
    <w:lvl w:ilvl="0">
      <w:lvlJc w:val="left"/>
      <w:lvlText w:val="**"/>
      <w:numFmt w:val="bullet"/>
      <w:start w:val="1"/>
    </w:lvl>
    <w:lvl w:ilvl="1">
      <w:lvlJc w:val="left"/>
      <w:lvlText w:val="%2"/>
      <w:numFmt w:val="decimal"/>
      <w:start w:val="1"/>
    </w:lvl>
  </w:abstractNum>
  <w:abstractNum w:abstractNumId="73">
    <w:nsid w:val="3F48B982"/>
    <w:multiLevelType w:val="hybridMultilevel"/>
    <w:lvl w:ilvl="0">
      <w:lvlJc w:val="left"/>
      <w:lvlText w:val="%1."/>
      <w:numFmt w:val="decimal"/>
      <w:start w:val="1"/>
    </w:lvl>
  </w:abstractNum>
  <w:abstractNum w:abstractNumId="74">
    <w:nsid w:val="46BA8FCA"/>
    <w:multiLevelType w:val="hybridMultilevel"/>
    <w:lvl w:ilvl="0">
      <w:lvlJc w:val="left"/>
      <w:lvlText w:val="%1."/>
      <w:numFmt w:val="decimal"/>
      <w:start w:val="5"/>
    </w:lvl>
  </w:abstractNum>
  <w:abstractNum w:abstractNumId="75">
    <w:nsid w:val="7835626C"/>
    <w:multiLevelType w:val="hybridMultilevel"/>
    <w:lvl w:ilvl="0">
      <w:lvlJc w:val="left"/>
      <w:lvlText w:val="%1."/>
      <w:numFmt w:val="decimal"/>
      <w:start w:val="8"/>
    </w:lvl>
  </w:abstractNum>
  <w:abstractNum w:abstractNumId="76">
    <w:nsid w:val="665ACA49"/>
    <w:multiLevelType w:val="hybridMultilevel"/>
    <w:lvl w:ilvl="0">
      <w:lvlJc w:val="left"/>
      <w:lvlText w:val="%1."/>
      <w:numFmt w:val="decimal"/>
      <w:start w:val="12"/>
    </w:lvl>
  </w:abstractNum>
  <w:abstractNum w:abstractNumId="77">
    <w:nsid w:val="6835B2AE"/>
    <w:multiLevelType w:val="hybridMultilevel"/>
    <w:lvl w:ilvl="0">
      <w:lvlJc w:val="left"/>
      <w:lvlText w:val="(%1)"/>
      <w:numFmt w:val="decimal"/>
      <w:start w:val="1"/>
    </w:lvl>
  </w:abstractNum>
  <w:abstractNum w:abstractNumId="78">
    <w:nsid w:val="4C187C90"/>
    <w:multiLevelType w:val="hybridMultilevel"/>
    <w:lvl w:ilvl="0">
      <w:lvlJc w:val="left"/>
      <w:lvlText w:val="(%1)"/>
      <w:numFmt w:val="decimal"/>
      <w:start w:val="4"/>
    </w:lvl>
  </w:abstractNum>
  <w:abstractNum w:abstractNumId="79">
    <w:nsid w:val="541F28CD"/>
    <w:multiLevelType w:val="hybridMultilevel"/>
    <w:lvl w:ilvl="0">
      <w:lvlJc w:val="left"/>
      <w:lvlText w:val="(%1)"/>
      <w:numFmt w:val="upperLetter"/>
      <w:start w:val="1"/>
    </w:lvl>
  </w:abstractNum>
  <w:abstractNum w:abstractNumId="80">
    <w:nsid w:val="7F65FD16"/>
    <w:multiLevelType w:val="hybridMultilevel"/>
    <w:lvl w:ilvl="0">
      <w:lvlJc w:val="left"/>
      <w:lvlText w:val="%1."/>
      <w:numFmt w:val="decimal"/>
      <w:start w:val="1"/>
    </w:lvl>
  </w:abstractNum>
  <w:abstractNum w:abstractNumId="81">
    <w:nsid w:val="77C9FD68"/>
    <w:multiLevelType w:val="hybridMultilevel"/>
    <w:lvl w:ilvl="0">
      <w:lvlJc w:val="left"/>
      <w:lvlText w:val="%1."/>
      <w:numFmt w:val="decimal"/>
      <w:start w:val="2"/>
    </w:lvl>
  </w:abstractNum>
  <w:abstractNum w:abstractNumId="82">
    <w:nsid w:val="298A92BA"/>
    <w:multiLevelType w:val="hybridMultilevel"/>
    <w:lvl w:ilvl="0">
      <w:lvlJc w:val="left"/>
      <w:lvlText w:val="%1"/>
      <w:numFmt w:val="decimal"/>
      <w:start w:val="1"/>
    </w:lvl>
    <w:lvl w:ilvl="1">
      <w:lvlJc w:val="left"/>
      <w:lvlText w:val="(%2)"/>
      <w:numFmt w:val="lowerRoman"/>
      <w:start w:val="1"/>
    </w:lvl>
  </w:abstractNum>
  <w:abstractNum w:abstractNumId="83">
    <w:nsid w:val="6FE95EAC"/>
    <w:multiLevelType w:val="hybridMultilevel"/>
    <w:lvl w:ilvl="0">
      <w:lvlJc w:val="left"/>
      <w:lvlText w:val="%1."/>
      <w:numFmt w:val="decimal"/>
      <w:start w:val="3"/>
    </w:lvl>
    <w:lvl w:ilvl="1">
      <w:lvlJc w:val="left"/>
      <w:lvlText w:val="%2"/>
      <w:numFmt w:val="lowerRoman"/>
      <w:start w:val="1"/>
    </w:lvl>
  </w:abstractNum>
  <w:abstractNum w:abstractNumId="84">
    <w:nsid w:val="4B697C7A"/>
    <w:multiLevelType w:val="hybridMultilevel"/>
    <w:lvl w:ilvl="0">
      <w:lvlJc w:val="left"/>
      <w:lvlText w:val="(%1)"/>
      <w:numFmt w:val="lowerLetter"/>
      <w:start w:val="1"/>
    </w:lvl>
  </w:abstractNum>
  <w:abstractNum w:abstractNumId="85">
    <w:nsid w:val="51A27AA6"/>
    <w:multiLevelType w:val="hybridMultilevel"/>
    <w:lvl w:ilvl="0">
      <w:lvlJc w:val="left"/>
      <w:lvlText w:val="%1"/>
      <w:numFmt w:val="decimal"/>
      <w:start w:val="1"/>
    </w:lvl>
    <w:lvl w:ilvl="1">
      <w:lvlJc w:val="left"/>
      <w:lvlText w:val="(%2)"/>
      <w:numFmt w:val="lowerLetter"/>
      <w:start w:val="7"/>
    </w:lvl>
  </w:abstractNum>
  <w:abstractNum w:abstractNumId="86">
    <w:nsid w:val="613183F2"/>
    <w:multiLevelType w:val="hybridMultilevel"/>
    <w:lvl w:ilvl="0">
      <w:lvlJc w:val="left"/>
      <w:lvlText w:val="%1."/>
      <w:numFmt w:val="decimal"/>
      <w:start w:val="4"/>
    </w:lvl>
    <w:lvl w:ilvl="1">
      <w:lvlJc w:val="left"/>
      <w:lvlText w:val="%2"/>
      <w:numFmt w:val="lowerLetter"/>
      <w:start w:val="1"/>
    </w:lvl>
  </w:abstractNum>
  <w:abstractNum w:abstractNumId="87">
    <w:nsid w:val="634102B4"/>
    <w:multiLevelType w:val="hybridMultilevel"/>
    <w:lvl w:ilvl="0">
      <w:lvlJc w:val="left"/>
      <w:lvlText w:val="%1."/>
      <w:numFmt w:val="decimal"/>
      <w:start w:val="5"/>
    </w:lvl>
  </w:abstractNum>
  <w:abstractNum w:abstractNumId="88">
    <w:nsid w:val="65BF9DA8"/>
    <w:multiLevelType w:val="hybridMultilevel"/>
    <w:lvl w:ilvl="0">
      <w:lvlJc w:val="left"/>
      <w:lvlText w:val="%1."/>
      <w:numFmt w:val="decimal"/>
      <w:start w:val="6"/>
    </w:lvl>
  </w:abstractNum>
  <w:abstractNum w:abstractNumId="89">
    <w:nsid w:val="21A2ECCA"/>
    <w:multiLevelType w:val="hybridMultilevel"/>
    <w:lvl w:ilvl="0">
      <w:lvlJc w:val="left"/>
      <w:lvlText w:val="%1."/>
      <w:numFmt w:val="decimal"/>
      <w:start w:val="7"/>
    </w:lvl>
  </w:abstractNum>
  <w:abstractNum w:abstractNumId="90">
    <w:nsid w:val="4D5C4899"/>
    <w:multiLevelType w:val="hybridMultilevel"/>
    <w:lvl w:ilvl="0">
      <w:lvlJc w:val="left"/>
      <w:lvlText w:val="%1."/>
      <w:numFmt w:val="decimal"/>
      <w:start w:val="8"/>
    </w:lvl>
  </w:abstractNum>
  <w:abstractNum w:abstractNumId="91">
    <w:nsid w:val="3C3B72B2"/>
    <w:multiLevelType w:val="hybridMultilevel"/>
    <w:lvl w:ilvl="0">
      <w:lvlJc w:val="left"/>
      <w:lvlText w:val="(%1)"/>
      <w:numFmt w:val="lowerRoman"/>
      <w:start w:val="1"/>
    </w:lvl>
  </w:abstractNum>
  <w:abstractNum w:abstractNumId="92">
    <w:nsid w:val="155EC4C2"/>
    <w:multiLevelType w:val="hybridMultilevel"/>
    <w:lvl w:ilvl="0">
      <w:lvlJc w:val="left"/>
      <w:lvlText w:val="(%1)"/>
      <w:numFmt w:val="lowerRoman"/>
      <w:start w:val="4"/>
    </w:lvl>
  </w:abstractNum>
  <w:abstractNum w:abstractNumId="93">
    <w:nsid w:val="65D2A137"/>
    <w:multiLevelType w:val="hybridMultilevel"/>
    <w:lvl w:ilvl="0">
      <w:lvlJc w:val="left"/>
      <w:lvlText w:val="%1."/>
      <w:numFmt w:val="decimal"/>
      <w:start w:val="9"/>
    </w:lvl>
  </w:abstractNum>
  <w:abstractNum w:abstractNumId="94">
    <w:nsid w:val="6EBB1F2A"/>
    <w:multiLevelType w:val="hybridMultilevel"/>
    <w:lvl w:ilvl="0">
      <w:lvlJc w:val="left"/>
      <w:lvlText w:val="(%1)"/>
      <w:numFmt w:val="lowerRoman"/>
      <w:start w:val="1"/>
    </w:lvl>
  </w:abstractNum>
  <w:abstractNum w:abstractNumId="95">
    <w:nsid w:val="6FBF29CB"/>
    <w:multiLevelType w:val="hybridMultilevel"/>
    <w:lvl w:ilvl="0">
      <w:lvlJc w:val="left"/>
      <w:lvlText w:val="%1."/>
      <w:numFmt w:val="decimal"/>
      <w:start w:val="10"/>
    </w:lvl>
  </w:abstractNum>
  <w:abstractNum w:abstractNumId="96">
    <w:nsid w:val="550B8808"/>
    <w:multiLevelType w:val="hybridMultilevel"/>
    <w:lvl w:ilvl="0">
      <w:lvlJc w:val="left"/>
      <w:lvlText w:val="%1."/>
      <w:numFmt w:val="decimal"/>
      <w:start w:val="11"/>
    </w:lvl>
  </w:abstractNum>
  <w:abstractNum w:abstractNumId="97">
    <w:nsid w:val="34CC3ACF"/>
    <w:multiLevelType w:val="hybridMultilevel"/>
    <w:lvl w:ilvl="0">
      <w:lvlJc w:val="left"/>
      <w:lvlText w:val="(%1)"/>
      <w:numFmt w:val="lowerLetter"/>
      <w:start w:val="1"/>
    </w:lvl>
  </w:abstractNum>
  <w:abstractNum w:abstractNumId="98">
    <w:nsid w:val="4E556261"/>
    <w:multiLevelType w:val="hybridMultilevel"/>
    <w:lvl w:ilvl="0">
      <w:lvlJc w:val="left"/>
      <w:lvlText w:val="%1"/>
      <w:numFmt w:val="decimal"/>
      <w:start w:val="1"/>
    </w:lvl>
    <w:lvl w:ilvl="1">
      <w:lvlJc w:val="left"/>
      <w:lvlText w:val="(%2)"/>
      <w:numFmt w:val="lowerLetter"/>
      <w:start w:val="2"/>
    </w:lvl>
  </w:abstractNum>
  <w:abstractNum w:abstractNumId="99">
    <w:nsid w:val="4C672FC9"/>
    <w:multiLevelType w:val="hybridMultilevel"/>
    <w:lvl w:ilvl="0">
      <w:lvlJc w:val="left"/>
      <w:lvlText w:val="%1."/>
      <w:numFmt w:val="decimal"/>
      <w:start w:val="12"/>
    </w:lvl>
    <w:lvl w:ilvl="1">
      <w:lvlJc w:val="left"/>
      <w:lvlText w:val="%2"/>
      <w:numFmt w:val="lowerLetter"/>
      <w:start w:val="1"/>
    </w:lvl>
  </w:abstractNum>
  <w:abstractNum w:abstractNumId="100">
    <w:nsid w:val="52A311C3"/>
    <w:multiLevelType w:val="hybridMultilevel"/>
    <w:lvl w:ilvl="0">
      <w:lvlJc w:val="left"/>
      <w:lvlText w:val="%1."/>
      <w:numFmt w:val="decimal"/>
      <w:start w:val="14"/>
    </w:lvl>
  </w:abstractNum>
  <w:abstractNum w:abstractNumId="101">
    <w:nsid w:val="44EF6B80"/>
    <w:multiLevelType w:val="hybridMultilevel"/>
    <w:lvl w:ilvl="0">
      <w:lvlJc w:val="left"/>
      <w:lvlText w:val="%1."/>
      <w:numFmt w:val="decimal"/>
      <w:start w:val="15"/>
    </w:lvl>
  </w:abstractNum>
  <w:abstractNum w:abstractNumId="102">
    <w:nsid w:val="12FCDE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3">
    <w:nsid w:val="4A1D606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4">
    <w:nsid w:val="438250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6"/>
    </w:lvl>
    <w:lvl w:ilvl="4">
      <w:lvlJc w:val="left"/>
      <w:lvlText w:val="%5"/>
      <w:numFmt w:val="lowerRoman"/>
      <w:start w:val="1"/>
    </w:lvl>
  </w:abstractNum>
  <w:abstractNum w:abstractNumId="105">
    <w:nsid w:val="59B76E2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106">
    <w:nsid w:val="4252C2D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7">
    <w:nsid w:val="6A92EF4C"/>
    <w:multiLevelType w:val="hybridMultilevel"/>
    <w:lvl w:ilvl="0">
      <w:lvlJc w:val="left"/>
      <w:lvlText w:val="%1."/>
      <w:numFmt w:val="decimal"/>
      <w:start w:val="11"/>
    </w:lvl>
    <w:lvl w:ilvl="1">
      <w:lvlJc w:val="left"/>
      <w:lvlText w:val="(%2)"/>
      <w:numFmt w:val="lowerLetter"/>
      <w:start w:val="1"/>
    </w:lvl>
  </w:abstractNum>
  <w:abstractNum w:abstractNumId="108">
    <w:nsid w:val="41ED20D7"/>
    <w:multiLevelType w:val="hybridMultilevel"/>
    <w:lvl w:ilvl="0">
      <w:lvlJc w:val="left"/>
      <w:lvlText w:val="%1."/>
      <w:numFmt w:val="decimal"/>
      <w:start w:val="1"/>
    </w:lvl>
  </w:abstractNum>
  <w:abstractNum w:abstractNumId="109">
    <w:nsid w:val="E6B3F6A"/>
    <w:multiLevelType w:val="hybridMultilevel"/>
    <w:lvl w:ilvl="0">
      <w:lvlJc w:val="left"/>
      <w:lvlText w:val="%1."/>
      <w:numFmt w:val="decimal"/>
      <w:start w:val="5"/>
    </w:lvl>
  </w:abstractNum>
  <w:abstractNum w:abstractNumId="110">
    <w:nsid w:val="3EB21819"/>
    <w:multiLevelType w:val="hybridMultilevel"/>
    <w:lvl w:ilvl="0">
      <w:lvlJc w:val="left"/>
      <w:lvlText w:val="%1."/>
      <w:numFmt w:val="decimal"/>
      <w:start w:val="7"/>
    </w:lvl>
  </w:abstractNum>
  <w:abstractNum w:abstractNumId="111">
    <w:nsid w:val="41531DED"/>
    <w:multiLevelType w:val="hybridMultilevel"/>
    <w:lvl w:ilvl="0">
      <w:lvlJc w:val="left"/>
      <w:lvlText w:val="%1."/>
      <w:numFmt w:val="decimal"/>
      <w:start w:val="8"/>
    </w:lvl>
  </w:abstractNum>
  <w:abstractNum w:abstractNumId="112">
    <w:nsid w:val="6353CD2"/>
    <w:multiLevelType w:val="hybridMultilevel"/>
    <w:lvl w:ilvl="0">
      <w:lvlJc w:val="left"/>
      <w:lvlText w:val="%1."/>
      <w:numFmt w:val="decimal"/>
      <w:start w:val="9"/>
    </w:lvl>
  </w:abstractNum>
  <w:abstractNum w:abstractNumId="113">
    <w:nsid w:val="683CAAD3"/>
    <w:multiLevelType w:val="hybridMultilevel"/>
    <w:lvl w:ilvl="0">
      <w:lvlJc w:val="left"/>
      <w:lvlText w:val="%1."/>
      <w:numFmt w:val="decimal"/>
      <w:start w:val="11"/>
    </w:lvl>
  </w:abstractNum>
  <w:abstractNum w:abstractNumId="114">
    <w:nsid w:val="313C7C99"/>
    <w:multiLevelType w:val="hybridMultilevel"/>
    <w:lvl w:ilvl="0">
      <w:lvlJc w:val="left"/>
      <w:lvlText w:val="%1."/>
      <w:numFmt w:val="decimal"/>
      <w:start w:val="12"/>
    </w:lvl>
  </w:abstractNum>
  <w:abstractNum w:abstractNumId="115">
    <w:nsid w:val="519EB94C"/>
    <w:multiLevelType w:val="hybridMultilevel"/>
    <w:lvl w:ilvl="0">
      <w:lvlJc w:val="left"/>
      <w:lvlText w:val="%1."/>
      <w:numFmt w:val="decimal"/>
      <w:start w:val="15"/>
    </w:lvl>
  </w:abstractNum>
  <w:abstractNum w:abstractNumId="116">
    <w:nsid w:val="39DF2579"/>
    <w:multiLevelType w:val="hybridMultilevel"/>
    <w:lvl w:ilvl="0">
      <w:lvlJc w:val="left"/>
      <w:lvlText w:val="%1."/>
      <w:numFmt w:val="decimal"/>
      <w:start w:val="16"/>
    </w:lvl>
  </w:abstractNum>
  <w:abstractNum w:abstractNumId="117">
    <w:nsid w:val="126E008B"/>
    <w:multiLevelType w:val="hybridMultilevel"/>
    <w:lvl w:ilvl="0">
      <w:lvlJc w:val="left"/>
      <w:lvlText w:val="%1."/>
      <w:numFmt w:val="decimal"/>
      <w:start w:val="17"/>
    </w:lvl>
  </w:abstractNum>
  <w:abstractNum w:abstractNumId="118">
    <w:nsid w:val="34DFBC00"/>
    <w:multiLevelType w:val="hybridMultilevel"/>
    <w:lvl w:ilvl="0">
      <w:lvlJc w:val="left"/>
      <w:lvlText w:val="%1."/>
      <w:numFmt w:val="decimal"/>
      <w:start w:val="22"/>
    </w:lvl>
  </w:abstractNum>
  <w:abstractNum w:abstractNumId="119">
    <w:nsid w:val="1F9EC322"/>
    <w:multiLevelType w:val="hybridMultilevel"/>
    <w:lvl w:ilvl="0">
      <w:lvlJc w:val="left"/>
      <w:lvlText w:val="%1."/>
      <w:numFmt w:val="decimal"/>
      <w:start w:val="26"/>
    </w:lvl>
  </w:abstractNum>
  <w:abstractNum w:abstractNumId="120">
    <w:nsid w:val="3410ED56"/>
    <w:multiLevelType w:val="hybridMultilevel"/>
    <w:lvl w:ilvl="0">
      <w:lvlJc w:val="left"/>
      <w:lvlText w:val="%1."/>
      <w:numFmt w:val="decimal"/>
      <w:start w:val="28"/>
    </w:lvl>
  </w:abstractNum>
  <w:abstractNum w:abstractNumId="121">
    <w:nsid w:val="23C049A"/>
    <w:multiLevelType w:val="hybridMultilevel"/>
    <w:lvl w:ilvl="0">
      <w:lvlJc w:val="left"/>
      <w:lvlText w:val="%1."/>
      <w:numFmt w:val="decimal"/>
      <w:start w:val="34"/>
    </w:lvl>
  </w:abstractNum>
  <w:abstractNum w:abstractNumId="122">
    <w:nsid w:val="5BDA35D4"/>
    <w:multiLevelType w:val="hybridMultilevel"/>
    <w:lvl w:ilvl="0">
      <w:lvlJc w:val="left"/>
      <w:lvlText w:val="%1."/>
      <w:numFmt w:val="decimal"/>
      <w:start w:val="1"/>
    </w:lvl>
  </w:abstractNum>
  <w:abstractNum w:abstractNumId="123">
    <w:nsid w:val="496FB218"/>
    <w:multiLevelType w:val="hybridMultilevel"/>
    <w:lvl w:ilvl="0">
      <w:lvlJc w:val="left"/>
      <w:lvlText w:val="%1."/>
      <w:numFmt w:val="decimal"/>
      <w:start w:val="2"/>
    </w:lvl>
  </w:abstractNum>
  <w:abstractNum w:abstractNumId="124">
    <w:nsid w:val="680EA5D1"/>
    <w:multiLevelType w:val="hybridMultilevel"/>
    <w:lvl w:ilvl="0">
      <w:lvlJc w:val="left"/>
      <w:lvlText w:val="%1."/>
      <w:numFmt w:val="decimal"/>
      <w:start w:val="1"/>
    </w:lvl>
  </w:abstractNum>
  <w:abstractNum w:abstractNumId="125">
    <w:nsid w:val="4A9554FE"/>
    <w:multiLevelType w:val="hybridMultilevel"/>
    <w:lvl w:ilvl="0">
      <w:lvlJc w:val="left"/>
      <w:lvlText w:val="(%1)"/>
      <w:numFmt w:val="lowerRoman"/>
      <w:start w:val="1"/>
    </w:lvl>
    <w:lvl w:ilvl="1">
      <w:lvlJc w:val="left"/>
      <w:lvlText w:val="%2."/>
      <w:numFmt w:val="decimal"/>
      <w:start w:val="3"/>
    </w:lvl>
  </w:abstractNum>
  <w:abstractNum w:abstractNumId="126">
    <w:nsid w:val="392EDBE4"/>
    <w:multiLevelType w:val="hybridMultilevel"/>
    <w:lvl w:ilvl="0">
      <w:lvlJc w:val="left"/>
      <w:lvlText w:val="%1."/>
      <w:numFmt w:val="decimal"/>
      <w:start w:val="3"/>
    </w:lvl>
  </w:abstractNum>
  <w:abstractNum w:abstractNumId="127">
    <w:nsid w:val="3D1A2DD9"/>
    <w:multiLevelType w:val="hybridMultilevel"/>
    <w:lvl w:ilvl="0">
      <w:lvlJc w:val="left"/>
      <w:lvlText w:val="%1."/>
      <w:numFmt w:val="decimal"/>
      <w:start w:val="1"/>
    </w:lvl>
  </w:abstractNum>
  <w:abstractNum w:abstractNumId="128">
    <w:nsid w:val="7F618FCD"/>
    <w:multiLevelType w:val="hybridMultilevel"/>
    <w:lvl w:ilvl="0">
      <w:lvlJc w:val="left"/>
      <w:lvlText w:val="%1."/>
      <w:numFmt w:val="decimal"/>
      <w:start w:val="2"/>
    </w:lvl>
  </w:abstractNum>
  <w:abstractNum w:abstractNumId="129">
    <w:nsid w:val="7843E45"/>
    <w:multiLevelType w:val="hybridMultilevel"/>
    <w:lvl w:ilvl="0">
      <w:lvlJc w:val="left"/>
      <w:lvlText w:val="%1."/>
      <w:numFmt w:val="decimal"/>
      <w:start w:val="1"/>
    </w:lvl>
  </w:abstractNum>
  <w:abstractNum w:abstractNumId="130">
    <w:nsid w:val="9815DA3"/>
    <w:multiLevelType w:val="hybridMultilevel"/>
    <w:lvl w:ilvl="0">
      <w:lvlJc w:val="left"/>
      <w:lvlText w:val="%1."/>
      <w:numFmt w:val="decimal"/>
      <w:start w:val="8"/>
    </w:lvl>
  </w:abstractNum>
  <w:abstractNum w:abstractNumId="131">
    <w:nsid w:val="5204A191"/>
    <w:multiLevelType w:val="hybridMultilevel"/>
    <w:lvl w:ilvl="0">
      <w:lvlJc w:val="left"/>
      <w:lvlText w:val="%1."/>
      <w:numFmt w:val="decimal"/>
      <w:start w:val="3"/>
    </w:lvl>
  </w:abstractNum>
  <w:abstractNum w:abstractNumId="132">
    <w:nsid w:val="4C73A9C6"/>
    <w:multiLevelType w:val="hybridMultilevel"/>
    <w:lvl w:ilvl="0">
      <w:lvlJc w:val="left"/>
      <w:lvlText w:val="%1."/>
      <w:numFmt w:val="decimal"/>
      <w:start w:val="1"/>
    </w:lvl>
    <w:lvl w:ilvl="1">
      <w:lvlJc w:val="left"/>
      <w:lvlText w:val="%2."/>
      <w:numFmt w:val="decimal"/>
      <w:start w:val="1"/>
    </w:lvl>
  </w:abstractNum>
  <w:abstractNum w:abstractNumId="133">
    <w:nsid w:val="1C7E3C01"/>
    <w:multiLevelType w:val="hybridMultilevel"/>
    <w:lvl w:ilvl="0">
      <w:lvlJc w:val="left"/>
      <w:lvlText w:val="%1."/>
      <w:numFmt w:val="decimal"/>
      <w:start w:val="4"/>
    </w:lvl>
    <w:lvl w:ilvl="1">
      <w:lvlJc w:val="left"/>
      <w:lvlText w:val="%2."/>
      <w:numFmt w:val="decimal"/>
      <w:start w:val="1"/>
    </w:lvl>
  </w:abstractNum>
  <w:abstractNum w:abstractNumId="134">
    <w:nsid w:val="1C2201FF"/>
    <w:multiLevelType w:val="hybridMultilevel"/>
    <w:lvl w:ilvl="0">
      <w:lvlJc w:val="left"/>
      <w:lvlText w:val="%1."/>
      <w:numFmt w:val="decimal"/>
      <w:start w:val="3"/>
    </w:lvl>
  </w:abstractNum>
  <w:abstractNum w:abstractNumId="135">
    <w:nsid w:val="50ABCEC9"/>
    <w:multiLevelType w:val="hybridMultilevel"/>
    <w:lvl w:ilvl="0">
      <w:lvlJc w:val="left"/>
      <w:lvlText w:val="(%1)"/>
      <w:numFmt w:val="decimal"/>
      <w:start w:val="8"/>
    </w:lvl>
    <w:lvl w:ilvl="1">
      <w:lvlJc w:val="left"/>
      <w:lvlText w:val="%2"/>
      <w:numFmt w:val="decimal"/>
      <w:start w:val="1"/>
    </w:lvl>
  </w:abstractNum>
  <w:abstractNum w:abstractNumId="136">
    <w:nsid w:val="7635AA2A"/>
    <w:multiLevelType w:val="hybridMultilevel"/>
    <w:lvl w:ilvl="0">
      <w:lvlJc w:val="left"/>
      <w:lvlText w:val="(%1)"/>
      <w:numFmt w:val="decimal"/>
      <w:start w:val="3"/>
    </w:lvl>
    <w:lvl w:ilvl="1">
      <w:lvlJc w:val="left"/>
      <w:lvlText w:val="%2."/>
      <w:numFmt w:val="decimal"/>
      <w:start w:val="4"/>
    </w:lvl>
  </w:abstractNum>
  <w:abstractNum w:abstractNumId="137">
    <w:nsid w:val="5E74C4D9"/>
    <w:multiLevelType w:val="hybridMultilevel"/>
    <w:lvl w:ilvl="0">
      <w:lvlJc w:val="left"/>
      <w:lvlText w:val="%1."/>
      <w:numFmt w:val="decimal"/>
      <w:start w:val="5"/>
    </w:lvl>
  </w:abstractNum>
  <w:abstractNum w:abstractNumId="138">
    <w:nsid w:val="3B3EBE15"/>
    <w:multiLevelType w:val="hybridMultilevel"/>
    <w:lvl w:ilvl="0">
      <w:lvlJc w:val="left"/>
      <w:lvlText w:val="-"/>
      <w:numFmt w:val="bullet"/>
      <w:start w:val="1"/>
    </w:lvl>
    <w:lvl w:ilvl="1">
      <w:lvlJc w:val="left"/>
      <w:lvlText w:val="%2."/>
      <w:numFmt w:val="decimal"/>
      <w:start w:val="6"/>
    </w:lvl>
  </w:abstractNum>
  <w:abstractNum w:abstractNumId="139">
    <w:nsid w:val="3822CB01"/>
    <w:multiLevelType w:val="hybridMultilevel"/>
    <w:lvl w:ilvl="0">
      <w:lvlJc w:val="left"/>
      <w:lvlText w:val="-"/>
      <w:numFmt w:val="bullet"/>
      <w:start w:val="1"/>
    </w:lvl>
  </w:abstractNum>
  <w:abstractNum w:abstractNumId="140">
    <w:nsid w:val="6CE00443"/>
    <w:multiLevelType w:val="hybridMultilevel"/>
    <w:lvl w:ilvl="0">
      <w:lvlJc w:val="left"/>
      <w:lvlText w:val="%1"/>
      <w:numFmt w:val="decimal"/>
      <w:start w:val="1"/>
    </w:lvl>
    <w:lvl w:ilvl="1">
      <w:lvlJc w:val="left"/>
      <w:lvlText w:val="-"/>
      <w:numFmt w:val="bullet"/>
      <w:start w:val="1"/>
    </w:lvl>
    <w:lvl w:ilvl="2">
      <w:lvlJc w:val="left"/>
      <w:lvlText w:val="%3."/>
      <w:numFmt w:val="decimal"/>
      <w:start w:val="8"/>
    </w:lvl>
  </w:abstractNum>
  <w:abstractNum w:abstractNumId="141">
    <w:nsid w:val="79F0D62F"/>
    <w:multiLevelType w:val="hybridMultilevel"/>
    <w:lvl w:ilvl="0">
      <w:lvlJc w:val="left"/>
      <w:lvlText w:val="%1."/>
      <w:numFmt w:val="decimal"/>
      <w:start w:val="7"/>
    </w:lvl>
    <w:lvl w:ilvl="1">
      <w:lvlJc w:val="left"/>
      <w:lvlText w:val="-"/>
      <w:numFmt w:val="bullet"/>
      <w:start w:val="1"/>
    </w:lvl>
    <w:lvl w:ilvl="2">
      <w:lvlJc w:val="left"/>
      <w:lvlText w:val="%3."/>
      <w:numFmt w:val="decimal"/>
      <w:start w:val="1"/>
    </w:lvl>
  </w:abstractNum>
  <w:abstractNum w:abstractNumId="142">
    <w:nsid w:val="7975E8EE"/>
    <w:multiLevelType w:val="hybridMultilevel"/>
    <w:lvl w:ilvl="0">
      <w:lvlJc w:val="left"/>
      <w:lvlText w:val="%1."/>
      <w:numFmt w:val="decimal"/>
      <w:start w:val="4"/>
    </w:lvl>
  </w:abstractNum>
  <w:abstractNum w:abstractNumId="143">
    <w:nsid w:val="7315411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4">
    <w:nsid w:val="622D8102"/>
    <w:multiLevelType w:val="hybridMultilevel"/>
    <w:lvl w:ilvl="0">
      <w:lvlJc w:val="left"/>
      <w:lvlText w:val="%1"/>
      <w:numFmt w:val="decimal"/>
      <w:start w:val="1"/>
    </w:lvl>
    <w:lvl w:ilvl="1">
      <w:lvlJc w:val="left"/>
      <w:lvlText w:val="%2."/>
      <w:numFmt w:val="decimal"/>
      <w:start w:val="1"/>
    </w:lvl>
  </w:abstractNum>
  <w:abstractNum w:abstractNumId="145">
    <w:nsid w:val="2AB26587"/>
    <w:multiLevelType w:val="hybridMultilevel"/>
    <w:lvl w:ilvl="0">
      <w:lvlJc w:val="left"/>
      <w:lvlText w:val="%1."/>
      <w:numFmt w:val="decimal"/>
      <w:start w:val="2"/>
    </w:lvl>
    <w:lvl w:ilvl="1">
      <w:lvlJc w:val="left"/>
      <w:lvlText w:val="%2"/>
      <w:numFmt w:val="decimal"/>
      <w:start w:val="1"/>
    </w:lvl>
  </w:abstractNum>
  <w:abstractNum w:abstractNumId="146">
    <w:nsid w:val="44B3FA61"/>
    <w:multiLevelType w:val="hybridMultilevel"/>
    <w:lvl w:ilvl="0">
      <w:lvlJc w:val="left"/>
      <w:lvlText w:val="%1."/>
      <w:numFmt w:val="decimal"/>
      <w:start w:val="3"/>
    </w:lvl>
  </w:abstractNum>
  <w:abstractNum w:abstractNumId="147">
    <w:nsid w:val="1C0CA67C"/>
    <w:multiLevelType w:val="hybridMultilevel"/>
    <w:lvl w:ilvl="0">
      <w:lvlJc w:val="left"/>
      <w:lvlText w:val="%1."/>
      <w:numFmt w:val="decimal"/>
      <w:start w:val="5"/>
    </w:lvl>
  </w:abstractNum>
  <w:abstractNum w:abstractNumId="148">
    <w:nsid w:val="3D206613"/>
    <w:multiLevelType w:val="hybridMultilevel"/>
    <w:lvl w:ilvl="0">
      <w:lvlJc w:val="left"/>
      <w:lvlText w:val="%1."/>
      <w:numFmt w:val="decimal"/>
      <w:start w:val="1"/>
    </w:lvl>
    <w:lvl w:ilvl="1">
      <w:lvlJc w:val="left"/>
      <w:lvlText w:val="%2."/>
      <w:numFmt w:val="decimal"/>
      <w:start w:val="1"/>
    </w:lvl>
  </w:abstractNum>
  <w:abstractNum w:abstractNumId="149">
    <w:nsid w:val="7993B662"/>
    <w:multiLevelType w:val="hybridMultilevel"/>
    <w:lvl w:ilvl="0">
      <w:lvlJc w:val="left"/>
      <w:lvlText w:val="%1"/>
      <w:numFmt w:val="decimal"/>
      <w:start w:val="1"/>
    </w:lvl>
    <w:lvl w:ilvl="1">
      <w:lvlJc w:val="left"/>
      <w:lvlText w:val="%2."/>
      <w:numFmt w:val="decimal"/>
      <w:start w:val="2"/>
    </w:lvl>
  </w:abstractNum>
  <w:abstractNum w:abstractNumId="150">
    <w:nsid w:val="3BAB699E"/>
    <w:multiLevelType w:val="hybridMultilevel"/>
    <w:lvl w:ilvl="0">
      <w:lvlJc w:val="left"/>
      <w:lvlText w:val="%1."/>
      <w:numFmt w:val="decimal"/>
      <w:start w:val="2"/>
    </w:lvl>
    <w:lvl w:ilvl="1">
      <w:lvlJc w:val="left"/>
      <w:lvlText w:val="%2"/>
      <w:numFmt w:val="decimal"/>
      <w:start w:val="1"/>
    </w:lvl>
  </w:abstractNum>
  <w:abstractNum w:abstractNumId="151">
    <w:nsid w:val="71315369"/>
    <w:multiLevelType w:val="hybridMultilevel"/>
    <w:lvl w:ilvl="0">
      <w:lvlJc w:val="left"/>
      <w:lvlText w:val="%1."/>
      <w:numFmt w:val="decimal"/>
      <w:start w:val="3"/>
    </w:lvl>
    <w:lvl w:ilvl="1">
      <w:lvlJc w:val="left"/>
      <w:lvlText w:val="%2."/>
      <w:numFmt w:val="decimal"/>
      <w:start w:val="1"/>
    </w:lvl>
  </w:abstractNum>
  <w:abstractNum w:abstractNumId="152">
    <w:nsid w:val="7BCFBAFC"/>
    <w:multiLevelType w:val="hybridMultilevel"/>
    <w:lvl w:ilvl="0">
      <w:lvlJc w:val="left"/>
      <w:lvlText w:val="%1"/>
      <w:numFmt w:val="decimal"/>
      <w:start w:val="1"/>
    </w:lvl>
    <w:lvl w:ilvl="1">
      <w:lvlJc w:val="left"/>
      <w:lvlText w:val="%2."/>
      <w:numFmt w:val="decimal"/>
      <w:start w:val="1"/>
    </w:lvl>
  </w:abstractNum>
  <w:abstractNum w:abstractNumId="153">
    <w:nsid w:val="17859F72"/>
    <w:multiLevelType w:val="hybridMultilevel"/>
    <w:lvl w:ilvl="0">
      <w:lvlJc w:val="left"/>
      <w:lvlText w:val="%1."/>
      <w:numFmt w:val="decimal"/>
      <w:start w:val="2"/>
    </w:lvl>
    <w:lvl w:ilvl="1">
      <w:lvlJc w:val="left"/>
      <w:lvlText w:val="%2."/>
      <w:numFmt w:val="decimal"/>
      <w:start w:val="1"/>
    </w:lvl>
  </w:abstractNum>
  <w:abstractNum w:abstractNumId="154">
    <w:nsid w:val="3AA10581"/>
    <w:multiLevelType w:val="hybridMultilevel"/>
    <w:lvl w:ilvl="0">
      <w:lvlJc w:val="left"/>
      <w:lvlText w:val="%1."/>
      <w:numFmt w:val="decimal"/>
      <w:start w:val="3"/>
    </w:lvl>
    <w:lvl w:ilvl="1">
      <w:lvlJc w:val="left"/>
      <w:lvlText w:val="%2."/>
      <w:numFmt w:val="decimal"/>
      <w:start w:val="1"/>
    </w:lvl>
  </w:abstractNum>
  <w:abstractNum w:abstractNumId="155">
    <w:nsid w:val="63DE60CD"/>
    <w:multiLevelType w:val="hybridMultilevel"/>
    <w:lvl w:ilvl="0">
      <w:lvlJc w:val="left"/>
      <w:lvlText w:val="(%1)"/>
      <w:numFmt w:val="lowerLetter"/>
      <w:start w:val="1"/>
    </w:lvl>
  </w:abstractNum>
  <w:abstractNum w:abstractNumId="156">
    <w:nsid w:val="621AF471"/>
    <w:multiLevelType w:val="hybridMultilevel"/>
    <w:lvl w:ilvl="0">
      <w:lvlJc w:val="left"/>
      <w:lvlText w:val="%1."/>
      <w:numFmt w:val="decimal"/>
      <w:start w:val="5"/>
    </w:lvl>
  </w:abstractNum>
  <w:abstractNum w:abstractNumId="157">
    <w:nsid w:val="73CFE165"/>
    <w:multiLevelType w:val="hybridMultilevel"/>
    <w:lvl w:ilvl="0">
      <w:lvlJc w:val="left"/>
      <w:lvlText w:val="%1."/>
      <w:numFmt w:val="decimal"/>
      <w:start w:val="6"/>
    </w:lvl>
  </w:abstractNum>
  <w:abstractNum w:abstractNumId="158">
    <w:nsid w:val="20F88EA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59">
    <w:nsid w:val="617C843E"/>
    <w:multiLevelType w:val="hybridMultilevel"/>
    <w:lvl w:ilvl="0">
      <w:lvlJc w:val="left"/>
      <w:lvlText w:val="%1."/>
      <w:numFmt w:val="decimal"/>
      <w:start w:val="2"/>
    </w:lvl>
  </w:abstractNum>
  <w:abstractNum w:abstractNumId="160">
    <w:nsid w:val="7B541FAB"/>
    <w:multiLevelType w:val="hybridMultilevel"/>
    <w:lvl w:ilvl="0">
      <w:lvlJc w:val="left"/>
      <w:lvlText w:val="%1."/>
      <w:numFmt w:val="decimal"/>
      <w:start w:val="2"/>
    </w:lvl>
  </w:abstractNum>
  <w:abstractNum w:abstractNumId="161">
    <w:nsid w:val="2A79EC49"/>
    <w:multiLevelType w:val="hybridMultilevel"/>
    <w:lvl w:ilvl="0">
      <w:lvlJc w:val="left"/>
      <w:lvlText w:val="%1."/>
      <w:numFmt w:val="decimal"/>
      <w:start w:val="1"/>
    </w:lvl>
  </w:abstractNum>
  <w:abstractNum w:abstractNumId="162">
    <w:nsid w:val="338125CF"/>
    <w:multiLevelType w:val="hybridMultilevel"/>
    <w:lvl w:ilvl="0">
      <w:lvlJc w:val="left"/>
      <w:lvlText w:val="-"/>
      <w:numFmt w:val="bullet"/>
      <w:start w:val="1"/>
    </w:lvl>
  </w:abstractNum>
  <w:abstractNum w:abstractNumId="163">
    <w:nsid w:val="47C7C971"/>
    <w:multiLevelType w:val="hybridMultilevel"/>
    <w:lvl w:ilvl="0">
      <w:lvlJc w:val="left"/>
      <w:lvlText w:val="%1"/>
      <w:numFmt w:val="decimal"/>
      <w:start w:val="1"/>
    </w:lvl>
    <w:lvl w:ilvl="1">
      <w:lvlJc w:val="left"/>
      <w:lvlText w:val="%2."/>
      <w:numFmt w:val="decimal"/>
      <w:start w:val="2"/>
    </w:lvl>
  </w:abstractNum>
  <w:abstractNum w:abstractNumId="164">
    <w:nsid w:val="46F8284B"/>
    <w:multiLevelType w:val="hybridMultilevel"/>
    <w:lvl w:ilvl="0">
      <w:lvlJc w:val="left"/>
      <w:lvlText w:val="%1."/>
      <w:numFmt w:val="decimal"/>
      <w:start w:val="3"/>
    </w:lvl>
    <w:lvl w:ilvl="1">
      <w:lvlJc w:val="left"/>
      <w:lvlText w:val="%2"/>
      <w:numFmt w:val="decimal"/>
      <w:start w:val="1"/>
    </w:lvl>
  </w:abstractNum>
  <w:abstractNum w:abstractNumId="165">
    <w:nsid w:val="4FA327CE"/>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166">
    <w:nsid w:val="1873983A"/>
    <w:multiLevelType w:val="hybridMultilevel"/>
    <w:lvl w:ilvl="0">
      <w:lvlJc w:val="left"/>
      <w:lvlText w:val="%1."/>
      <w:numFmt w:val="decimal"/>
      <w:start w:val="2"/>
    </w:lvl>
    <w:lvl w:ilvl="1">
      <w:lvlJc w:val="left"/>
      <w:lvlText w:val="(%2)"/>
      <w:numFmt w:val="lowerLetter"/>
      <w:start w:val="24"/>
    </w:lvl>
    <w:lvl w:ilvl="2">
      <w:lvlJc w:val="left"/>
      <w:lvlText w:val="(%3)"/>
      <w:numFmt w:val="lowerRoman"/>
      <w:start w:val="1"/>
    </w:lvl>
  </w:abstractNum>
  <w:abstractNum w:abstractNumId="167">
    <w:nsid w:val="3D2DD275"/>
    <w:multiLevelType w:val="hybridMultilevel"/>
    <w:lvl w:ilvl="0">
      <w:lvlJc w:val="left"/>
      <w:lvlText w:val="%1."/>
      <w:numFmt w:val="decimal"/>
      <w:start w:val="4"/>
    </w:lvl>
  </w:abstractNum>
  <w:abstractNum w:abstractNumId="168">
    <w:nsid w:val="2E17ECA7"/>
    <w:multiLevelType w:val="hybridMultilevel"/>
    <w:lvl w:ilvl="0">
      <w:lvlJc w:val="left"/>
      <w:lvlText w:val="%1."/>
      <w:numFmt w:val="decimal"/>
      <w:start w:val="7"/>
    </w:lvl>
  </w:abstractNum>
  <w:abstractNum w:abstractNumId="169">
    <w:nsid w:val="53B2564F"/>
    <w:multiLevelType w:val="hybridMultilevel"/>
    <w:lvl w:ilvl="0">
      <w:lvlJc w:val="left"/>
      <w:lvlText w:val="%1."/>
      <w:numFmt w:val="decimal"/>
      <w:start w:val="1"/>
    </w:lvl>
  </w:abstractNum>
  <w:abstractNum w:abstractNumId="170">
    <w:nsid w:val="75509D76"/>
    <w:multiLevelType w:val="hybridMultilevel"/>
    <w:lvl w:ilvl="0">
      <w:lvlJc w:val="left"/>
      <w:lvlText w:val="%1."/>
      <w:numFmt w:val="decimal"/>
      <w:start w:val="2"/>
    </w:lvl>
  </w:abstractNum>
  <w:abstractNum w:abstractNumId="171">
    <w:nsid w:val="1AF7F0EA"/>
    <w:multiLevelType w:val="hybridMultilevel"/>
    <w:lvl w:ilvl="0">
      <w:lvlJc w:val="left"/>
      <w:lvlText w:val="%1."/>
      <w:numFmt w:val="decimal"/>
      <w:start w:val="3"/>
    </w:lvl>
  </w:abstractNum>
  <w:abstractNum w:abstractNumId="172">
    <w:nsid w:val="4DA32C7E"/>
    <w:multiLevelType w:val="hybridMultilevel"/>
    <w:lvl w:ilvl="0">
      <w:lvlJc w:val="left"/>
      <w:lvlText w:val="%1."/>
      <w:numFmt w:val="decimal"/>
      <w:start w:val="8"/>
    </w:lvl>
  </w:abstractNum>
  <w:abstractNum w:abstractNumId="173">
    <w:nsid w:val="6EC68664"/>
    <w:multiLevelType w:val="hybridMultilevel"/>
    <w:lvl w:ilvl="0">
      <w:lvlJc w:val="left"/>
      <w:lvlText w:val="%1."/>
      <w:numFmt w:val="decimal"/>
      <w:start w:val="1"/>
    </w:lvl>
  </w:abstractNum>
  <w:abstractNum w:abstractNumId="174">
    <w:nsid w:val="E0D31FF"/>
    <w:multiLevelType w:val="hybridMultilevel"/>
    <w:lvl w:ilvl="0">
      <w:lvlJc w:val="left"/>
      <w:lvlText w:val="%1."/>
      <w:numFmt w:val="decimal"/>
      <w:start w:val="3"/>
    </w:lvl>
  </w:abstractNum>
  <w:abstractNum w:abstractNumId="175">
    <w:nsid w:val="2FD0AD81"/>
    <w:multiLevelType w:val="hybridMultilevel"/>
    <w:lvl w:ilvl="0">
      <w:lvlJc w:val="left"/>
      <w:lvlText w:val="%1."/>
      <w:numFmt w:val="decimal"/>
      <w:start w:val="9"/>
    </w:lvl>
  </w:abstractNum>
  <w:abstractNum w:abstractNumId="176">
    <w:nsid w:val="1978EBEB"/>
    <w:multiLevelType w:val="hybridMultilevel"/>
    <w:lvl w:ilvl="0">
      <w:lvlJc w:val="left"/>
      <w:lvlText w:val="%1."/>
      <w:numFmt w:val="decimal"/>
      <w:start w:val="1"/>
    </w:lvl>
  </w:abstractNum>
  <w:abstractNum w:abstractNumId="177">
    <w:nsid w:val="52C12C61"/>
    <w:multiLevelType w:val="hybridMultilevel"/>
    <w:lvl w:ilvl="0">
      <w:lvlJc w:val="left"/>
      <w:lvlText w:val="%1."/>
      <w:numFmt w:val="decimal"/>
      <w:start w:val="2"/>
    </w:lvl>
  </w:abstractNum>
  <w:abstractNum w:abstractNumId="178">
    <w:nsid w:val="4BDD53FD"/>
    <w:multiLevelType w:val="hybridMultilevel"/>
    <w:lvl w:ilvl="0">
      <w:lvlJc w:val="left"/>
      <w:lvlText w:val="%1."/>
      <w:numFmt w:val="decimal"/>
      <w:start w:val="6"/>
    </w:lvl>
  </w:abstractNum>
  <w:abstractNum w:abstractNumId="179">
    <w:nsid w:val="569951FE"/>
    <w:multiLevelType w:val="hybridMultilevel"/>
    <w:lvl w:ilvl="0">
      <w:lvlJc w:val="left"/>
      <w:lvlText w:val="%1."/>
      <w:numFmt w:val="decimal"/>
      <w:start w:val="8"/>
    </w:lvl>
  </w:abstractNum>
  <w:abstractNum w:abstractNumId="180">
    <w:nsid w:val="4C54E2C3"/>
    <w:multiLevelType w:val="hybridMultilevel"/>
    <w:lvl w:ilvl="0">
      <w:lvlJc w:val="left"/>
      <w:lvlText w:val="%1."/>
      <w:numFmt w:val="decimal"/>
      <w:start w:val="16"/>
    </w:lvl>
  </w:abstractNum>
  <w:abstractNum w:abstractNumId="181">
    <w:nsid w:val="788BD9B"/>
    <w:multiLevelType w:val="hybridMultilevel"/>
    <w:lvl w:ilvl="0">
      <w:lvlJc w:val="left"/>
      <w:lvlText w:val="%1"/>
      <w:numFmt w:val="decimal"/>
      <w:start w:val="1"/>
    </w:lvl>
    <w:lvl w:ilvl="1">
      <w:lvlJc w:val="left"/>
      <w:lvlText w:val="%2."/>
      <w:numFmt w:val="decimal"/>
      <w:start w:val="22"/>
    </w:lvl>
  </w:abstractNum>
  <w:abstractNum w:abstractNumId="182">
    <w:nsid w:val="47CAA567"/>
    <w:multiLevelType w:val="hybridMultilevel"/>
    <w:lvl w:ilvl="0">
      <w:lvlJc w:val="left"/>
      <w:lvlText w:val="%1."/>
      <w:numFmt w:val="decimal"/>
      <w:start w:val="2"/>
    </w:lvl>
    <w:lvl w:ilvl="1">
      <w:lvlJc w:val="left"/>
      <w:lvlText w:val="%2"/>
      <w:numFmt w:val="decimal"/>
      <w:start w:val="1"/>
    </w:lvl>
  </w:abstractNum>
  <w:abstractNum w:abstractNumId="183">
    <w:nsid w:val="48249DBF"/>
    <w:multiLevelType w:val="hybridMultilevel"/>
    <w:lvl w:ilvl="0">
      <w:lvlJc w:val="left"/>
      <w:lvlText w:val="%1."/>
      <w:numFmt w:val="decimal"/>
      <w:start w:val="10"/>
    </w:lvl>
  </w:abstractNum>
  <w:abstractNum w:abstractNumId="184">
    <w:nsid w:val="1F0E5D0D"/>
    <w:multiLevelType w:val="hybridMultilevel"/>
    <w:lvl w:ilvl="0">
      <w:lvlJc w:val="left"/>
      <w:lvlText w:val="%1."/>
      <w:numFmt w:val="decimal"/>
      <w:start w:val="1"/>
    </w:lvl>
    <w:lvl w:ilvl="1">
      <w:lvlJc w:val="left"/>
      <w:lvlText w:val="%2."/>
      <w:numFmt w:val="decimal"/>
      <w:start w:val="1"/>
    </w:lvl>
  </w:abstractNum>
  <w:abstractNum w:abstractNumId="185">
    <w:nsid w:val="26BAAE9"/>
    <w:multiLevelType w:val="hybridMultilevel"/>
    <w:lvl w:ilvl="0">
      <w:lvlJc w:val="left"/>
      <w:lvlText w:val="%1."/>
      <w:numFmt w:val="decimal"/>
      <w:start w:val="1"/>
    </w:lvl>
  </w:abstractNum>
  <w:abstractNum w:abstractNumId="186">
    <w:nsid w:val="2C02FE8C"/>
    <w:multiLevelType w:val="hybridMultilevel"/>
    <w:lvl w:ilvl="0">
      <w:lvlJc w:val="left"/>
      <w:lvlText w:val="-"/>
      <w:numFmt w:val="bullet"/>
      <w:start w:val="1"/>
    </w:lvl>
    <w:lvl w:ilvl="1">
      <w:lvlJc w:val="left"/>
      <w:lvlText w:val="%2."/>
      <w:numFmt w:val="decimal"/>
      <w:start w:val="2"/>
    </w:lvl>
  </w:abstractNum>
  <w:abstractNum w:abstractNumId="187">
    <w:nsid w:val="129517E"/>
    <w:multiLevelType w:val="hybridMultilevel"/>
    <w:lvl w:ilvl="0">
      <w:lvlJc w:val="left"/>
      <w:lvlText w:val="-"/>
      <w:numFmt w:val="bullet"/>
      <w:start w:val="1"/>
    </w:lvl>
    <w:lvl w:ilvl="1">
      <w:lvlJc w:val="left"/>
      <w:lvlText w:val="%2."/>
      <w:numFmt w:val="decimal"/>
      <w:start w:val="6"/>
    </w:lvl>
  </w:abstractNum>
  <w:abstractNum w:abstractNumId="188">
    <w:nsid w:val="763B8C4E"/>
    <w:multiLevelType w:val="hybridMultilevel"/>
    <w:lvl w:ilvl="0">
      <w:lvlJc w:val="left"/>
      <w:lvlText w:val="%1."/>
      <w:numFmt w:val="decimal"/>
      <w:start w:val="12"/>
    </w:lvl>
  </w:abstractNum>
  <w:abstractNum w:abstractNumId="189">
    <w:nsid w:val="4CFB8D32"/>
    <w:multiLevelType w:val="hybridMultilevel"/>
    <w:lvl w:ilvl="0">
      <w:lvlJc w:val="left"/>
      <w:lvlText w:val="%1"/>
      <w:numFmt w:val="lowerLetter"/>
      <w:start w:val="1"/>
    </w:lvl>
    <w:lvl w:ilvl="1">
      <w:lvlJc w:val="left"/>
      <w:lvlText w:val="%2."/>
      <w:numFmt w:val="decimal"/>
      <w:start w:val="19"/>
    </w:lvl>
  </w:abstractNum>
  <w:abstractNum w:abstractNumId="190">
    <w:nsid w:val="62A5D5BD"/>
    <w:multiLevelType w:val="hybridMultilevel"/>
    <w:lvl w:ilvl="0">
      <w:lvlJc w:val="left"/>
      <w:lvlText w:val="(%1)"/>
      <w:numFmt w:val="lowerLetter"/>
      <w:start w:val="23"/>
    </w:lvl>
    <w:lvl w:ilvl="1">
      <w:lvlJc w:val="left"/>
      <w:lvlText w:val="%2"/>
      <w:numFmt w:val="decimal"/>
      <w:start w:val="1"/>
    </w:lvl>
  </w:abstractNum>
  <w:abstractNum w:abstractNumId="191">
    <w:nsid w:val="718FABF9"/>
    <w:multiLevelType w:val="hybridMultilevel"/>
    <w:lvl w:ilvl="0">
      <w:lvlJc w:val="left"/>
      <w:lvlText w:val="%1."/>
      <w:numFmt w:val="decimal"/>
      <w:start w:val="2"/>
    </w:lvl>
    <w:lvl w:ilvl="1">
      <w:lvlJc w:val="left"/>
      <w:lvlText w:val="%2."/>
      <w:numFmt w:val="decimal"/>
      <w:start w:val="1"/>
    </w:lvl>
  </w:abstractNum>
  <w:abstractNum w:abstractNumId="192">
    <w:nsid w:val="7775797C"/>
    <w:multiLevelType w:val="hybridMultilevel"/>
    <w:lvl w:ilvl="0">
      <w:lvlJc w:val="left"/>
      <w:lvlText w:val="%1."/>
      <w:numFmt w:val="decimal"/>
      <w:start w:val="1"/>
    </w:lvl>
  </w:abstractNum>
  <w:abstractNum w:abstractNumId="193">
    <w:nsid w:val="1626FB8C"/>
    <w:multiLevelType w:val="hybridMultilevel"/>
    <w:lvl w:ilvl="0">
      <w:lvlJc w:val="left"/>
      <w:lvlText w:val="%1."/>
      <w:numFmt w:val="decimal"/>
      <w:start w:val="1"/>
    </w:lvl>
  </w:abstractNum>
  <w:abstractNum w:abstractNumId="194">
    <w:nsid w:val="3957756A"/>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5">
    <w:nsid w:val="3E6DA1C7"/>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196">
    <w:nsid w:val="65CA235B"/>
    <w:multiLevelType w:val="hybridMultilevel"/>
    <w:lvl w:ilvl="0">
      <w:lvlJc w:val="left"/>
      <w:lvlText w:val="%1."/>
      <w:numFmt w:val="decimal"/>
      <w:start w:val="2"/>
    </w:lvl>
  </w:abstractNum>
  <w:abstractNum w:abstractNumId="197">
    <w:nsid w:val="51CB0DA4"/>
    <w:multiLevelType w:val="hybridMultilevel"/>
    <w:lvl w:ilvl="0">
      <w:lvlJc w:val="left"/>
      <w:lvlText w:val="%1."/>
      <w:numFmt w:val="decimal"/>
      <w:start w:val="1"/>
    </w:lvl>
  </w:abstractNum>
  <w:abstractNum w:abstractNumId="198">
    <w:nsid w:val="7B9B743C"/>
    <w:multiLevelType w:val="hybridMultilevel"/>
    <w:lvl w:ilvl="0">
      <w:lvlJc w:val="left"/>
      <w:lvlText w:val="%1."/>
      <w:numFmt w:val="decimal"/>
      <w:start w:val="3"/>
    </w:lvl>
  </w:abstractNum>
  <w:abstractNum w:abstractNumId="199">
    <w:nsid w:val="13E2100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200">
    <w:nsid w:val="257D63F4"/>
    <w:multiLevelType w:val="hybridMultilevel"/>
    <w:lvl w:ilvl="0">
      <w:lvlJc w:val="left"/>
      <w:lvlText w:val="%1."/>
      <w:numFmt w:val="decimal"/>
      <w:start w:val="3"/>
    </w:lvl>
    <w:lvl w:ilvl="1">
      <w:lvlJc w:val="left"/>
      <w:lvlText w:val="%2."/>
      <w:numFmt w:val="decimal"/>
      <w:start w:val="1"/>
    </w:lvl>
    <w:lvl w:ilvl="2">
      <w:lvlJc w:val="left"/>
      <w:lvlText w:val="(%3)"/>
      <w:numFmt w:val="lowerLetter"/>
    </w:lvl>
    <w:lvl w:ilvl="3">
      <w:lvlJc w:val="left"/>
      <w:lvlText w:val="%4."/>
      <w:numFmt w:val="decimal"/>
      <w:start w:val="2"/>
    </w:lvl>
    <w:lvl w:ilvl="4">
      <w:lvlJc w:val="left"/>
      <w:lvlText w:val="%5."/>
      <w:numFmt w:val="decimal"/>
      <w:start w:val="1"/>
    </w:lvl>
  </w:abstractNum>
  <w:abstractNum w:abstractNumId="201">
    <w:nsid w:val="70EC11B2"/>
    <w:multiLevelType w:val="hybridMultilevel"/>
    <w:lvl w:ilvl="0">
      <w:lvlJc w:val="left"/>
      <w:lvlText w:val="(%1)"/>
      <w:numFmt w:val="lowerRoman"/>
      <w:start w:val="1"/>
    </w:lvl>
    <w:lvl w:ilvl="1">
      <w:lvlJc w:val="left"/>
      <w:lvlText w:val="%2."/>
      <w:numFmt w:val="decimal"/>
      <w:start w:val="1"/>
    </w:lvl>
  </w:abstractNum>
  <w:abstractNum w:abstractNumId="202">
    <w:nsid w:val="2EDA00ED"/>
    <w:multiLevelType w:val="hybridMultilevel"/>
    <w:lvl w:ilvl="0">
      <w:lvlJc w:val="left"/>
      <w:lvlText w:val="%1"/>
      <w:numFmt w:val="lowerLetter"/>
      <w:start w:val="1"/>
    </w:lvl>
    <w:lvl w:ilvl="1">
      <w:lvlJc w:val="left"/>
      <w:lvlText w:val="%2."/>
      <w:numFmt w:val="decimal"/>
      <w:start w:val="2"/>
    </w:lvl>
  </w:abstractNum>
  <w:abstractNum w:abstractNumId="203">
    <w:nsid w:val="73209072"/>
    <w:multiLevelType w:val="hybridMultilevel"/>
    <w:lvl w:ilvl="0">
      <w:lvlJc w:val="left"/>
      <w:lvlText w:val="(%1)"/>
      <w:numFmt w:val="lowerLetter"/>
      <w:start w:val="1"/>
    </w:lvl>
    <w:lvl w:ilvl="1">
      <w:lvlJc w:val="left"/>
      <w:lvlText w:val="%2."/>
      <w:numFmt w:val="decimal"/>
      <w:start w:val="3"/>
    </w:lvl>
  </w:abstractNum>
  <w:abstractNum w:abstractNumId="204">
    <w:nsid w:val="5FB29816"/>
    <w:multiLevelType w:val="hybridMultilevel"/>
    <w:lvl w:ilvl="0">
      <w:lvlJc w:val="left"/>
      <w:lvlText w:val="%1."/>
      <w:numFmt w:val="decimal"/>
      <w:start w:val="2"/>
    </w:lvl>
  </w:abstractNum>
  <w:abstractNum w:abstractNumId="205">
    <w:nsid w:val="3CE732EC"/>
    <w:multiLevelType w:val="hybridMultilevel"/>
    <w:lvl w:ilvl="0">
      <w:lvlJc w:val="left"/>
      <w:lvlText w:val="%1"/>
      <w:numFmt w:val="decimal"/>
      <w:start w:val="1"/>
    </w:lvl>
    <w:lvl w:ilvl="1">
      <w:lvlJc w:val="left"/>
      <w:lvlText w:val="-"/>
      <w:numFmt w:val="bullet"/>
      <w:start w:val="1"/>
    </w:lvl>
    <w:lvl w:ilvl="2">
      <w:lvlJc w:val="left"/>
      <w:lvlText w:val="%3."/>
      <w:numFmt w:val="decimal"/>
      <w:start w:val="3"/>
    </w:lvl>
  </w:abstractNum>
  <w:abstractNum w:abstractNumId="206">
    <w:nsid w:val="22F13DF3"/>
    <w:multiLevelType w:val="hybridMultilevel"/>
    <w:lvl w:ilvl="0">
      <w:lvlJc w:val="left"/>
      <w:lvlText w:val="%1."/>
      <w:numFmt w:val="decimal"/>
      <w:start w:val="4"/>
    </w:lvl>
    <w:lvl w:ilvl="1">
      <w:lvlJc w:val="left"/>
      <w:lvlText w:val="-"/>
      <w:numFmt w:val="bullet"/>
      <w:start w:val="1"/>
    </w:lvl>
    <w:lvl w:ilvl="2">
      <w:lvlJc w:val="left"/>
      <w:lvlText w:val="%3."/>
      <w:numFmt w:val="decimal"/>
      <w:start w:val="1"/>
    </w:lvl>
  </w:abstractNum>
  <w:abstractNum w:abstractNumId="207">
    <w:nsid w:val="792B8401"/>
    <w:multiLevelType w:val="hybridMultilevel"/>
    <w:lvl w:ilvl="0">
      <w:lvlJc w:val="left"/>
      <w:lvlText w:val="%1"/>
      <w:numFmt w:val="decimal"/>
      <w:start w:val="1"/>
    </w:lvl>
    <w:lvl w:ilvl="1">
      <w:lvlJc w:val="left"/>
      <w:lvlText w:val="%2."/>
      <w:numFmt w:val="decimal"/>
      <w:start w:val="2"/>
    </w:lvl>
  </w:abstractNum>
  <w:abstractNum w:abstractNumId="208">
    <w:nsid w:val="FA85F4D"/>
    <w:multiLevelType w:val="hybridMultilevel"/>
    <w:lvl w:ilvl="0">
      <w:lvlJc w:val="left"/>
      <w:lvlText w:val="%1."/>
      <w:numFmt w:val="decimal"/>
      <w:start w:val="5"/>
    </w:lvl>
    <w:lvl w:ilvl="1">
      <w:lvlJc w:val="left"/>
      <w:lvlText w:val="%2"/>
      <w:numFmt w:val="decimal"/>
      <w:start w:val="1"/>
    </w:lvl>
  </w:abstractNum>
  <w:abstractNum w:abstractNumId="209">
    <w:nsid w:val="6ECE91F0"/>
    <w:multiLevelType w:val="hybridMultilevel"/>
    <w:lvl w:ilvl="0">
      <w:lvlJc w:val="left"/>
      <w:lvlText w:val="%1."/>
      <w:numFmt w:val="decimal"/>
      <w:start w:val="1"/>
    </w:lvl>
    <w:lvl w:ilvl="1">
      <w:lvlJc w:val="left"/>
      <w:lvlText w:val="%2."/>
      <w:numFmt w:val="decimal"/>
      <w:start w:val="1"/>
    </w:lvl>
  </w:abstractNum>
  <w:abstractNum w:abstractNumId="210">
    <w:nsid w:val="4FC4D600"/>
    <w:multiLevelType w:val="hybridMultilevel"/>
    <w:lvl w:ilvl="0">
      <w:lvlJc w:val="left"/>
      <w:lvlText w:val="%1."/>
      <w:numFmt w:val="decimal"/>
      <w:start w:val="11"/>
    </w:lvl>
  </w:abstractNum>
  <w:abstractNum w:abstractNumId="211">
    <w:nsid w:val="5BFD4210"/>
    <w:multiLevelType w:val="hybridMultilevel"/>
    <w:lvl w:ilvl="0">
      <w:lvlJc w:val="left"/>
      <w:lvlText w:val="%1."/>
      <w:numFmt w:val="decimal"/>
      <w:start w:val="1"/>
    </w:lvl>
  </w:abstractNum>
  <w:abstractNum w:abstractNumId="212">
    <w:nsid w:val="76574F8B"/>
    <w:multiLevelType w:val="hybridMultilevel"/>
    <w:lvl w:ilvl="0">
      <w:lvlJc w:val="left"/>
      <w:lvlText w:val="%1."/>
      <w:numFmt w:val="decimal"/>
      <w:start w:val="2"/>
    </w:lvl>
    <w:lvl w:ilvl="1">
      <w:lvlJc w:val="left"/>
      <w:lvlText w:val="%2."/>
      <w:numFmt w:val="decimal"/>
      <w:start w:val="1"/>
    </w:lvl>
  </w:abstractNum>
  <w:abstractNum w:abstractNumId="213">
    <w:nsid w:val="178F7B67"/>
    <w:multiLevelType w:val="hybridMultilevel"/>
    <w:lvl w:ilvl="0">
      <w:lvlJc w:val="left"/>
      <w:lvlText w:val="%1"/>
      <w:numFmt w:val="decimal"/>
      <w:start w:val="1"/>
    </w:lvl>
    <w:lvl w:ilvl="1">
      <w:lvlJc w:val="left"/>
      <w:lvlText w:val="%2."/>
      <w:numFmt w:val="decimal"/>
      <w:start w:val="2"/>
    </w:lvl>
  </w:abstractNum>
  <w:abstractNum w:abstractNumId="214">
    <w:nsid w:val="2421DFCF"/>
    <w:multiLevelType w:val="hybridMultilevel"/>
    <w:lvl w:ilvl="0">
      <w:lvlJc w:val="left"/>
      <w:lvlText w:val="%1."/>
      <w:numFmt w:val="decimal"/>
      <w:start w:val="3"/>
    </w:lvl>
    <w:lvl w:ilvl="1">
      <w:lvlJc w:val="left"/>
      <w:lvlText w:val="%2"/>
      <w:numFmt w:val="decimal"/>
      <w:start w:val="1"/>
    </w:lvl>
  </w:abstractNum>
  <w:abstractNum w:abstractNumId="215">
    <w:nsid w:val="1565AC99"/>
    <w:multiLevelType w:val="hybridMultilevel"/>
    <w:lvl w:ilvl="0">
      <w:lvlJc w:val="left"/>
      <w:lvlText w:val="%1"/>
      <w:numFmt w:val="lowerLetter"/>
      <w:start w:val="1"/>
    </w:lvl>
    <w:lvl w:ilvl="1">
      <w:lvlJc w:val="left"/>
      <w:lvlText w:val="%2."/>
      <w:numFmt w:val="decimal"/>
      <w:start w:val="1"/>
    </w:lvl>
  </w:abstractNum>
  <w:abstractNum w:abstractNumId="216">
    <w:nsid w:val="19FB2650"/>
    <w:multiLevelType w:val="hybridMultilevel"/>
    <w:lvl w:ilvl="0">
      <w:lvlJc w:val="left"/>
      <w:lvlText w:val="(%1)"/>
      <w:numFmt w:val="lowerLetter"/>
      <w:start w:val="23"/>
    </w:lvl>
    <w:lvl w:ilvl="1">
      <w:lvlJc w:val="left"/>
      <w:lvlText w:val="%2"/>
      <w:numFmt w:val="decimal"/>
      <w:start w:val="1"/>
    </w:lvl>
  </w:abstractNum>
  <w:abstractNum w:abstractNumId="217">
    <w:nsid w:val="5024DE5B"/>
    <w:multiLevelType w:val="hybridMultilevel"/>
    <w:lvl w:ilvl="0">
      <w:lvlJc w:val="left"/>
      <w:lvlText w:val="-"/>
      <w:numFmt w:val="bullet"/>
      <w:start w:val="1"/>
    </w:lvl>
    <w:lvl w:ilvl="1">
      <w:lvlJc w:val="left"/>
      <w:lvlText w:val="%2."/>
      <w:numFmt w:val="decimal"/>
      <w:start w:val="3"/>
    </w:lvl>
    <w:lvl w:ilvl="2">
      <w:lvlJc w:val="left"/>
      <w:lvlText w:val="(%3)"/>
      <w:numFmt w:val="lowerRoman"/>
      <w:start w:val="3"/>
    </w:lvl>
  </w:abstractNum>
  <w:abstractNum w:abstractNumId="218">
    <w:nsid w:val="168EFE17"/>
    <w:multiLevelType w:val="hybridMultilevel"/>
    <w:lvl w:ilvl="0">
      <w:lvlJc w:val="left"/>
      <w:lvlText w:val="-"/>
      <w:numFmt w:val="bullet"/>
      <w:start w:val="1"/>
    </w:lvl>
    <w:lvl w:ilvl="1">
      <w:lvlJc w:val="left"/>
      <w:lvlText w:val="%2."/>
      <w:numFmt w:val="decimal"/>
      <w:start w:val="5"/>
    </w:lvl>
    <w:lvl w:ilvl="2">
      <w:lvlJc w:val="left"/>
      <w:lvlText w:val="%3"/>
      <w:numFmt w:val="lowerRoman"/>
      <w:start w:val="1"/>
    </w:lvl>
  </w:abstractNum>
  <w:abstractNum w:abstractNumId="219">
    <w:nsid w:val="1036B29F"/>
    <w:multiLevelType w:val="hybridMultilevel"/>
    <w:lvl w:ilvl="0">
      <w:lvlJc w:val="left"/>
      <w:lvlText w:val="%1."/>
      <w:numFmt w:val="decimal"/>
      <w:start w:val="7"/>
    </w:lvl>
  </w:abstractNum>
  <w:abstractNum w:abstractNumId="220">
    <w:nsid w:val="1D206B8E"/>
    <w:multiLevelType w:val="hybridMultilevel"/>
    <w:lvl w:ilvl="0">
      <w:lvlJc w:val="left"/>
      <w:lvlText w:val="%1"/>
      <w:numFmt w:val="lowerLetter"/>
      <w:start w:val="1"/>
    </w:lvl>
    <w:lvl w:ilvl="1">
      <w:lvlJc w:val="left"/>
      <w:lvlText w:val="%2."/>
      <w:numFmt w:val="decimal"/>
      <w:start w:val="13"/>
    </w:lvl>
  </w:abstractNum>
  <w:abstractNum w:abstractNumId="221">
    <w:nsid w:val="7934D3D4"/>
    <w:multiLevelType w:val="hybridMultilevel"/>
    <w:lvl w:ilvl="0">
      <w:lvlJc w:val="left"/>
      <w:lvlText w:val="(%1)"/>
      <w:numFmt w:val="lowerLetter"/>
      <w:start w:val="2"/>
    </w:lvl>
    <w:lvl w:ilvl="1">
      <w:lvlJc w:val="left"/>
      <w:lvlText w:val="%2."/>
      <w:numFmt w:val="decimal"/>
      <w:start w:val="14"/>
    </w:lvl>
  </w:abstractNum>
  <w:abstractNum w:abstractNumId="222">
    <w:nsid w:val="1C65E98"/>
    <w:multiLevelType w:val="hybridMultilevel"/>
    <w:lvl w:ilvl="0">
      <w:lvlJc w:val="left"/>
      <w:lvlText w:val="%1."/>
      <w:numFmt w:val="decimal"/>
      <w:start w:val="15"/>
    </w:lvl>
    <w:lvl w:ilvl="1">
      <w:lvlJc w:val="left"/>
      <w:lvlText w:val="(%2)"/>
      <w:numFmt w:val="decimal"/>
      <w:start w:val="30"/>
    </w:lvl>
  </w:abstractNum>
  <w:abstractNum w:abstractNumId="223">
    <w:nsid w:val="1495E50A"/>
    <w:multiLevelType w:val="hybridMultilevel"/>
    <w:lvl w:ilvl="0">
      <w:lvlJc w:val="left"/>
      <w:lvlText w:val="%1"/>
      <w:numFmt w:val="decimal"/>
      <w:start w:val="1"/>
    </w:lvl>
    <w:lvl w:ilvl="1">
      <w:lvlJc w:val="left"/>
      <w:lvlText w:val="%2."/>
      <w:numFmt w:val="decimal"/>
      <w:start w:val="19"/>
    </w:lvl>
  </w:abstractNum>
  <w:abstractNum w:abstractNumId="224">
    <w:nsid w:val="F5BCF61"/>
    <w:multiLevelType w:val="hybridMultilevel"/>
    <w:lvl w:ilvl="0">
      <w:lvlJc w:val="left"/>
      <w:lvlText w:val="%1."/>
      <w:numFmt w:val="decimal"/>
      <w:start w:val="4"/>
    </w:lvl>
    <w:lvl w:ilvl="1">
      <w:lvlJc w:val="left"/>
      <w:lvlText w:val="%2"/>
      <w:numFmt w:val="decimal"/>
      <w:start w:val="1"/>
    </w:lvl>
  </w:abstractNum>
  <w:abstractNum w:abstractNumId="225">
    <w:nsid w:val="3B1DD403"/>
    <w:multiLevelType w:val="hybridMultilevel"/>
    <w:lvl w:ilvl="0">
      <w:lvlJc w:val="left"/>
      <w:lvlText w:val="%1."/>
      <w:numFmt w:val="decimal"/>
      <w:start w:val="1"/>
    </w:lvl>
  </w:abstractNum>
  <w:abstractNum w:abstractNumId="226">
    <w:nsid w:val="530386D1"/>
    <w:multiLevelType w:val="hybridMultilevel"/>
    <w:lvl w:ilvl="0">
      <w:lvlJc w:val="left"/>
      <w:lvlText w:val="%1."/>
      <w:numFmt w:val="decimal"/>
      <w:start w:val="2"/>
    </w:lvl>
  </w:abstractNum>
  <w:abstractNum w:abstractNumId="227">
    <w:nsid w:val="7525F2BC"/>
    <w:multiLevelType w:val="hybridMultilevel"/>
    <w:lvl w:ilvl="0">
      <w:lvlJc w:val="left"/>
      <w:lvlText w:val="%1."/>
      <w:numFmt w:val="decimal"/>
      <w:start w:val="12"/>
    </w:lvl>
  </w:abstractNum>
  <w:abstractNum w:abstractNumId="228">
    <w:nsid w:val="CE8E1A7"/>
    <w:multiLevelType w:val="hybridMultilevel"/>
    <w:lvl w:ilvl="0">
      <w:lvlJc w:val="left"/>
      <w:lvlText w:val="%1."/>
      <w:numFmt w:val="decimal"/>
      <w:start w:val="1"/>
    </w:lvl>
  </w:abstractNum>
  <w:abstractNum w:abstractNumId="229">
    <w:nsid w:val="4E9EFB0D"/>
    <w:multiLevelType w:val="hybridMultilevel"/>
    <w:lvl w:ilvl="0">
      <w:lvlJc w:val="left"/>
      <w:lvlText w:val="%1."/>
      <w:numFmt w:val="decimal"/>
      <w:start w:val="2"/>
    </w:lvl>
  </w:abstractNum>
  <w:abstractNum w:abstractNumId="230">
    <w:nsid w:val="90802BE"/>
    <w:multiLevelType w:val="hybridMultilevel"/>
    <w:lvl w:ilvl="0">
      <w:lvlJc w:val="left"/>
      <w:lvlText w:val="%1."/>
      <w:numFmt w:val="decimal"/>
      <w:start w:val="3"/>
    </w:lvl>
  </w:abstractNum>
  <w:abstractNum w:abstractNumId="231">
    <w:nsid w:val="3266459B"/>
    <w:multiLevelType w:val="hybridMultilevel"/>
    <w:lvl w:ilvl="0">
      <w:lvlJc w:val="left"/>
      <w:lvlText w:val="%1."/>
      <w:numFmt w:val="decimal"/>
      <w:start w:val="5"/>
    </w:lvl>
  </w:abstractNum>
  <w:abstractNum w:abstractNumId="232">
    <w:nsid w:val="3F8B0CBF"/>
    <w:multiLevelType w:val="hybridMultilevel"/>
    <w:lvl w:ilvl="0">
      <w:lvlJc w:val="left"/>
      <w:lvlText w:val="%1."/>
      <w:numFmt w:val="decimal"/>
      <w:start w:val="13"/>
    </w:lvl>
  </w:abstractNum>
  <w:abstractNum w:abstractNumId="233">
    <w:nsid w:val="37E203AB"/>
    <w:multiLevelType w:val="hybridMultilevel"/>
    <w:lvl w:ilvl="0">
      <w:lvlJc w:val="left"/>
      <w:lvlText w:val="%1."/>
      <w:numFmt w:val="decimal"/>
      <w:start w:val="1"/>
    </w:lvl>
    <w:lvl w:ilvl="1">
      <w:lvlJc w:val="left"/>
      <w:lvlText w:val="%2."/>
      <w:numFmt w:val="decimal"/>
      <w:start w:val="1"/>
    </w:lvl>
  </w:abstractNum>
  <w:abstractNum w:abstractNumId="234">
    <w:nsid w:val="2586D60E"/>
    <w:multiLevelType w:val="hybridMultilevel"/>
    <w:lvl w:ilvl="0">
      <w:lvlJc w:val="left"/>
      <w:lvlText w:val="%1."/>
      <w:numFmt w:val="decimal"/>
      <w:start w:val="3"/>
    </w:lvl>
  </w:abstractNum>
  <w:abstractNum w:abstractNumId="235">
    <w:nsid w:val="1F3DA4D5"/>
    <w:multiLevelType w:val="hybridMultilevel"/>
    <w:lvl w:ilvl="0">
      <w:lvlJc w:val="left"/>
      <w:lvlText w:val="%1."/>
      <w:numFmt w:val="decimal"/>
      <w:start w:val="2"/>
    </w:lvl>
  </w:abstractNum>
  <w:abstractNum w:abstractNumId="236">
    <w:nsid w:val="74C93698"/>
    <w:multiLevelType w:val="hybridMultilevel"/>
    <w:lvl w:ilvl="0">
      <w:lvlJc w:val="left"/>
      <w:lvlText w:val="%1."/>
      <w:numFmt w:val="decimal"/>
      <w:start w:val="14"/>
    </w:lvl>
  </w:abstractNum>
  <w:abstractNum w:abstractNumId="237">
    <w:nsid w:val="48781401"/>
    <w:multiLevelType w:val="hybridMultilevel"/>
    <w:lvl w:ilvl="0">
      <w:lvlJc w:val="left"/>
      <w:lvlText w:val="%1."/>
      <w:numFmt w:val="decimal"/>
      <w:start w:val="1"/>
    </w:lvl>
    <w:lvl w:ilvl="1">
      <w:lvlJc w:val="left"/>
      <w:lvlText w:val="%2."/>
      <w:numFmt w:val="decimal"/>
      <w:start w:val="1"/>
    </w:lvl>
  </w:abstractNum>
  <w:abstractNum w:abstractNumId="238">
    <w:nsid w:val="186928D6"/>
    <w:multiLevelType w:val="hybridMultilevel"/>
    <w:lvl w:ilvl="0">
      <w:lvlJc w:val="left"/>
      <w:lvlText w:val="%1"/>
      <w:numFmt w:val="decimal"/>
      <w:start w:val="1"/>
    </w:lvl>
    <w:lvl w:ilvl="1">
      <w:lvlJc w:val="left"/>
      <w:lvlText w:val="%2."/>
      <w:numFmt w:val="decimal"/>
      <w:start w:val="2"/>
    </w:lvl>
  </w:abstractNum>
  <w:abstractNum w:abstractNumId="239">
    <w:nsid w:val="47195E5"/>
    <w:multiLevelType w:val="hybridMultilevel"/>
    <w:lvl w:ilvl="0">
      <w:lvlJc w:val="left"/>
      <w:lvlText w:val="%1."/>
      <w:numFmt w:val="decimal"/>
      <w:start w:val="2"/>
    </w:lvl>
    <w:lvl w:ilvl="1">
      <w:lvlJc w:val="left"/>
      <w:lvlText w:val="%2"/>
      <w:numFmt w:val="decimal"/>
      <w:start w:val="1"/>
    </w:lvl>
  </w:abstractNum>
  <w:abstractNum w:abstractNumId="240">
    <w:nsid w:val="3746A5F2"/>
    <w:multiLevelType w:val="hybridMultilevel"/>
    <w:lvl w:ilvl="0">
      <w:lvlJc w:val="left"/>
      <w:lvlText w:val="%1."/>
      <w:numFmt w:val="decimal"/>
      <w:start w:val="1"/>
    </w:lvl>
  </w:abstractNum>
  <w:abstractNum w:abstractNumId="241">
    <w:nsid w:val="682DFED6"/>
    <w:multiLevelType w:val="hybridMultilevel"/>
    <w:lvl w:ilvl="0">
      <w:lvlJc w:val="left"/>
      <w:lvlText w:val="%1"/>
      <w:numFmt w:val="decimal"/>
      <w:start w:val="1"/>
    </w:lvl>
    <w:lvl w:ilvl="1">
      <w:lvlJc w:val="left"/>
      <w:lvlText w:val="%2."/>
      <w:numFmt w:val="decimal"/>
      <w:start w:val="2"/>
    </w:lvl>
  </w:abstractNum>
  <w:abstractNum w:abstractNumId="242">
    <w:nsid w:val="606ED7F6"/>
    <w:multiLevelType w:val="hybridMultilevel"/>
    <w:lvl w:ilvl="0">
      <w:lvlJc w:val="left"/>
      <w:lvlText w:val="%1."/>
      <w:numFmt w:val="decimal"/>
      <w:start w:val="15"/>
    </w:lvl>
    <w:lvl w:ilvl="1">
      <w:lvlJc w:val="left"/>
      <w:lvlText w:val="%2"/>
      <w:numFmt w:val="decimal"/>
      <w:start w:val="1"/>
    </w:lvl>
  </w:abstractNum>
  <w:abstractNum w:abstractNumId="243">
    <w:nsid w:val="2D9DF57D"/>
    <w:multiLevelType w:val="hybridMultilevel"/>
    <w:lvl w:ilvl="0">
      <w:lvlJc w:val="left"/>
      <w:lvlText w:val="%1."/>
      <w:numFmt w:val="decimal"/>
      <w:start w:val="1"/>
    </w:lvl>
    <w:lvl w:ilvl="1">
      <w:lvlJc w:val="left"/>
      <w:lvlText w:val="%2."/>
      <w:numFmt w:val="decimal"/>
      <w:start w:val="1"/>
    </w:lvl>
  </w:abstractNum>
  <w:abstractNum w:abstractNumId="244">
    <w:nsid w:val="7FBD7A3E"/>
    <w:multiLevelType w:val="hybridMultilevel"/>
    <w:lvl w:ilvl="0">
      <w:lvlJc w:val="left"/>
      <w:lvlText w:val="%1."/>
      <w:numFmt w:val="decimal"/>
      <w:start w:val="3"/>
    </w:lvl>
  </w:abstractNum>
  <w:abstractNum w:abstractNumId="245">
    <w:nsid w:val="490B7C5"/>
    <w:multiLevelType w:val="hybridMultilevel"/>
    <w:lvl w:ilvl="0">
      <w:lvlJc w:val="left"/>
      <w:lvlText w:val="%1."/>
      <w:numFmt w:val="decimal"/>
      <w:start w:val="2"/>
    </w:lvl>
    <w:lvl w:ilvl="1">
      <w:lvlJc w:val="left"/>
      <w:lvlText w:val="(%2)"/>
      <w:numFmt w:val="lowerRoman"/>
      <w:start w:val="1"/>
    </w:lvl>
  </w:abstractNum>
  <w:abstractNum w:abstractNumId="246">
    <w:nsid w:val="4303A216"/>
    <w:multiLevelType w:val="hybridMultilevel"/>
    <w:lvl w:ilvl="0">
      <w:lvlJc w:val="left"/>
      <w:lvlText w:val="%1."/>
      <w:numFmt w:val="decimal"/>
      <w:start w:val="4"/>
    </w:lvl>
  </w:abstractNum>
  <w:abstractNum w:abstractNumId="247">
    <w:nsid w:val="19B8A08E"/>
    <w:multiLevelType w:val="hybridMultilevel"/>
    <w:lvl w:ilvl="0">
      <w:lvlJc w:val="left"/>
      <w:lvlText w:val="%1."/>
      <w:numFmt w:val="decimal"/>
      <w:start w:val="6"/>
    </w:lvl>
  </w:abstractNum>
  <w:abstractNum w:abstractNumId="248">
    <w:nsid w:val="54B59621"/>
    <w:multiLevelType w:val="hybridMultilevel"/>
    <w:lvl w:ilvl="0">
      <w:lvlJc w:val="left"/>
      <w:lvlText w:val="%1."/>
      <w:numFmt w:val="decimal"/>
      <w:start w:val="16"/>
    </w:lvl>
  </w:abstractNum>
  <w:abstractNum w:abstractNumId="249">
    <w:nsid w:val="5992A02E"/>
    <w:multiLevelType w:val="hybridMultilevel"/>
    <w:lvl w:ilvl="0">
      <w:lvlJc w:val="left"/>
      <w:lvlText w:val="%1."/>
      <w:numFmt w:val="decimal"/>
      <w:start w:val="1"/>
    </w:lvl>
  </w:abstractNum>
  <w:abstractNum w:abstractNumId="250">
    <w:nsid w:val="29EF532D"/>
    <w:multiLevelType w:val="hybridMultilevel"/>
    <w:lvl w:ilvl="0">
      <w:lvlJc w:val="left"/>
      <w:lvlText w:val="%1."/>
      <w:numFmt w:val="decimal"/>
      <w:start w:val="1"/>
    </w:lvl>
  </w:abstractNum>
  <w:abstractNum w:abstractNumId="251">
    <w:nsid w:val="71D601AF"/>
    <w:multiLevelType w:val="hybridMultilevel"/>
    <w:lvl w:ilvl="0">
      <w:lvlJc w:val="left"/>
      <w:lvlText w:val="%1"/>
      <w:numFmt w:val="decimal"/>
      <w:start w:val="1"/>
    </w:lvl>
    <w:lvl w:ilvl="1">
      <w:lvlJc w:val="left"/>
      <w:lvlText w:val="%2."/>
      <w:numFmt w:val="decimal"/>
      <w:start w:val="5"/>
    </w:lvl>
  </w:abstractNum>
  <w:abstractNum w:abstractNumId="252">
    <w:nsid w:val="52C77402"/>
    <w:multiLevelType w:val="hybridMultilevel"/>
    <w:lvl w:ilvl="0">
      <w:lvlJc w:val="left"/>
      <w:lvlText w:val="%1."/>
      <w:numFmt w:val="decimal"/>
      <w:start w:val="2"/>
    </w:lvl>
    <w:lvl w:ilvl="1">
      <w:lvlJc w:val="left"/>
      <w:lvlText w:val="%2"/>
      <w:numFmt w:val="decimal"/>
      <w:start w:val="1"/>
    </w:lvl>
  </w:abstractNum>
  <w:abstractNum w:abstractNumId="253">
    <w:nsid w:val="2BB5B1C6"/>
    <w:multiLevelType w:val="hybridMultilevel"/>
    <w:lvl w:ilvl="0">
      <w:lvlJc w:val="left"/>
      <w:lvlText w:val="%1"/>
      <w:numFmt w:val="decimal"/>
      <w:start w:val="1"/>
    </w:lvl>
    <w:lvl w:ilvl="1">
      <w:lvlJc w:val="left"/>
      <w:lvlText w:val="%2."/>
      <w:numFmt w:val="decimal"/>
      <w:start w:val="1"/>
    </w:lvl>
  </w:abstractNum>
  <w:abstractNum w:abstractNumId="254">
    <w:nsid w:val="66BE6B9"/>
    <w:multiLevelType w:val="hybridMultilevel"/>
    <w:lvl w:ilvl="0">
      <w:lvlJc w:val="left"/>
      <w:lvlText w:val="%1."/>
      <w:numFmt w:val="decimal"/>
      <w:start w:val="17"/>
    </w:lvl>
    <w:lvl w:ilvl="1">
      <w:lvlJc w:val="left"/>
      <w:lvlText w:val="%2"/>
      <w:numFmt w:val="decimal"/>
      <w:start w:val="1"/>
    </w:lvl>
  </w:abstractNum>
  <w:abstractNum w:abstractNumId="255">
    <w:nsid w:val="62234363"/>
    <w:multiLevelType w:val="hybridMultilevel"/>
    <w:lvl w:ilvl="0">
      <w:lvlJc w:val="left"/>
      <w:lvlText w:val="%1."/>
      <w:numFmt w:val="decimal"/>
      <w:start w:val="1"/>
    </w:lvl>
  </w:abstractNum>
  <w:abstractNum w:abstractNumId="256">
    <w:nsid w:val="66D385C9"/>
    <w:multiLevelType w:val="hybridMultilevel"/>
    <w:lvl w:ilvl="0">
      <w:lvlJc w:val="left"/>
      <w:lvlText w:val="%1."/>
      <w:numFmt w:val="decimal"/>
      <w:start w:val="1"/>
    </w:lvl>
  </w:abstractNum>
  <w:abstractNum w:abstractNumId="257">
    <w:nsid w:val="596F6D8A"/>
    <w:multiLevelType w:val="hybridMultilevel"/>
    <w:lvl w:ilvl="0">
      <w:lvlJc w:val="left"/>
      <w:lvlText w:val="%1."/>
      <w:numFmt w:val="decimal"/>
      <w:start w:val="2"/>
    </w:lvl>
  </w:abstractNum>
  <w:abstractNum w:abstractNumId="258">
    <w:nsid w:val="5749361F"/>
    <w:multiLevelType w:val="hybridMultilevel"/>
    <w:lvl w:ilvl="0">
      <w:lvlJc w:val="left"/>
      <w:lvlText w:val="%1."/>
      <w:numFmt w:val="decimal"/>
      <w:start w:val="18"/>
    </w:lvl>
  </w:abstractNum>
  <w:abstractNum w:abstractNumId="259">
    <w:nsid w:val="73BC6770"/>
    <w:multiLevelType w:val="hybridMultilevel"/>
    <w:lvl w:ilvl="0">
      <w:lvlJc w:val="left"/>
      <w:lvlText w:val="%1."/>
      <w:numFmt w:val="decimal"/>
      <w:start w:val="19"/>
    </w:lvl>
  </w:abstractNum>
  <w:abstractNum w:abstractNumId="260">
    <w:nsid w:val="280E6897"/>
    <w:multiLevelType w:val="hybridMultilevel"/>
    <w:lvl w:ilvl="0">
      <w:lvlJc w:val="left"/>
      <w:lvlText w:val="%1."/>
      <w:numFmt w:val="decimal"/>
      <w:start w:val="1"/>
    </w:lvl>
  </w:abstractNum>
  <w:abstractNum w:abstractNumId="261">
    <w:nsid w:val="605138DE"/>
    <w:multiLevelType w:val="hybridMultilevel"/>
    <w:lvl w:ilvl="0">
      <w:lvlJc w:val="left"/>
      <w:lvlText w:val="%1."/>
      <w:numFmt w:val="decimal"/>
      <w:start w:val="2"/>
    </w:lvl>
  </w:abstractNum>
  <w:abstractNum w:abstractNumId="262">
    <w:nsid w:val="2622AD0C"/>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63">
    <w:nsid w:val="67997556"/>
    <w:multiLevelType w:val="hybridMultilevel"/>
    <w:lvl w:ilvl="0">
      <w:lvlJc w:val="left"/>
      <w:lvlText w:val="%1."/>
      <w:numFmt w:val="decimal"/>
      <w:start w:val="3"/>
    </w:lvl>
  </w:abstractNum>
  <w:abstractNum w:abstractNumId="264">
    <w:nsid w:val="18333C89"/>
    <w:multiLevelType w:val="hybridMultilevel"/>
    <w:lvl w:ilvl="0">
      <w:lvlJc w:val="left"/>
      <w:lvlText w:val="%1."/>
      <w:numFmt w:val="decimal"/>
      <w:start w:val="2"/>
    </w:lvl>
  </w:abstractNum>
  <w:abstractNum w:abstractNumId="265">
    <w:nsid w:val="4BA9831A"/>
    <w:multiLevelType w:val="hybridMultilevel"/>
    <w:lvl w:ilvl="0">
      <w:lvlJc w:val="left"/>
      <w:lvlText w:val="(%1)"/>
      <w:numFmt w:val="lowerRoman"/>
      <w:start w:val="7"/>
    </w:lvl>
  </w:abstractNum>
  <w:abstractNum w:abstractNumId="266">
    <w:nsid w:val="6D71A2B"/>
    <w:multiLevelType w:val="hybridMultilevel"/>
    <w:lvl w:ilvl="0">
      <w:lvlJc w:val="left"/>
      <w:lvlText w:val="(%1)"/>
      <w:numFmt w:val="lowerRoman"/>
      <w:start w:val="8"/>
    </w:lvl>
    <w:lvl w:ilvl="1">
      <w:lvlJc w:val="left"/>
      <w:lvlText w:val="(%2)"/>
      <w:numFmt w:val="lowerLetter"/>
      <w:start w:val="2"/>
    </w:lvl>
  </w:abstractNum>
  <w:abstractNum w:abstractNumId="267">
    <w:nsid w:val="CFC7321"/>
    <w:multiLevelType w:val="hybridMultilevel"/>
    <w:lvl w:ilvl="0">
      <w:lvlJc w:val="left"/>
      <w:lvlText w:val="(%1)"/>
      <w:numFmt w:val="lowerLetter"/>
      <w:start w:val="1"/>
    </w:lvl>
  </w:abstractNum>
  <w:abstractNum w:abstractNumId="268">
    <w:nsid w:val="1421971B"/>
    <w:multiLevelType w:val="hybridMultilevel"/>
    <w:lvl w:ilvl="0">
      <w:lvlJc w:val="left"/>
      <w:lvlText w:val="%1."/>
      <w:numFmt w:val="decimal"/>
      <w:start w:val="2"/>
    </w:lvl>
  </w:abstractNum>
  <w:abstractNum w:abstractNumId="269">
    <w:nsid w:val="1F404301"/>
    <w:multiLevelType w:val="hybridMultilevel"/>
    <w:lvl w:ilvl="0">
      <w:lvlJc w:val="left"/>
      <w:lvlText w:val="(%1)"/>
      <w:numFmt w:val="lowerRoman"/>
      <w:start w:val="3"/>
    </w:lvl>
  </w:abstractNum>
  <w:abstractNum w:abstractNumId="270">
    <w:nsid w:val="116E0907"/>
    <w:multiLevelType w:val="hybridMultilevel"/>
    <w:lvl w:ilvl="0">
      <w:lvlJc w:val="left"/>
      <w:lvlText w:val="%1"/>
      <w:numFmt w:val="decimal"/>
      <w:start w:val="1"/>
    </w:lvl>
    <w:lvl w:ilvl="1">
      <w:lvlJc w:val="left"/>
      <w:lvlText w:val="%2."/>
      <w:numFmt w:val="decimal"/>
      <w:start w:val="3"/>
    </w:lvl>
  </w:abstractNum>
  <w:abstractNum w:abstractNumId="271">
    <w:nsid w:val="4B683D0D"/>
    <w:multiLevelType w:val="hybridMultilevel"/>
    <w:lvl w:ilvl="0">
      <w:lvlJc w:val="left"/>
      <w:lvlText w:val="%1."/>
      <w:numFmt w:val="decimal"/>
      <w:start w:val="4"/>
    </w:lvl>
    <w:lvl w:ilvl="1">
      <w:lvlJc w:val="left"/>
      <w:lvlText w:val="%2"/>
      <w:numFmt w:val="decimal"/>
      <w:start w:val="1"/>
    </w:lvl>
  </w:abstractNum>
  <w:abstractNum w:abstractNumId="272">
    <w:nsid w:val="76E41D8"/>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abstractNum>
  <w:abstractNum w:abstractNumId="273">
    <w:nsid w:val="71DCE0FD"/>
    <w:multiLevelType w:val="hybridMultilevel"/>
    <w:lvl w:ilvl="0">
      <w:lvlJc w:val="left"/>
      <w:lvlText w:val="%1."/>
      <w:numFmt w:val="decimal"/>
      <w:start w:val="20"/>
    </w:lvl>
  </w:abstractNum>
  <w:abstractNum w:abstractNumId="274">
    <w:nsid w:val="7906328B"/>
    <w:multiLevelType w:val="hybridMultilevel"/>
    <w:lvl w:ilvl="0">
      <w:lvlJc w:val="left"/>
      <w:lvlText w:val="%1."/>
      <w:numFmt w:val="decimal"/>
      <w:start w:val="1"/>
    </w:lvl>
  </w:abstractNum>
  <w:abstractNum w:abstractNumId="275">
    <w:nsid w:val="72BBC16"/>
    <w:multiLevelType w:val="hybridMultilevel"/>
    <w:lvl w:ilvl="0">
      <w:lvlJc w:val="left"/>
      <w:lvlText w:val="%1."/>
      <w:numFmt w:val="decimal"/>
      <w:start w:val="21"/>
    </w:lvl>
  </w:abstractNum>
  <w:abstractNum w:abstractNumId="276">
    <w:nsid w:val="766D98C2"/>
    <w:multiLevelType w:val="hybridMultilevel"/>
    <w:lvl w:ilvl="0">
      <w:lvlJc w:val="left"/>
      <w:lvlText w:val="%1."/>
      <w:numFmt w:val="decimal"/>
      <w:start w:val="1"/>
    </w:lvl>
  </w:abstractNum>
  <w:abstractNum w:abstractNumId="277">
    <w:nsid w:val="3C09D4A1"/>
    <w:multiLevelType w:val="hybridMultilevel"/>
    <w:lvl w:ilvl="0">
      <w:lvlJc w:val="left"/>
      <w:lvlText w:val="%1."/>
      <w:numFmt w:val="decimal"/>
      <w:start w:val="2"/>
    </w:lvl>
  </w:abstractNum>
  <w:abstractNum w:abstractNumId="278">
    <w:nsid w:val="20E45CA4"/>
    <w:multiLevelType w:val="hybridMultilevel"/>
    <w:lvl w:ilvl="0">
      <w:lvlJc w:val="left"/>
      <w:lvlText w:val="%1."/>
      <w:numFmt w:val="decimal"/>
      <w:start w:val="1"/>
    </w:lvl>
    <w:lvl w:ilvl="1">
      <w:lvlJc w:val="left"/>
      <w:lvlText w:val="(%2)"/>
      <w:numFmt w:val="lowerRoman"/>
      <w:start w:val="1"/>
    </w:lvl>
  </w:abstractNum>
  <w:abstractNum w:abstractNumId="279">
    <w:nsid w:val="4B232EE3"/>
    <w:multiLevelType w:val="hybridMultilevel"/>
    <w:lvl w:ilvl="0">
      <w:lvlJc w:val="left"/>
      <w:lvlText w:val="%1"/>
      <w:numFmt w:val="decimal"/>
      <w:start w:val="1"/>
    </w:lvl>
    <w:lvl w:ilvl="1">
      <w:lvlJc w:val="left"/>
      <w:lvlText w:val="%2."/>
      <w:numFmt w:val="decimal"/>
      <w:start w:val="2"/>
    </w:lvl>
  </w:abstractNum>
  <w:abstractNum w:abstractNumId="280">
    <w:nsid w:val="159C74CF"/>
    <w:multiLevelType w:val="hybridMultilevel"/>
    <w:lvl w:ilvl="0">
      <w:lvlJc w:val="left"/>
      <w:lvlText w:val="%1."/>
      <w:numFmt w:val="decimal"/>
      <w:start w:val="3"/>
    </w:lvl>
    <w:lvl w:ilvl="1">
      <w:lvlJc w:val="left"/>
      <w:lvlText w:val="%2"/>
      <w:numFmt w:val="decimal"/>
      <w:start w:val="1"/>
    </w:lvl>
  </w:abstractNum>
  <w:abstractNum w:abstractNumId="281">
    <w:nsid w:val="4AD3AFD2"/>
    <w:multiLevelType w:val="hybridMultilevel"/>
    <w:lvl w:ilvl="0">
      <w:lvlJc w:val="left"/>
      <w:lvlText w:val="%1."/>
      <w:numFmt w:val="decimal"/>
      <w:start w:val="22"/>
    </w:lvl>
  </w:abstractNum>
  <w:abstractNum w:abstractNumId="282">
    <w:nsid w:val="3CF93092"/>
    <w:multiLevelType w:val="hybridMultilevel"/>
    <w:lvl w:ilvl="0">
      <w:lvlJc w:val="left"/>
      <w:lvlText w:val="%1."/>
      <w:numFmt w:val="decimal"/>
      <w:start w:val="1"/>
    </w:lvl>
  </w:abstractNum>
  <w:abstractNum w:abstractNumId="283">
    <w:nsid w:val="6863E8D2"/>
    <w:multiLevelType w:val="hybridMultilevel"/>
    <w:lvl w:ilvl="0">
      <w:lvlJc w:val="left"/>
      <w:lvlText w:val="(%1)"/>
      <w:numFmt w:val="lowerRoman"/>
      <w:start w:val="1"/>
    </w:lvl>
  </w:abstractNum>
  <w:abstractNum w:abstractNumId="284">
    <w:nsid w:val="76896198"/>
    <w:multiLevelType w:val="hybridMultilevel"/>
    <w:lvl w:ilvl="0">
      <w:lvlJc w:val="left"/>
      <w:lvlText w:val="%1."/>
      <w:numFmt w:val="decimal"/>
      <w:start w:val="2"/>
    </w:lvl>
  </w:abstractNum>
  <w:abstractNum w:abstractNumId="285">
    <w:nsid w:val="4365174B"/>
    <w:multiLevelType w:val="hybridMultilevel"/>
    <w:lvl w:ilvl="0">
      <w:lvlJc w:val="left"/>
      <w:lvlText w:val="%1."/>
      <w:numFmt w:val="decimal"/>
      <w:start w:val="3"/>
    </w:lvl>
  </w:abstractNum>
  <w:abstractNum w:abstractNumId="286">
    <w:nsid w:val="4A872C35"/>
    <w:multiLevelType w:val="hybridMultilevel"/>
    <w:lvl w:ilvl="0">
      <w:lvlJc w:val="left"/>
      <w:lvlText w:val="%1."/>
      <w:numFmt w:val="decimal"/>
      <w:start w:val="1"/>
    </w:lvl>
    <w:lvl w:ilvl="1">
      <w:lvlJc w:val="left"/>
      <w:lvlText w:val="(%2)"/>
      <w:numFmt w:val="lowerRoman"/>
      <w:start w:val="1"/>
    </w:lvl>
  </w:abstractNum>
  <w:abstractNum w:abstractNumId="287">
    <w:nsid w:val="5D5CE761"/>
    <w:multiLevelType w:val="hybridMultilevel"/>
    <w:lvl w:ilvl="0">
      <w:lvlJc w:val="left"/>
      <w:lvlText w:val="%1"/>
      <w:numFmt w:val="decimal"/>
      <w:start w:val="1"/>
    </w:lvl>
    <w:lvl w:ilvl="1">
      <w:lvlJc w:val="left"/>
      <w:lvlText w:val="%2."/>
      <w:numFmt w:val="decimal"/>
      <w:start w:val="3"/>
    </w:lvl>
  </w:abstractNum>
  <w:abstractNum w:abstractNumId="288">
    <w:nsid w:val="1CD484D5"/>
    <w:multiLevelType w:val="hybridMultilevel"/>
    <w:lvl w:ilvl="0">
      <w:lvlJc w:val="left"/>
      <w:lvlText w:val="%1."/>
      <w:numFmt w:val="decimal"/>
      <w:start w:val="23"/>
    </w:lvl>
    <w:lvl w:ilvl="1">
      <w:lvlJc w:val="left"/>
      <w:lvlText w:val="%2"/>
      <w:numFmt w:val="decimal"/>
      <w:start w:val="1"/>
    </w:lvl>
  </w:abstractNum>
  <w:abstractNum w:abstractNumId="289">
    <w:nsid w:val="21D06255"/>
    <w:multiLevelType w:val="hybridMultilevel"/>
    <w:lvl w:ilvl="0">
      <w:lvlJc w:val="left"/>
      <w:lvlText w:val="%1."/>
      <w:numFmt w:val="decimal"/>
      <w:start w:val="24"/>
    </w:lvl>
  </w:abstractNum>
  <w:abstractNum w:abstractNumId="290">
    <w:nsid w:val="51194ED1"/>
    <w:multiLevelType w:val="hybridMultilevel"/>
    <w:lvl w:ilvl="0">
      <w:lvlJc w:val="left"/>
      <w:lvlText w:val="(%1)"/>
      <w:numFmt w:val="lowerRoman"/>
      <w:start w:val="1"/>
    </w:lvl>
  </w:abstractNum>
  <w:abstractNum w:abstractNumId="291">
    <w:nsid w:val="44E2ED6C"/>
    <w:multiLevelType w:val="hybridMultilevel"/>
    <w:lvl w:ilvl="0">
      <w:lvlJc w:val="left"/>
      <w:lvlText w:val="%1."/>
      <w:numFmt w:val="decimal"/>
      <w:start w:val="25"/>
    </w:lvl>
  </w:abstractNum>
  <w:abstractNum w:abstractNumId="292">
    <w:nsid w:val="2219B33"/>
    <w:multiLevelType w:val="hybridMultilevel"/>
    <w:lvl w:ilvl="0">
      <w:lvlJc w:val="left"/>
      <w:lvlText w:val="%1."/>
      <w:numFmt w:val="decimal"/>
      <w:start w:val="1"/>
    </w:lvl>
  </w:abstractNum>
  <w:abstractNum w:abstractNumId="293">
    <w:nsid w:val="773BFBDD"/>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294">
    <w:nsid w:val="2C7C62C2"/>
    <w:multiLevelType w:val="hybridMultilevel"/>
    <w:lvl w:ilvl="0">
      <w:lvlJc w:val="left"/>
      <w:lvlText w:val="%1"/>
      <w:numFmt w:val="decimal"/>
      <w:start w:val="1"/>
    </w:lvl>
    <w:lvl w:ilvl="1">
      <w:lvlJc w:val="left"/>
      <w:lvlText w:val="%2."/>
      <w:numFmt w:val="decimal"/>
      <w:start w:val="3"/>
    </w:lvl>
  </w:abstractNum>
  <w:abstractNum w:abstractNumId="295">
    <w:nsid w:val="1A54D7BC"/>
    <w:multiLevelType w:val="hybridMultilevel"/>
    <w:lvl w:ilvl="0">
      <w:lvlJc w:val="left"/>
      <w:lvlText w:val="%1."/>
      <w:numFmt w:val="decimal"/>
      <w:start w:val="5"/>
    </w:lvl>
    <w:lvl w:ilvl="1">
      <w:lvlJc w:val="left"/>
      <w:lvlText w:val="%2."/>
      <w:numFmt w:val="decimal"/>
      <w:start w:val="1"/>
    </w:lvl>
  </w:abstractNum>
  <w:abstractNum w:abstractNumId="296">
    <w:nsid w:val="42E57EF7"/>
    <w:multiLevelType w:val="hybridMultilevel"/>
    <w:lvl w:ilvl="0">
      <w:lvlJc w:val="left"/>
      <w:lvlText w:val="%1."/>
      <w:numFmt w:val="decimal"/>
      <w:start w:val="26"/>
    </w:lvl>
  </w:abstractNum>
  <w:abstractNum w:abstractNumId="297">
    <w:nsid w:val="33537CED"/>
    <w:multiLevelType w:val="hybridMultilevel"/>
    <w:lvl w:ilvl="0">
      <w:lvlJc w:val="left"/>
      <w:lvlText w:val="%1."/>
      <w:numFmt w:val="decimal"/>
      <w:start w:val="1"/>
    </w:lvl>
  </w:abstractNum>
  <w:abstractNum w:abstractNumId="298">
    <w:nsid w:val="27514ADE"/>
    <w:multiLevelType w:val="hybridMultilevel"/>
    <w:lvl w:ilvl="0">
      <w:lvlJc w:val="left"/>
      <w:lvlText w:val="(%1)"/>
      <w:numFmt w:val="lowerRoman"/>
      <w:start w:val="1"/>
    </w:lvl>
  </w:abstractNum>
  <w:abstractNum w:abstractNumId="299">
    <w:nsid w:val="57071613"/>
    <w:multiLevelType w:val="hybridMultilevel"/>
    <w:lvl w:ilvl="0">
      <w:lvlJc w:val="left"/>
      <w:lvlText w:val="%1."/>
      <w:numFmt w:val="decimal"/>
      <w:start w:val="2"/>
    </w:lvl>
    <w:lvl w:ilvl="1">
      <w:lvlJc w:val="left"/>
      <w:lvlText w:val="(%2)"/>
      <w:numFmt w:val="lowerRoman"/>
      <w:start w:val="1"/>
    </w:lvl>
  </w:abstractNum>
  <w:abstractNum w:abstractNumId="300">
    <w:nsid w:val="5293BFEF"/>
    <w:multiLevelType w:val="hybridMultilevel"/>
    <w:lvl w:ilvl="0">
      <w:lvlJc w:val="left"/>
      <w:lvlText w:val="%1."/>
      <w:numFmt w:val="decimal"/>
      <w:start w:val="3"/>
    </w:lvl>
  </w:abstractNum>
  <w:abstractNum w:abstractNumId="301">
    <w:nsid w:val="38BF53E5"/>
    <w:multiLevelType w:val="hybridMultilevel"/>
    <w:lvl w:ilvl="0">
      <w:lvlJc w:val="left"/>
      <w:lvlText w:val="%1."/>
      <w:numFmt w:val="decimal"/>
      <w:start w:val="27"/>
    </w:lvl>
  </w:abstractNum>
  <w:abstractNum w:abstractNumId="302">
    <w:nsid w:val="226F5320"/>
    <w:multiLevelType w:val="hybridMultilevel"/>
    <w:lvl w:ilvl="0">
      <w:lvlJc w:val="left"/>
      <w:lvlText w:val="%1."/>
      <w:numFmt w:val="decimal"/>
      <w:start w:val="28"/>
    </w:lvl>
  </w:abstractNum>
  <w:abstractNum w:abstractNumId="303">
    <w:nsid w:val="5A0201C7"/>
    <w:multiLevelType w:val="hybridMultilevel"/>
    <w:lvl w:ilvl="0">
      <w:lvlJc w:val="left"/>
      <w:lvlText w:val="(%1)"/>
      <w:numFmt w:val="lowerRoman"/>
      <w:start w:val="1"/>
    </w:lvl>
  </w:abstractNum>
  <w:abstractNum w:abstractNumId="304">
    <w:nsid w:val="2A9C34E2"/>
    <w:multiLevelType w:val="hybridMultilevel"/>
    <w:lvl w:ilvl="0">
      <w:lvlJc w:val="left"/>
      <w:lvlText w:val="%1."/>
      <w:numFmt w:val="decimal"/>
      <w:start w:val="29"/>
    </w:lvl>
  </w:abstractNum>
  <w:abstractNum w:abstractNumId="305">
    <w:nsid w:val="1B7585AB"/>
    <w:multiLevelType w:val="hybridMultilevel"/>
    <w:lvl w:ilvl="0">
      <w:lvlJc w:val="left"/>
      <w:lvlText w:val="(%1)"/>
      <w:numFmt w:val="lowerRoman"/>
      <w:start w:val="1"/>
    </w:lvl>
  </w:abstractNum>
  <w:abstractNum w:abstractNumId="306">
    <w:nsid w:val="612DBDDD"/>
    <w:multiLevelType w:val="hybridMultilevel"/>
    <w:lvl w:ilvl="0">
      <w:lvlJc w:val="left"/>
      <w:lvlText w:val="(%1)"/>
      <w:numFmt w:val="lowerRoman"/>
      <w:start w:val="4"/>
    </w:lvl>
  </w:abstractNum>
  <w:abstractNum w:abstractNumId="307">
    <w:nsid w:val="2109CDA4"/>
    <w:multiLevelType w:val="hybridMultilevel"/>
    <w:lvl w:ilvl="0">
      <w:lvlJc w:val="left"/>
      <w:lvlText w:val="%1."/>
      <w:numFmt w:val="decimal"/>
      <w:start w:val="30"/>
    </w:lvl>
  </w:abstractNum>
  <w:abstractNum w:abstractNumId="308">
    <w:nsid w:val="577F5A4D"/>
    <w:multiLevelType w:val="hybridMultilevel"/>
    <w:lvl w:ilvl="0">
      <w:lvlJc w:val="left"/>
      <w:lvlText w:val="%1."/>
      <w:numFmt w:val="decimal"/>
      <w:start w:val="1"/>
    </w:lvl>
  </w:abstractNum>
  <w:abstractNum w:abstractNumId="309">
    <w:nsid w:val="2121A81"/>
    <w:multiLevelType w:val="hybridMultilevel"/>
    <w:lvl w:ilvl="0">
      <w:lvlJc w:val="left"/>
      <w:lvlText w:val="%1."/>
      <w:numFmt w:val="decimal"/>
      <w:start w:val="4"/>
    </w:lvl>
  </w:abstractNum>
  <w:abstractNum w:abstractNumId="310">
    <w:nsid w:val="6C2CFC88"/>
    <w:multiLevelType w:val="hybridMultilevel"/>
    <w:lvl w:ilvl="0">
      <w:lvlJc w:val="left"/>
      <w:lvlText w:val="%1."/>
      <w:numFmt w:val="decimal"/>
      <w:start w:val="31"/>
    </w:lvl>
  </w:abstractNum>
  <w:abstractNum w:abstractNumId="311">
    <w:nsid w:val="6D1BCF1C"/>
    <w:multiLevelType w:val="hybridMultilevel"/>
    <w:lvl w:ilvl="0">
      <w:lvlJc w:val="left"/>
      <w:lvlText w:val="%1."/>
      <w:numFmt w:val="decimal"/>
      <w:start w:val="1"/>
    </w:lvl>
  </w:abstractNum>
  <w:abstractNum w:abstractNumId="312">
    <w:nsid w:val="4CE5CA53"/>
    <w:multiLevelType w:val="hybridMultilevel"/>
    <w:lvl w:ilvl="0">
      <w:lvlJc w:val="left"/>
      <w:lvlText w:val="%1."/>
      <w:numFmt w:val="decimal"/>
      <w:start w:val="4"/>
    </w:lvl>
  </w:abstractNum>
  <w:abstractNum w:abstractNumId="313">
    <w:nsid w:val="29262D1A"/>
    <w:multiLevelType w:val="hybridMultilevel"/>
    <w:lvl w:ilvl="0">
      <w:lvlJc w:val="left"/>
      <w:lvlText w:val="%1."/>
      <w:numFmt w:val="decimal"/>
      <w:start w:val="32"/>
    </w:lvl>
  </w:abstractNum>
  <w:abstractNum w:abstractNumId="314">
    <w:nsid w:val="557FB7EE"/>
    <w:multiLevelType w:val="hybridMultilevel"/>
    <w:lvl w:ilvl="0">
      <w:lvlJc w:val="left"/>
      <w:lvlText w:val="%1."/>
      <w:numFmt w:val="decimal"/>
      <w:start w:val="1"/>
    </w:lvl>
  </w:abstractNum>
  <w:abstractNum w:abstractNumId="315">
    <w:nsid w:val="436F2BEB"/>
    <w:multiLevelType w:val="hybridMultilevel"/>
    <w:lvl w:ilvl="0">
      <w:lvlJc w:val="left"/>
      <w:lvlText w:val="%1."/>
      <w:numFmt w:val="decimal"/>
      <w:start w:val="3"/>
    </w:lvl>
  </w:abstractNum>
  <w:abstractNum w:abstractNumId="316">
    <w:nsid w:val="6C8B4466"/>
    <w:multiLevelType w:val="hybridMultilevel"/>
    <w:lvl w:ilvl="0">
      <w:lvlJc w:val="left"/>
      <w:lvlText w:val="%1."/>
      <w:numFmt w:val="decimal"/>
      <w:start w:val="33"/>
    </w:lvl>
  </w:abstractNum>
  <w:abstractNum w:abstractNumId="317">
    <w:nsid w:val="2006E424"/>
    <w:multiLevelType w:val="hybridMultilevel"/>
    <w:lvl w:ilvl="0">
      <w:lvlJc w:val="left"/>
      <w:lvlText w:val="%1."/>
      <w:numFmt w:val="decimal"/>
      <w:start w:val="1"/>
    </w:lvl>
  </w:abstractNum>
  <w:abstractNum w:abstractNumId="318">
    <w:nsid w:val="20CC134C"/>
    <w:multiLevelType w:val="hybridMultilevel"/>
    <w:lvl w:ilvl="0">
      <w:lvlJc w:val="left"/>
      <w:lvlText w:val="%1."/>
      <w:numFmt w:val="decimal"/>
      <w:start w:val="2"/>
    </w:lvl>
    <w:lvl w:ilvl="1">
      <w:lvlJc w:val="left"/>
      <w:lvlText w:val="(%2)"/>
      <w:numFmt w:val="lowerRoman"/>
      <w:start w:val="1"/>
    </w:lvl>
  </w:abstractNum>
  <w:abstractNum w:abstractNumId="319">
    <w:nsid w:val="95FC93B"/>
    <w:multiLevelType w:val="hybridMultilevel"/>
    <w:lvl w:ilvl="0">
      <w:lvlJc w:val="left"/>
      <w:lvlText w:val="%1."/>
      <w:numFmt w:val="decimal"/>
      <w:start w:val="3"/>
    </w:lvl>
  </w:abstractNum>
  <w:abstractNum w:abstractNumId="320">
    <w:nsid w:val="41D74679"/>
    <w:multiLevelType w:val="hybridMultilevel"/>
    <w:lvl w:ilvl="0">
      <w:lvlJc w:val="left"/>
      <w:lvlText w:val="%1."/>
      <w:numFmt w:val="decimal"/>
      <w:start w:val="4"/>
    </w:lvl>
  </w:abstractNum>
  <w:abstractNum w:abstractNumId="321">
    <w:nsid w:val="71E5621E"/>
    <w:multiLevelType w:val="hybridMultilevel"/>
    <w:lvl w:ilvl="0">
      <w:lvlJc w:val="left"/>
      <w:lvlText w:val="%1."/>
      <w:numFmt w:val="decimal"/>
      <w:start w:val="34"/>
    </w:lvl>
  </w:abstractNum>
  <w:abstractNum w:abstractNumId="322">
    <w:nsid w:val="4E42B6A8"/>
    <w:multiLevelType w:val="hybridMultilevel"/>
    <w:lvl w:ilvl="0">
      <w:lvlJc w:val="left"/>
      <w:lvlText w:val="(%1)"/>
      <w:numFmt w:val="lowerLetter"/>
      <w:start w:val="1"/>
    </w:lvl>
  </w:abstractNum>
  <w:abstractNum w:abstractNumId="323">
    <w:nsid w:val="43F8E1AC"/>
    <w:multiLevelType w:val="hybridMultilevel"/>
    <w:lvl w:ilvl="0">
      <w:lvlJc w:val="left"/>
      <w:lvlText w:val="(%1)"/>
      <w:numFmt w:val="lowerLetter"/>
      <w:start w:val="3"/>
    </w:lvl>
  </w:abstractNum>
  <w:abstractNum w:abstractNumId="324">
    <w:nsid w:val="69215DFB"/>
    <w:multiLevelType w:val="hybridMultilevel"/>
    <w:lvl w:ilvl="0">
      <w:lvlJc w:val="left"/>
      <w:lvlText w:val="(%1)"/>
      <w:numFmt w:val="lowerLetter"/>
      <w:start w:val="13"/>
    </w:lvl>
  </w:abstractNum>
  <w:abstractNum w:abstractNumId="325">
    <w:nsid w:val="7ABF196A"/>
    <w:multiLevelType w:val="hybridMultilevel"/>
    <w:lvl w:ilvl="0">
      <w:lvlJc w:val="left"/>
      <w:lvlText w:val="%1."/>
      <w:numFmt w:val="decimal"/>
      <w:start w:val="35"/>
    </w:lvl>
  </w:abstractNum>
  <w:abstractNum w:abstractNumId="326">
    <w:nsid w:val="5E4DB968"/>
    <w:multiLevelType w:val="hybridMultilevel"/>
    <w:lvl w:ilvl="0">
      <w:lvlJc w:val="left"/>
      <w:lvlText w:val="%1."/>
      <w:numFmt w:val="decimal"/>
      <w:start w:val="36"/>
    </w:lvl>
  </w:abstractNum>
  <w:abstractNum w:abstractNumId="327">
    <w:nsid w:val="2C06DCF3"/>
    <w:multiLevelType w:val="hybridMultilevel"/>
    <w:lvl w:ilvl="0">
      <w:lvlJc w:val="left"/>
      <w:lvlText w:val="%1."/>
      <w:numFmt w:val="decimal"/>
      <w:start w:val="37"/>
    </w:lvl>
  </w:abstractNum>
  <w:abstractNum w:abstractNumId="328">
    <w:nsid w:val="2E129658"/>
    <w:multiLevelType w:val="hybridMultilevel"/>
    <w:lvl w:ilvl="0">
      <w:lvlJc w:val="left"/>
      <w:lvlText w:val="%1."/>
      <w:numFmt w:val="decimal"/>
      <w:start w:val="1"/>
    </w:lvl>
    <w:lvl w:ilvl="1">
      <w:lvlJc w:val="left"/>
      <w:lvlText w:val="(%2)"/>
      <w:numFmt w:val="lowerRoman"/>
      <w:start w:val="1"/>
    </w:lvl>
  </w:abstractNum>
  <w:abstractNum w:abstractNumId="329">
    <w:nsid w:val="59F0446"/>
    <w:multiLevelType w:val="hybridMultilevel"/>
    <w:lvl w:ilvl="0">
      <w:lvlJc w:val="left"/>
      <w:lvlText w:val="%1."/>
      <w:numFmt w:val="decimal"/>
      <w:start w:val="2"/>
    </w:lvl>
  </w:abstractNum>
  <w:abstractNum w:abstractNumId="330">
    <w:nsid w:val="30DF306"/>
    <w:multiLevelType w:val="hybridMultilevel"/>
    <w:lvl w:ilvl="0">
      <w:lvlJc w:val="left"/>
      <w:lvlText w:val="%1."/>
      <w:numFmt w:val="decimal"/>
      <w:start w:val="38"/>
    </w:lvl>
  </w:abstractNum>
  <w:abstractNum w:abstractNumId="331">
    <w:nsid w:val="A65647"/>
    <w:multiLevelType w:val="hybridMultilevel"/>
    <w:lvl w:ilvl="0">
      <w:lvlJc w:val="left"/>
      <w:lvlText w:val="%1."/>
      <w:numFmt w:val="decimal"/>
      <w:start w:val="1"/>
    </w:lvl>
    <w:lvl w:ilvl="1">
      <w:lvlJc w:val="left"/>
      <w:lvlText w:val="(%2)"/>
      <w:numFmt w:val="lowerRoman"/>
      <w:start w:val="1"/>
    </w:lvl>
  </w:abstractNum>
  <w:abstractNum w:abstractNumId="332">
    <w:nsid w:val="3E5E582B"/>
    <w:multiLevelType w:val="hybridMultilevel"/>
    <w:lvl w:ilvl="0">
      <w:lvlJc w:val="left"/>
      <w:lvlText w:val="(%1)"/>
      <w:numFmt w:val="lowerRoman"/>
      <w:start w:val="4"/>
    </w:lvl>
  </w:abstractNum>
  <w:abstractNum w:abstractNumId="333">
    <w:nsid w:val="257D4626"/>
    <w:multiLevelType w:val="hybridMultilevel"/>
    <w:lvl w:ilvl="0">
      <w:lvlJc w:val="left"/>
      <w:lvlText w:val="%1."/>
      <w:numFmt w:val="decimal"/>
      <w:start w:val="39"/>
    </w:lvl>
  </w:abstractNum>
  <w:abstractNum w:abstractNumId="334">
    <w:nsid w:val="5AA8580E"/>
    <w:multiLevelType w:val="hybridMultilevel"/>
    <w:lvl w:ilvl="0">
      <w:lvlJc w:val="left"/>
      <w:lvlText w:val="%1."/>
      <w:numFmt w:val="decimal"/>
      <w:start w:val="1"/>
    </w:lvl>
  </w:abstractNum>
  <w:abstractNum w:abstractNumId="335">
    <w:nsid w:val="68FA8D0D"/>
    <w:multiLevelType w:val="hybridMultilevel"/>
    <w:lvl w:ilvl="0">
      <w:lvlJc w:val="left"/>
      <w:lvlText w:val="%1"/>
      <w:numFmt w:val="decimal"/>
      <w:start w:val="1"/>
    </w:lvl>
    <w:lvl w:ilvl="1">
      <w:lvlJc w:val="left"/>
      <w:lvlText w:val="(%2)"/>
      <w:numFmt w:val="lowerRoman"/>
      <w:start w:val="1"/>
    </w:lvl>
  </w:abstractNum>
  <w:abstractNum w:abstractNumId="336">
    <w:nsid w:val="40F2CBD2"/>
    <w:multiLevelType w:val="hybridMultilevel"/>
    <w:lvl w:ilvl="0">
      <w:lvlJc w:val="left"/>
      <w:lvlText w:val="%1."/>
      <w:numFmt w:val="decimal"/>
      <w:start w:val="3"/>
    </w:lvl>
    <w:lvl w:ilvl="1">
      <w:lvlJc w:val="left"/>
      <w:lvlText w:val="%2"/>
      <w:numFmt w:val="lowerRoman"/>
      <w:start w:val="1"/>
    </w:lvl>
  </w:abstractNum>
  <w:abstractNum w:abstractNumId="337">
    <w:nsid w:val="3BD615EB"/>
    <w:multiLevelType w:val="hybridMultilevel"/>
    <w:lvl w:ilvl="0">
      <w:lvlJc w:val="left"/>
      <w:lvlText w:val="%1."/>
      <w:numFmt w:val="decimal"/>
      <w:start w:val="40"/>
    </w:lvl>
  </w:abstractNum>
  <w:abstractNum w:abstractNumId="338">
    <w:nsid w:val="A045AB2"/>
    <w:multiLevelType w:val="hybridMultilevel"/>
    <w:lvl w:ilvl="0">
      <w:lvlJc w:val="left"/>
      <w:lvlText w:val="%1."/>
      <w:numFmt w:val="decimal"/>
      <w:start w:val="41"/>
    </w:lvl>
  </w:abstractNum>
  <w:abstractNum w:abstractNumId="339">
    <w:nsid w:val="1872261F"/>
    <w:multiLevelType w:val="hybridMultilevel"/>
    <w:lvl w:ilvl="0">
      <w:lvlJc w:val="left"/>
      <w:lvlText w:val="%1"/>
      <w:numFmt w:val="decimal"/>
      <w:start w:val="1"/>
    </w:lvl>
    <w:lvl w:ilvl="1">
      <w:lvlJc w:val="left"/>
      <w:lvlText w:val="(%2)"/>
      <w:numFmt w:val="lowerRoman"/>
      <w:start w:val="2"/>
    </w:lvl>
  </w:abstractNum>
  <w:abstractNum w:abstractNumId="340">
    <w:nsid w:val="3DE8306C"/>
    <w:multiLevelType w:val="hybridMultilevel"/>
    <w:lvl w:ilvl="0">
      <w:lvlJc w:val="left"/>
      <w:lvlText w:val="%1."/>
      <w:numFmt w:val="decimal"/>
      <w:start w:val="42"/>
    </w:lvl>
    <w:lvl w:ilvl="1">
      <w:lvlJc w:val="left"/>
      <w:lvlText w:val="%2"/>
      <w:numFmt w:val="lowerRoman"/>
      <w:start w:val="1"/>
    </w:lvl>
  </w:abstractNum>
  <w:abstractNum w:abstractNumId="341">
    <w:nsid w:val="7631573A"/>
    <w:multiLevelType w:val="hybridMultilevel"/>
    <w:lvl w:ilvl="0">
      <w:lvlJc w:val="left"/>
      <w:lvlText w:val="%1."/>
      <w:numFmt w:val="decimal"/>
      <w:start w:val="1"/>
    </w:lvl>
  </w:abstractNum>
  <w:abstractNum w:abstractNumId="342">
    <w:nsid w:val="58DF53B"/>
    <w:multiLevelType w:val="hybridMultilevel"/>
    <w:lvl w:ilvl="0">
      <w:lvlJc w:val="left"/>
      <w:lvlText w:val="%1."/>
      <w:numFmt w:val="decimal"/>
      <w:start w:val="2"/>
    </w:lvl>
  </w:abstractNum>
  <w:abstractNum w:abstractNumId="343">
    <w:nsid w:val="ACDFAC0"/>
    <w:multiLevelType w:val="hybridMultilevel"/>
    <w:lvl w:ilvl="0">
      <w:lvlJc w:val="left"/>
      <w:lvlText w:val="%1."/>
      <w:numFmt w:val="decimal"/>
      <w:start w:val="3"/>
    </w:lvl>
  </w:abstractNum>
  <w:abstractNum w:abstractNumId="344">
    <w:nsid w:val="1F578454"/>
    <w:multiLevelType w:val="hybridMultilevel"/>
    <w:lvl w:ilvl="0">
      <w:lvlJc w:val="left"/>
      <w:lvlText w:val="%1."/>
      <w:numFmt w:val="decimal"/>
      <w:start w:val="43"/>
    </w:lvl>
  </w:abstractNum>
  <w:abstractNum w:abstractNumId="345">
    <w:nsid w:val="5B0DAD2A"/>
    <w:multiLevelType w:val="hybridMultilevel"/>
    <w:lvl w:ilvl="0">
      <w:lvlJc w:val="left"/>
      <w:lvlText w:val="%1."/>
      <w:numFmt w:val="decimal"/>
      <w:start w:val="44"/>
    </w:lvl>
  </w:abstractNum>
  <w:abstractNum w:abstractNumId="346">
    <w:nsid w:val="4E3D26AB"/>
    <w:multiLevelType w:val="hybridMultilevel"/>
    <w:lvl w:ilvl="0">
      <w:lvlJc w:val="left"/>
      <w:lvlText w:val="%1."/>
      <w:numFmt w:val="decimal"/>
      <w:start w:val="1"/>
    </w:lvl>
  </w:abstractNum>
  <w:abstractNum w:abstractNumId="347">
    <w:nsid w:val="BE2C8B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8">
    <w:nsid w:val="7B14914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49">
    <w:nsid w:val="6F0939F8"/>
    <w:multiLevelType w:val="hybridMultilevel"/>
    <w:lvl w:ilvl="0">
      <w:lvlJc w:val="left"/>
      <w:lvlText w:val="(%1)"/>
      <w:numFmt w:val="lowerRoman"/>
      <w:start w:val="1"/>
    </w:lvl>
  </w:abstractNum>
  <w:abstractNum w:abstractNumId="350">
    <w:nsid w:val="154291F6"/>
    <w:multiLevelType w:val="hybridMultilevel"/>
    <w:lvl w:ilvl="0">
      <w:lvlJc w:val="left"/>
      <w:lvlText w:val="%1"/>
      <w:numFmt w:val="decimal"/>
      <w:start w:val="1"/>
    </w:lvl>
    <w:lvl w:ilvl="1">
      <w:lvlJc w:val="left"/>
      <w:lvlText w:val="(%2)"/>
      <w:numFmt w:val="lowerRoman"/>
      <w:start w:val="1"/>
    </w:lvl>
  </w:abstractNum>
  <w:abstractNum w:abstractNumId="351">
    <w:nsid w:val="3CEBD7C7"/>
    <w:multiLevelType w:val="hybridMultilevel"/>
    <w:lvl w:ilvl="0">
      <w:lvlJc w:val="left"/>
      <w:lvlText w:val="%1."/>
      <w:numFmt w:val="decimal"/>
      <w:start w:val="1"/>
    </w:lvl>
    <w:lvl w:ilvl="1">
      <w:lvlJc w:val="left"/>
      <w:lvlText w:val="%2"/>
      <w:numFmt w:val="lowerRoman"/>
      <w:start w:val="1"/>
    </w:lvl>
  </w:abstractNum>
  <w:abstractNum w:abstractNumId="352">
    <w:nsid w:val="60EE9C16"/>
    <w:multiLevelType w:val="hybridMultilevel"/>
    <w:lvl w:ilvl="0">
      <w:lvlJc w:val="left"/>
      <w:lvlText w:val="-"/>
      <w:numFmt w:val="bullet"/>
      <w:start w:val="1"/>
    </w:lvl>
  </w:abstractNum>
  <w:abstractNum w:abstractNumId="353">
    <w:nsid w:val="6385489E"/>
    <w:multiLevelType w:val="hybridMultilevel"/>
    <w:lvl w:ilvl="0">
      <w:lvlJc w:val="left"/>
      <w:lvlText w:val="(%1)"/>
      <w:numFmt w:val="lowerRoman"/>
      <w:start w:val="1"/>
    </w:lvl>
  </w:abstractNum>
  <w:abstractNum w:abstractNumId="354">
    <w:nsid w:val="E4B973"/>
    <w:multiLevelType w:val="hybridMultilevel"/>
    <w:lvl w:ilvl="0">
      <w:lvlJc w:val="left"/>
      <w:lvlText w:val="%1."/>
      <w:numFmt w:val="decimal"/>
      <w:start w:val="1"/>
    </w:lvl>
  </w:abstractNum>
  <w:abstractNum w:abstractNumId="355">
    <w:nsid w:val="4A0FFA11"/>
    <w:multiLevelType w:val="hybridMultilevel"/>
    <w:lvl w:ilvl="0">
      <w:lvlJc w:val="left"/>
      <w:lvlText w:val="(%1)"/>
      <w:numFmt w:val="lowerRoman"/>
      <w:start w:val="1"/>
    </w:lvl>
  </w:abstractNum>
  <w:abstractNum w:abstractNumId="356">
    <w:nsid w:val="5E446208"/>
    <w:multiLevelType w:val="hybridMultilevel"/>
    <w:lvl w:ilvl="0">
      <w:lvlJc w:val="left"/>
      <w:lvlText w:val="(%1)"/>
      <w:numFmt w:val="lowerRoman"/>
      <w:start w:val="1"/>
    </w:lvl>
  </w:abstractNum>
  <w:abstractNum w:abstractNumId="357">
    <w:nsid w:val="5F3272DB"/>
    <w:multiLevelType w:val="hybridMultilevel"/>
    <w:lvl w:ilvl="0">
      <w:lvlJc w:val="left"/>
      <w:lvlText w:val="(%1)"/>
      <w:numFmt w:val="lowerRoman"/>
      <w:start w:val="1"/>
    </w:lvl>
  </w:abstractNum>
  <w:abstractNum w:abstractNumId="358">
    <w:nsid w:val="7616D704"/>
    <w:multiLevelType w:val="hybridMultilevel"/>
    <w:lvl w:ilvl="0">
      <w:lvlJc w:val="left"/>
      <w:lvlText w:val="(%1)"/>
      <w:numFmt w:val="lowerRoman"/>
      <w:start w:val="2"/>
    </w:lvl>
  </w:abstractNum>
  <w:abstractNum w:abstractNumId="359">
    <w:nsid w:val="C56F860"/>
    <w:multiLevelType w:val="hybridMultilevel"/>
    <w:lvl w:ilvl="0">
      <w:lvlJc w:val="left"/>
      <w:lvlText w:val="(%1)"/>
      <w:numFmt w:val="lowerRoman"/>
      <w:start w:val="1"/>
    </w:lvl>
  </w:abstractNum>
  <w:abstractNum w:abstractNumId="360">
    <w:nsid w:val="64D17722"/>
    <w:multiLevelType w:val="hybridMultilevel"/>
    <w:lvl w:ilvl="0">
      <w:lvlJc w:val="left"/>
      <w:lvlText w:val="(%1)"/>
      <w:numFmt w:val="lowerRoman"/>
      <w:start w:val="1"/>
    </w:lvl>
  </w:abstractNum>
  <w:abstractNum w:abstractNumId="361">
    <w:nsid w:val="7924CA0A"/>
    <w:multiLevelType w:val="hybridMultilevel"/>
    <w:lvl w:ilvl="0">
      <w:lvlJc w:val="left"/>
      <w:lvlText w:val="-"/>
      <w:numFmt w:val="bullet"/>
      <w:start w:val="1"/>
    </w:lvl>
  </w:abstractNum>
  <w:abstractNum w:abstractNumId="362">
    <w:nsid w:val="CFD4EA7"/>
    <w:multiLevelType w:val="hybridMultilevel"/>
    <w:lvl w:ilvl="0">
      <w:lvlJc w:val="left"/>
      <w:lvlText w:val="(%1)"/>
      <w:numFmt w:val="lowerRoman"/>
      <w:start w:val="1"/>
    </w:lvl>
  </w:abstractNum>
  <w:abstractNum w:abstractNumId="363">
    <w:nsid w:val="232FCF4D"/>
    <w:multiLevelType w:val="hybridMultilevel"/>
    <w:lvl w:ilvl="0">
      <w:lvlJc w:val="left"/>
      <w:lvlText w:val="(%1)"/>
      <w:numFmt w:val="lowerLetter"/>
      <w:start w:val="1"/>
    </w:lvl>
  </w:abstractNum>
  <w:abstractNum w:abstractNumId="364">
    <w:nsid w:val="1EA21031"/>
    <w:multiLevelType w:val="hybridMultilevel"/>
    <w:lvl w:ilvl="0">
      <w:lvlJc w:val="left"/>
      <w:lvlText w:val="(%1)"/>
      <w:numFmt w:val="lowerLetter"/>
      <w:start w:val="2"/>
    </w:lvl>
  </w:abstractNum>
  <w:abstractNum w:abstractNumId="365">
    <w:nsid w:val="67A5A6B5"/>
    <w:multiLevelType w:val="hybridMultilevel"/>
    <w:lvl w:ilvl="0">
      <w:lvlJc w:val="left"/>
      <w:lvlText w:val="(%1)"/>
      <w:numFmt w:val="lowerRoman"/>
      <w:start w:val="1"/>
    </w:lvl>
  </w:abstractNum>
  <w:abstractNum w:abstractNumId="366">
    <w:nsid w:val="C2A5C5B"/>
    <w:multiLevelType w:val="hybridMultilevel"/>
    <w:lvl w:ilvl="0">
      <w:lvlJc w:val="left"/>
      <w:lvlText w:val="(%1)"/>
      <w:numFmt w:val="lowerRoman"/>
      <w:start w:val="1"/>
    </w:lvl>
    <w:lvl w:ilvl="1">
      <w:lvlJc w:val="left"/>
      <w:lvlText w:val="-"/>
      <w:numFmt w:val="bullet"/>
      <w:start w:val="1"/>
    </w:lvl>
  </w:abstractNum>
  <w:abstractNum w:abstractNumId="367">
    <w:nsid w:val="5F94DC03"/>
    <w:multiLevelType w:val="hybridMultilevel"/>
    <w:lvl w:ilvl="0">
      <w:lvlJc w:val="left"/>
      <w:lvlText w:val="(%1)"/>
      <w:numFmt w:val="lowerRoman"/>
      <w:start w:val="2"/>
    </w:lvl>
    <w:lvl w:ilvl="1">
      <w:lvlJc w:val="left"/>
      <w:lvlText w:val="-"/>
      <w:numFmt w:val="bullet"/>
      <w:start w:val="1"/>
    </w:lvl>
  </w:abstractNum>
  <w:abstractNum w:abstractNumId="368">
    <w:nsid w:val="237BBCA0"/>
    <w:multiLevelType w:val="hybridMultilevel"/>
    <w:lvl w:ilvl="0">
      <w:lvlJc w:val="left"/>
      <w:lvlText w:val="(%1)"/>
      <w:numFmt w:val="lowerRoman"/>
      <w:start w:val="3"/>
    </w:lvl>
    <w:lvl w:ilvl="1">
      <w:lvlJc w:val="left"/>
      <w:lvlText w:val="-"/>
      <w:numFmt w:val="bullet"/>
      <w:start w:val="1"/>
    </w:lvl>
  </w:abstractNum>
  <w:abstractNum w:abstractNumId="369">
    <w:nsid w:val="162EB70D"/>
    <w:multiLevelType w:val="hybridMultilevel"/>
    <w:lvl w:ilvl="0">
      <w:lvlJc w:val="left"/>
      <w:lvlText w:val="(%1)"/>
      <w:numFmt w:val="lowerRoman"/>
      <w:start w:val="4"/>
    </w:lvl>
    <w:lvl w:ilvl="1">
      <w:lvlJc w:val="left"/>
      <w:lvlText w:val="-"/>
      <w:numFmt w:val="bullet"/>
      <w:start w:val="1"/>
    </w:lvl>
  </w:abstractNum>
  <w:abstractNum w:abstractNumId="370">
    <w:nsid w:val="78070222"/>
    <w:multiLevelType w:val="hybridMultilevel"/>
    <w:lvl w:ilvl="0">
      <w:lvlJc w:val="left"/>
      <w:lvlText w:val="(%1)"/>
      <w:numFmt w:val="lowerLetter"/>
      <w:start w:val="1"/>
    </w:lvl>
  </w:abstractNum>
  <w:abstractNum w:abstractNumId="371">
    <w:nsid w:val="6163ED0D"/>
    <w:multiLevelType w:val="hybridMultilevel"/>
    <w:lvl w:ilvl="0">
      <w:lvlJc w:val="left"/>
      <w:lvlText w:val="%1"/>
      <w:numFmt w:val="lowerRoman"/>
      <w:start w:val="1"/>
    </w:lvl>
    <w:lvl w:ilvl="1">
      <w:lvlJc w:val="left"/>
      <w:lvlText w:val="(%2)"/>
      <w:numFmt w:val="lowerLetter"/>
      <w:start w:val="3"/>
    </w:lvl>
  </w:abstractNum>
  <w:abstractNum w:abstractNumId="372">
    <w:nsid w:val="C600E47"/>
    <w:multiLevelType w:val="hybridMultilevel"/>
    <w:lvl w:ilvl="0">
      <w:lvlJc w:val="left"/>
      <w:lvlText w:val="(%1)"/>
      <w:numFmt w:val="lowerRoman"/>
      <w:start w:val="7"/>
    </w:lvl>
    <w:lvl w:ilvl="1">
      <w:lvlJc w:val="left"/>
      <w:lvlText w:val="%2"/>
      <w:numFmt w:val="lowerLetter"/>
      <w:start w:val="1"/>
    </w:lvl>
  </w:abstractNum>
  <w:abstractNum w:abstractNumId="373">
    <w:nsid w:val="7D94F75D"/>
    <w:multiLevelType w:val="hybridMultilevel"/>
    <w:lvl w:ilvl="0">
      <w:lvlJc w:val="left"/>
      <w:lvlText w:val="(%1)"/>
      <w:numFmt w:val="lowerRoman"/>
      <w:start w:val="7"/>
    </w:lvl>
    <w:lvl w:ilvl="1">
      <w:lvlJc w:val="left"/>
      <w:lvlText w:val="-"/>
      <w:numFmt w:val="bullet"/>
      <w:start w:val="1"/>
    </w:lvl>
  </w:abstractNum>
  <w:abstractNum w:abstractNumId="374">
    <w:nsid w:val="6C31E7CD"/>
    <w:multiLevelType w:val="hybridMultilevel"/>
    <w:lvl w:ilvl="0">
      <w:lvlJc w:val="left"/>
      <w:lvlText w:val="(%1)"/>
      <w:numFmt w:val="lowerRoman"/>
      <w:start w:val="8"/>
    </w:lvl>
    <w:lvl w:ilvl="1">
      <w:lvlJc w:val="left"/>
      <w:lvlText w:val="-"/>
      <w:numFmt w:val="bullet"/>
      <w:start w:val="1"/>
    </w:lvl>
  </w:abstractNum>
  <w:abstractNum w:abstractNumId="375">
    <w:nsid w:val="2BB7929B"/>
    <w:multiLevelType w:val="hybridMultilevel"/>
    <w:lvl w:ilvl="0">
      <w:lvlJc w:val="left"/>
      <w:lvlText w:val="(%1)"/>
      <w:numFmt w:val="lowerRoman"/>
      <w:start w:val="1"/>
    </w:lvl>
  </w:abstractNum>
  <w:abstractNum w:abstractNumId="376">
    <w:nsid w:val="58A2A487"/>
    <w:multiLevelType w:val="hybridMultilevel"/>
    <w:lvl w:ilvl="0">
      <w:lvlJc w:val="left"/>
      <w:lvlText w:val="(%1)"/>
      <w:numFmt w:val="lowerRoman"/>
      <w:start w:val="2"/>
    </w:lvl>
  </w:abstractNum>
  <w:abstractNum w:abstractNumId="377">
    <w:nsid w:val="3A6F0E78"/>
    <w:multiLevelType w:val="hybridMultilevel"/>
    <w:lvl w:ilvl="0">
      <w:lvlJc w:val="left"/>
      <w:lvlText w:val="(%1)"/>
      <w:numFmt w:val="lowerLetter"/>
      <w:start w:val="1"/>
    </w:lvl>
    <w:lvl w:ilvl="1">
      <w:lvlJc w:val="left"/>
      <w:lvlText w:val="(%2)"/>
      <w:numFmt w:val="lowerRoman"/>
      <w:start w:val="1"/>
    </w:lvl>
  </w:abstractNum>
  <w:abstractNum w:abstractNumId="378">
    <w:nsid w:val="379A5B56"/>
    <w:multiLevelType w:val="hybridMultilevel"/>
    <w:lvl w:ilvl="0">
      <w:lvlJc w:val="left"/>
      <w:lvlText w:val="(%1)"/>
      <w:numFmt w:val="lowerLetter"/>
      <w:start w:val="2"/>
    </w:lvl>
  </w:abstractNum>
  <w:abstractNum w:abstractNumId="379">
    <w:nsid w:val="53B735D5"/>
    <w:multiLevelType w:val="hybridMultilevel"/>
    <w:lvl w:ilvl="0">
      <w:lvlJc w:val="left"/>
      <w:lvlText w:val="-"/>
      <w:numFmt w:val="bullet"/>
      <w:start w:val="1"/>
    </w:lvl>
  </w:abstractNum>
  <w:abstractNum w:abstractNumId="380">
    <w:nsid w:val="29784870"/>
    <w:multiLevelType w:val="hybridMultilevel"/>
    <w:lvl w:ilvl="0">
      <w:lvlJc w:val="left"/>
      <w:lvlText w:val="-"/>
      <w:numFmt w:val="bullet"/>
      <w:start w:val="1"/>
    </w:lvl>
  </w:abstractNum>
  <w:abstractNum w:abstractNumId="381">
    <w:nsid w:val="4CDCED4C"/>
    <w:multiLevelType w:val="hybridMultilevel"/>
    <w:lvl w:ilvl="0">
      <w:lvlJc w:val="left"/>
      <w:lvlText w:val="(%1)"/>
      <w:numFmt w:val="lowerLetter"/>
      <w:start w:val="1"/>
    </w:lvl>
    <w:lvl w:ilvl="1">
      <w:lvlJc w:val="left"/>
      <w:lvlText w:val="(%2)"/>
      <w:numFmt w:val="lowerRoman"/>
      <w:start w:val="1"/>
    </w:lvl>
  </w:abstractNum>
  <w:abstractNum w:abstractNumId="382">
    <w:nsid w:val="10A30D9C"/>
    <w:multiLevelType w:val="hybridMultilevel"/>
    <w:lvl w:ilvl="0">
      <w:lvlJc w:val="left"/>
      <w:lvlText w:val="(%1)"/>
      <w:numFmt w:val="lowerRoman"/>
      <w:start w:val="4"/>
    </w:lvl>
  </w:abstractNum>
  <w:abstractNum w:abstractNumId="383">
    <w:nsid w:val="A66E486"/>
    <w:multiLevelType w:val="hybridMultilevel"/>
    <w:lvl w:ilvl="0">
      <w:lvlJc w:val="left"/>
      <w:lvlText w:val="(%1)"/>
      <w:numFmt w:val="lowerLetter"/>
      <w:start w:val="1"/>
    </w:lvl>
  </w:abstractNum>
  <w:abstractNum w:abstractNumId="384">
    <w:nsid w:val="306235EA"/>
    <w:multiLevelType w:val="hybridMultilevel"/>
    <w:lvl w:ilvl="0">
      <w:lvlJc w:val="left"/>
      <w:lvlText w:val="(%1)"/>
      <w:numFmt w:val="lowerLetter"/>
      <w:start w:val="2"/>
    </w:lvl>
  </w:abstractNum>
  <w:abstractNum w:abstractNumId="385">
    <w:nsid w:val="1187C70F"/>
    <w:multiLevelType w:val="hybridMultilevel"/>
    <w:lvl w:ilvl="0">
      <w:lvlJc w:val="left"/>
      <w:lvlText w:val="%1."/>
      <w:numFmt w:val="decimal"/>
      <w:start w:val="1"/>
    </w:lvl>
  </w:abstractNum>
  <w:abstractNum w:abstractNumId="386">
    <w:nsid w:val="5476DE98"/>
    <w:multiLevelType w:val="hybridMultilevel"/>
    <w:lvl w:ilvl="0">
      <w:lvlJc w:val="left"/>
      <w:lvlText w:val="%1."/>
      <w:numFmt w:val="decimal"/>
      <w:start w:val="11"/>
    </w:lvl>
  </w:abstractNum>
  <w:abstractNum w:abstractNumId="387">
    <w:nsid w:val="EA697F2"/>
    <w:multiLevelType w:val="hybridMultilevel"/>
    <w:lvl w:ilvl="0">
      <w:lvlJc w:val="left"/>
      <w:lvlText w:val="(%1)"/>
      <w:numFmt w:val="lowerRoman"/>
      <w:start w:val="1"/>
    </w:lvl>
  </w:abstractNum>
  <w:abstractNum w:abstractNumId="388">
    <w:nsid w:val="70BA39EB"/>
    <w:multiLevelType w:val="hybridMultilevel"/>
    <w:lvl w:ilvl="0">
      <w:lvlJc w:val="left"/>
      <w:lvlText w:val="(%1)"/>
      <w:numFmt w:val="lowerRoman"/>
      <w:start w:val="1"/>
    </w:lvl>
  </w:abstractNum>
  <w:abstractNum w:abstractNumId="389">
    <w:nsid w:val="4A8DB59C"/>
    <w:multiLevelType w:val="hybridMultilevel"/>
    <w:lvl w:ilvl="0">
      <w:lvlJc w:val="left"/>
      <w:lvlText w:val="(%1)"/>
      <w:numFmt w:val="lowerLetter"/>
      <w:start w:val="1"/>
    </w:lvl>
    <w:lvl w:ilvl="1">
      <w:lvlJc w:val="left"/>
      <w:lvlText w:val="(%2)"/>
      <w:numFmt w:val="lowerLetter"/>
      <w:start w:val="9"/>
    </w:lvl>
  </w:abstractNum>
  <w:abstractNum w:abstractNumId="390">
    <w:nsid w:val="1AFD9053"/>
    <w:multiLevelType w:val="hybridMultilevel"/>
    <w:lvl w:ilvl="0">
      <w:lvlJc w:val="left"/>
      <w:lvlText w:val="%1"/>
      <w:numFmt w:val="lowerLetter"/>
      <w:start w:val="1"/>
    </w:lvl>
    <w:lvl w:ilvl="1">
      <w:lvlJc w:val="left"/>
      <w:lvlText w:val="(%2)"/>
      <w:numFmt w:val="lowerRoman"/>
      <w:start w:val="2"/>
    </w:lvl>
  </w:abstractNum>
  <w:abstractNum w:abstractNumId="391">
    <w:nsid w:val="558BB10D"/>
    <w:multiLevelType w:val="hybridMultilevel"/>
    <w:lvl w:ilvl="0">
      <w:lvlJc w:val="left"/>
      <w:lvlText w:val="(%1)"/>
      <w:numFmt w:val="lowerLetter"/>
      <w:start w:val="2"/>
    </w:lvl>
    <w:lvl w:ilvl="1">
      <w:lvlJc w:val="left"/>
      <w:lvlText w:val="(%2)"/>
      <w:numFmt w:val="lowerRoman"/>
      <w:start w:val="1"/>
    </w:lvl>
  </w:abstractNum>
  <w:abstractNum w:abstractNumId="392">
    <w:nsid w:val="43B27FA7"/>
    <w:multiLevelType w:val="hybridMultilevel"/>
    <w:lvl w:ilvl="0">
      <w:lvlJc w:val="left"/>
      <w:lvlText w:val="(%1)"/>
      <w:numFmt w:val="lowerRoman"/>
      <w:start w:val="1"/>
    </w:lvl>
  </w:abstractNum>
  <w:abstractNum w:abstractNumId="393">
    <w:nsid w:val="27FADEFA"/>
    <w:multiLevelType w:val="hybridMultilevel"/>
    <w:lvl w:ilvl="0">
      <w:lvlJc w:val="left"/>
      <w:lvlText w:val="(%1)"/>
      <w:numFmt w:val="lowerRoman"/>
      <w:start w:val="1"/>
    </w:lvl>
  </w:abstractNum>
  <w:abstractNum w:abstractNumId="394">
    <w:nsid w:val="78BB805A"/>
    <w:multiLevelType w:val="hybridMultilevel"/>
    <w:lvl w:ilvl="0">
      <w:lvlJc w:val="left"/>
      <w:lvlText w:val="(%1)"/>
      <w:numFmt w:val="lowerRoman"/>
      <w:start w:val="1"/>
    </w:lvl>
  </w:abstractNum>
  <w:abstractNum w:abstractNumId="395">
    <w:nsid w:val="62548FD8"/>
    <w:multiLevelType w:val="hybridMultilevel"/>
    <w:lvl w:ilvl="0">
      <w:lvlJc w:val="left"/>
      <w:lvlText w:val="(%1)"/>
      <w:numFmt w:val="lowerLetter"/>
      <w:start w:val="1"/>
    </w:lvl>
  </w:abstractNum>
  <w:abstractNum w:abstractNumId="396">
    <w:nsid w:val="FA085B0"/>
    <w:multiLevelType w:val="hybridMultilevel"/>
    <w:lvl w:ilvl="0">
      <w:lvlJc w:val="left"/>
      <w:lvlText w:val="(%1)"/>
      <w:numFmt w:val="lowerLetter"/>
      <w:start w:val="1"/>
    </w:lvl>
  </w:abstractNum>
  <w:abstractNum w:abstractNumId="397">
    <w:nsid w:val="4E5DCB5"/>
    <w:multiLevelType w:val="hybridMultilevel"/>
    <w:lvl w:ilvl="0">
      <w:lvlJc w:val="left"/>
      <w:lvlText w:val="(%1)"/>
      <w:numFmt w:val="lowerRoman"/>
      <w:start w:val="3"/>
    </w:lvl>
  </w:abstractNum>
  <w:abstractNum w:abstractNumId="398">
    <w:nsid w:val="41E96BDB"/>
    <w:multiLevelType w:val="hybridMultilevel"/>
    <w:lvl w:ilvl="0">
      <w:lvlJc w:val="left"/>
      <w:lvlText w:val="(%1)"/>
      <w:numFmt w:val="lowerLetter"/>
      <w:start w:val="1"/>
    </w:lvl>
  </w:abstractNum>
  <w:abstractNum w:abstractNumId="399">
    <w:nsid w:val="331C4250"/>
    <w:multiLevelType w:val="hybridMultilevel"/>
    <w:lvl w:ilvl="0">
      <w:lvlJc w:val="left"/>
      <w:lvlText w:val="(%1)"/>
      <w:numFmt w:val="lowerRoman"/>
      <w:start w:val="1"/>
    </w:lvl>
  </w:abstractNum>
  <w:abstractNum w:abstractNumId="400">
    <w:nsid w:val="1B1493C2"/>
    <w:multiLevelType w:val="hybridMultilevel"/>
    <w:lvl w:ilvl="0">
      <w:lvlJc w:val="left"/>
      <w:lvlText w:val="(%1)"/>
      <w:numFmt w:val="lowerRoman"/>
      <w:start w:val="1"/>
    </w:lvl>
  </w:abstractNum>
  <w:abstractNum w:abstractNumId="401">
    <w:nsid w:val="39F06DFD"/>
    <w:multiLevelType w:val="hybridMultilevel"/>
    <w:lvl w:ilvl="0">
      <w:lvlJc w:val="left"/>
      <w:lvlText w:val="(%1)"/>
      <w:numFmt w:val="lowerRoman"/>
      <w:start w:val="1"/>
    </w:lvl>
  </w:abstractNum>
  <w:abstractNum w:abstractNumId="402">
    <w:nsid w:val="14802F5D"/>
    <w:multiLevelType w:val="hybridMultilevel"/>
    <w:lvl w:ilvl="0">
      <w:lvlJc w:val="left"/>
      <w:lvlText w:val="(%1)"/>
      <w:numFmt w:val="lowerRoman"/>
      <w:start w:val="2"/>
    </w:lvl>
  </w:abstractNum>
  <w:abstractNum w:abstractNumId="403">
    <w:nsid w:val="2774A209"/>
    <w:multiLevelType w:val="hybridMultilevel"/>
    <w:lvl w:ilvl="0">
      <w:lvlJc w:val="left"/>
      <w:lvlText w:val="(%1)"/>
      <w:numFmt w:val="lowerRoman"/>
      <w:start w:val="1"/>
    </w:lvl>
  </w:abstractNum>
  <w:abstractNum w:abstractNumId="404">
    <w:nsid w:val="3785655A"/>
    <w:multiLevelType w:val="hybridMultilevel"/>
    <w:lvl w:ilvl="0">
      <w:lvlJc w:val="left"/>
      <w:lvlText w:val="(%1)"/>
      <w:numFmt w:val="lowerRoman"/>
      <w:start w:val="7"/>
    </w:lvl>
  </w:abstractNum>
  <w:abstractNum w:abstractNumId="405">
    <w:nsid w:val="B2172A"/>
    <w:multiLevelType w:val="hybridMultilevel"/>
    <w:lvl w:ilvl="0">
      <w:lvlJc w:val="left"/>
      <w:lvlText w:val="-"/>
      <w:numFmt w:val="bullet"/>
      <w:start w:val="1"/>
    </w:lvl>
  </w:abstractNum>
  <w:abstractNum w:abstractNumId="406">
    <w:nsid w:val="532C34A5"/>
    <w:multiLevelType w:val="hybridMultilevel"/>
    <w:lvl w:ilvl="0">
      <w:lvlJc w:val="left"/>
      <w:lvlText w:val="-"/>
      <w:numFmt w:val="bullet"/>
      <w:start w:val="1"/>
    </w:lvl>
  </w:abstractNum>
  <w:abstractNum w:abstractNumId="407">
    <w:nsid w:val="102809E2"/>
    <w:multiLevelType w:val="hybridMultilevel"/>
    <w:lvl w:ilvl="0">
      <w:lvlJc w:val="left"/>
      <w:lvlText w:val="(%1)"/>
      <w:numFmt w:val="lowerRoman"/>
      <w:start w:val="1"/>
    </w:lvl>
  </w:abstractNum>
  <w:abstractNum w:abstractNumId="408">
    <w:nsid w:val="3B2125A3"/>
    <w:multiLevelType w:val="hybridMultilevel"/>
    <w:lvl w:ilvl="0">
      <w:lvlJc w:val="left"/>
      <w:lvlText w:val="(%1)"/>
      <w:numFmt w:val="lowerLetter"/>
      <w:start w:val="35"/>
    </w:lvl>
    <w:lvl w:ilvl="1">
      <w:lvlJc w:val="left"/>
      <w:lvlText w:val="(%2)"/>
      <w:numFmt w:val="lowerLetter"/>
      <w:start w:val="1"/>
    </w:lvl>
  </w:abstractNum>
  <w:abstractNum w:abstractNumId="409">
    <w:nsid w:val="AC68FFB"/>
    <w:multiLevelType w:val="hybridMultilevel"/>
    <w:lvl w:ilvl="0">
      <w:lvlJc w:val="left"/>
      <w:lvlText w:val="(%1)"/>
      <w:numFmt w:val="lowerRoman"/>
      <w:start w:val="3"/>
    </w:lvl>
  </w:abstractNum>
  <w:abstractNum w:abstractNumId="410">
    <w:nsid w:val="63DF3FB7"/>
    <w:multiLevelType w:val="hybridMultilevel"/>
    <w:lvl w:ilvl="0">
      <w:lvlJc w:val="left"/>
      <w:lvlText w:val="(%1)"/>
      <w:numFmt w:val="lowerRoman"/>
      <w:start w:val="11"/>
    </w:lvl>
  </w:abstractNum>
  <w:abstractNum w:abstractNumId="411">
    <w:nsid w:val="64996E13"/>
    <w:multiLevelType w:val="hybridMultilevel"/>
    <w:lvl w:ilvl="0">
      <w:lvlJc w:val="left"/>
      <w:lvlText w:val="(%1)"/>
      <w:numFmt w:val="lowerRoman"/>
      <w:start w:val="1"/>
    </w:lvl>
    <w:lvl w:ilvl="1">
      <w:lvlJc w:val="left"/>
      <w:lvlText w:val="(%2)"/>
      <w:numFmt w:val="lowerLetter"/>
      <w:start w:val="1"/>
    </w:lvl>
  </w:abstractNum>
  <w:abstractNum w:abstractNumId="412">
    <w:nsid w:val="57A37D47"/>
    <w:multiLevelType w:val="hybridMultilevel"/>
    <w:lvl w:ilvl="0">
      <w:lvlJc w:val="left"/>
      <w:lvlText w:val="(%1)"/>
      <w:numFmt w:val="lowerRoman"/>
      <w:start w:val="5"/>
    </w:lvl>
  </w:abstractNum>
  <w:abstractNum w:abstractNumId="413">
    <w:nsid w:val="74824D54"/>
    <w:multiLevelType w:val="hybridMultilevel"/>
    <w:lvl w:ilvl="0">
      <w:lvlJc w:val="left"/>
      <w:lvlText w:val="(%1)"/>
      <w:numFmt w:val="lowerRoman"/>
      <w:start w:val="10"/>
    </w:lvl>
  </w:abstractNum>
  <w:abstractNum w:abstractNumId="414">
    <w:nsid w:val="6F00529A"/>
    <w:multiLevelType w:val="hybridMultilevel"/>
    <w:lvl w:ilvl="0">
      <w:lvlJc w:val="left"/>
      <w:lvlText w:val="(%1)"/>
      <w:numFmt w:val="lowerRoman"/>
      <w:start w:val="11"/>
    </w:lvl>
  </w:abstractNum>
  <w:abstractNum w:abstractNumId="415">
    <w:nsid w:val="805B331"/>
    <w:multiLevelType w:val="hybridMultilevel"/>
    <w:lvl w:ilvl="0">
      <w:lvlJc w:val="left"/>
      <w:lvlText w:val="(%1)"/>
      <w:numFmt w:val="lowerLetter"/>
      <w:start w:val="1"/>
    </w:lvl>
  </w:abstractNum>
  <w:abstractNum w:abstractNumId="416">
    <w:nsid w:val="60A1463"/>
    <w:multiLevelType w:val="hybridMultilevel"/>
    <w:lvl w:ilvl="0">
      <w:lvlJc w:val="left"/>
      <w:lvlText w:val="(%1)"/>
      <w:numFmt w:val="lowerLetter"/>
      <w:start w:val="5"/>
    </w:lvl>
  </w:abstractNum>
  <w:abstractNum w:abstractNumId="417">
    <w:nsid w:val="43773132"/>
    <w:multiLevelType w:val="hybridMultilevel"/>
    <w:lvl w:ilvl="0">
      <w:lvlJc w:val="left"/>
      <w:lvlText w:val="(%1)"/>
      <w:numFmt w:val="lowerLetter"/>
      <w:start w:val="1"/>
    </w:lvl>
  </w:abstractNum>
  <w:abstractNum w:abstractNumId="418">
    <w:nsid w:val="16AC4B23"/>
    <w:multiLevelType w:val="hybridMultilevel"/>
    <w:lvl w:ilvl="0">
      <w:lvlJc w:val="left"/>
      <w:lvlText w:val="(%1)"/>
      <w:numFmt w:val="lowerLetter"/>
      <w:start w:val="4"/>
    </w:lvl>
  </w:abstractNum>
  <w:abstractNum w:abstractNumId="419">
    <w:nsid w:val="76C44E4E"/>
    <w:multiLevelType w:val="hybridMultilevel"/>
    <w:lvl w:ilvl="0">
      <w:lvlJc w:val="left"/>
      <w:lvlText w:val="(%1)"/>
      <w:numFmt w:val="lowerLetter"/>
      <w:start w:val="1"/>
    </w:lvl>
    <w:lvl w:ilvl="1">
      <w:lvlJc w:val="left"/>
      <w:lvlText w:val="(%2)"/>
      <w:numFmt w:val="decimal"/>
      <w:start w:val="1"/>
    </w:lvl>
  </w:abstractNum>
  <w:abstractNum w:abstractNumId="420">
    <w:nsid w:val="E04E6CE"/>
    <w:multiLevelType w:val="hybridMultilevel"/>
    <w:lvl w:ilvl="0">
      <w:lvlJc w:val="left"/>
      <w:lvlText w:val="(%1)"/>
      <w:numFmt w:val="lowerLetter"/>
      <w:start w:val="3"/>
    </w:lvl>
    <w:lvl w:ilvl="1">
      <w:lvlJc w:val="left"/>
      <w:lvlText w:val="(%2)"/>
      <w:numFmt w:val="decimal"/>
      <w:start w:val="1"/>
    </w:lvl>
  </w:abstractNum>
  <w:abstractNum w:abstractNumId="421">
    <w:nsid w:val="31A9DB76"/>
    <w:multiLevelType w:val="hybridMultilevel"/>
    <w:lvl w:ilvl="0">
      <w:lvlJc w:val="left"/>
      <w:lvlText w:val="(%1)"/>
      <w:numFmt w:val="lowerLetter"/>
      <w:start w:val="1"/>
    </w:lvl>
  </w:abstractNum>
  <w:abstractNum w:abstractNumId="422">
    <w:nsid w:val="4C4FFF5B"/>
    <w:multiLevelType w:val="hybridMultilevel"/>
    <w:lvl w:ilvl="0">
      <w:lvlJc w:val="left"/>
      <w:lvlText w:val="(%1)"/>
      <w:numFmt w:val="lowerLetter"/>
      <w:start w:val="1"/>
    </w:lvl>
  </w:abstractNum>
  <w:abstractNum w:abstractNumId="423">
    <w:nsid w:val="51B76675"/>
    <w:multiLevelType w:val="hybridMultilevel"/>
    <w:lvl w:ilvl="0">
      <w:lvlJc w:val="left"/>
      <w:lvlText w:val="(%1)"/>
      <w:numFmt w:val="lowerLetter"/>
      <w:start w:val="1"/>
    </w:lvl>
  </w:abstractNum>
  <w:abstractNum w:abstractNumId="424">
    <w:nsid w:val="59A4BA71"/>
    <w:multiLevelType w:val="hybridMultilevel"/>
    <w:lvl w:ilvl="0">
      <w:lvlJc w:val="left"/>
      <w:lvlText w:val="(%1)"/>
      <w:numFmt w:val="lowerLetter"/>
      <w:start w:val="4"/>
    </w:lvl>
  </w:abstractNum>
  <w:abstractNum w:abstractNumId="425">
    <w:nsid w:val="450B7FB6"/>
    <w:multiLevelType w:val="hybridMultilevel"/>
    <w:lvl w:ilvl="0">
      <w:lvlJc w:val="left"/>
      <w:lvlText w:val="(%1)"/>
      <w:numFmt w:val="lowerLetter"/>
      <w:start w:val="6"/>
    </w:lvl>
  </w:abstractNum>
  <w:abstractNum w:abstractNumId="426">
    <w:nsid w:val="340BF64D"/>
    <w:multiLevelType w:val="hybridMultilevel"/>
    <w:lvl w:ilvl="0">
      <w:lvlJc w:val="left"/>
      <w:lvlText w:val="(%1)"/>
      <w:numFmt w:val="decimal"/>
      <w:start w:val="2"/>
    </w:lvl>
  </w:abstractNum>
  <w:abstractNum w:abstractNumId="427">
    <w:nsid w:val="69454021"/>
    <w:multiLevelType w:val="hybridMultilevel"/>
    <w:lvl w:ilvl="0">
      <w:lvlJc w:val="left"/>
      <w:lvlText w:val="(%1)"/>
      <w:numFmt w:val="lowerRoman"/>
      <w:start w:val="1"/>
    </w:lvl>
  </w:abstractNum>
  <w:abstractNum w:abstractNumId="428">
    <w:nsid w:val="49F15C6B"/>
    <w:multiLevelType w:val="hybridMultilevel"/>
    <w:lvl w:ilvl="0">
      <w:lvlJc w:val="left"/>
      <w:lvlText w:val="(%1)"/>
      <w:numFmt w:val="lowerLetter"/>
      <w:start w:val="2"/>
    </w:lvl>
  </w:abstractNum>
  <w:abstractNum w:abstractNumId="429">
    <w:nsid w:val="75F5622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30">
    <w:nsid w:val="1C618271"/>
    <w:multiLevelType w:val="hybridMultilevel"/>
    <w:lvl w:ilvl="0">
      <w:lvlJc w:val="left"/>
      <w:lvlText w:val="(%1)"/>
      <w:numFmt w:val="decimal"/>
      <w:start w:val="3"/>
    </w:lvl>
  </w:abstractNum>
  <w:abstractNum w:abstractNumId="431">
    <w:nsid w:val="6505F02E"/>
    <w:multiLevelType w:val="hybridMultilevel"/>
    <w:lvl w:ilvl="0">
      <w:lvlJc w:val="left"/>
      <w:lvlText w:val="(%1)"/>
      <w:numFmt w:val="lowerLetter"/>
      <w:start w:val="1"/>
    </w:lvl>
  </w:abstractNum>
  <w:abstractNum w:abstractNumId="432">
    <w:nsid w:val="2FE5D025"/>
    <w:multiLevelType w:val="hybridMultilevel"/>
    <w:lvl w:ilvl="0">
      <w:lvlJc w:val="left"/>
      <w:lvlText w:val="(%1)"/>
      <w:numFmt w:val="lowerLetter"/>
      <w:start w:val="3"/>
    </w:lvl>
  </w:abstractNum>
  <w:abstractNum w:abstractNumId="433">
    <w:nsid w:val="30E1B1CF"/>
    <w:multiLevelType w:val="hybridMultilevel"/>
    <w:lvl w:ilvl="0">
      <w:lvlJc w:val="left"/>
      <w:lvlText w:val="(%1)"/>
      <w:numFmt w:val="lowerLetter"/>
      <w:start w:val="1"/>
    </w:lvl>
  </w:abstractNum>
  <w:abstractNum w:abstractNumId="434">
    <w:nsid w:val="C7A9237"/>
    <w:multiLevelType w:val="hybridMultilevel"/>
    <w:lvl w:ilvl="0">
      <w:lvlJc w:val="left"/>
      <w:lvlText w:val="(%1)"/>
      <w:numFmt w:val="lowerLetter"/>
      <w:start w:val="1"/>
    </w:lvl>
  </w:abstractNum>
  <w:abstractNum w:abstractNumId="435">
    <w:nsid w:val="676B3580"/>
    <w:multiLevelType w:val="hybridMultilevel"/>
    <w:lvl w:ilvl="0">
      <w:lvlJc w:val="left"/>
      <w:lvlText w:val="(%1)"/>
      <w:numFmt w:val="lowerLetter"/>
      <w:start w:val="1"/>
    </w:lvl>
  </w:abstractNum>
  <w:abstractNum w:abstractNumId="436">
    <w:nsid w:val="3193C8F9"/>
    <w:multiLevelType w:val="hybridMultilevel"/>
    <w:lvl w:ilvl="0">
      <w:lvlJc w:val="left"/>
      <w:lvlText w:val="(%1)"/>
      <w:numFmt w:val="decimal"/>
      <w:start w:val="1"/>
    </w:lvl>
  </w:abstractNum>
  <w:abstractNum w:abstractNumId="437">
    <w:nsid w:val="5FA6C6DC"/>
    <w:multiLevelType w:val="hybridMultilevel"/>
    <w:lvl w:ilvl="0">
      <w:lvlJc w:val="left"/>
      <w:lvlText w:val="(%1)"/>
      <w:numFmt w:val="decimal"/>
      <w:start w:val="2"/>
    </w:lvl>
  </w:abstractNum>
  <w:abstractNum w:abstractNumId="438">
    <w:nsid w:val="77933F62"/>
    <w:multiLevelType w:val="hybridMultilevel"/>
    <w:lvl w:ilvl="0">
      <w:lvlJc w:val="left"/>
      <w:lvlText w:val="%1."/>
      <w:numFmt w:val="decimal"/>
      <w:start w:val="1"/>
    </w:lvl>
    <w:lvl w:ilvl="1">
      <w:lvlJc w:val="left"/>
      <w:lvlText w:val="%2)"/>
      <w:numFmt w:val="lowerLetter"/>
      <w:start w:val="1"/>
    </w:lvl>
  </w:abstractNum>
  <w:abstractNum w:abstractNumId="439">
    <w:nsid w:val="6CB4EE9C"/>
    <w:multiLevelType w:val="hybridMultilevel"/>
    <w:lvl w:ilvl="0">
      <w:lvlJc w:val="left"/>
      <w:lvlText w:val="%1."/>
      <w:numFmt w:val="decimal"/>
      <w:start w:val="1"/>
    </w:lvl>
    <w:lvl w:ilvl="1">
      <w:lvlJc w:val="left"/>
      <w:lvlText w:val="%2)"/>
      <w:numFmt w:val="lowerLetter"/>
      <w:start w:val="1"/>
    </w:lvl>
  </w:abstractNum>
  <w:abstractNum w:abstractNumId="440">
    <w:nsid w:val="6A6D56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13" Type="http://schemas.openxmlformats.org/officeDocument/2006/relationships/image" Target="media/image398.png"/><Relationship Id="rId426"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62" Type="http://schemas.openxmlformats.org/officeDocument/2006/relationships/image" Target="media/image404.png"/><Relationship Id="rId463" Type="http://schemas.openxmlformats.org/officeDocument/2006/relationships/image" Target="media/image405.png"/><Relationship Id="rId464" Type="http://schemas.openxmlformats.org/officeDocument/2006/relationships/image" Target="media/image406.png"/><Relationship Id="rId465" Type="http://schemas.openxmlformats.org/officeDocument/2006/relationships/image" Target="media/image407.png"/><Relationship Id="rId466" Type="http://schemas.openxmlformats.org/officeDocument/2006/relationships/image" Target="media/image408.png"/><Relationship Id="rId467" Type="http://schemas.openxmlformats.org/officeDocument/2006/relationships/image" Target="media/image409.png"/><Relationship Id="rId468" Type="http://schemas.openxmlformats.org/officeDocument/2006/relationships/image" Target="media/image410.png"/><Relationship Id="rId469" Type="http://schemas.openxmlformats.org/officeDocument/2006/relationships/image" Target="media/image411.png"/><Relationship Id="rId470" Type="http://schemas.openxmlformats.org/officeDocument/2006/relationships/image" Target="media/image412.png"/><Relationship Id="rId471" Type="http://schemas.openxmlformats.org/officeDocument/2006/relationships/image" Target="media/image413.png"/><Relationship Id="rId472" Type="http://schemas.openxmlformats.org/officeDocument/2006/relationships/image" Target="media/image414.png"/><Relationship Id="rId473" Type="http://schemas.openxmlformats.org/officeDocument/2006/relationships/image" Target="media/image415.png"/><Relationship Id="rId474" Type="http://schemas.openxmlformats.org/officeDocument/2006/relationships/image" Target="media/image416.png"/><Relationship Id="rId475" Type="http://schemas.openxmlformats.org/officeDocument/2006/relationships/image" Target="media/image417.png"/><Relationship Id="rId476" Type="http://schemas.openxmlformats.org/officeDocument/2006/relationships/image" Target="media/image418.png"/><Relationship Id="rId477" Type="http://schemas.openxmlformats.org/officeDocument/2006/relationships/image" Target="media/image419.png"/><Relationship Id="rId478" Type="http://schemas.openxmlformats.org/officeDocument/2006/relationships/image" Target="media/image420.png"/><Relationship Id="rId479" Type="http://schemas.openxmlformats.org/officeDocument/2006/relationships/image" Target="media/image421.png"/><Relationship Id="rId480" Type="http://schemas.openxmlformats.org/officeDocument/2006/relationships/image" Target="media/image422.png"/><Relationship Id="rId481" Type="http://schemas.openxmlformats.org/officeDocument/2006/relationships/image" Target="media/image423.png"/><Relationship Id="rId482" Type="http://schemas.openxmlformats.org/officeDocument/2006/relationships/image" Target="media/image424.png"/><Relationship Id="rId483" Type="http://schemas.openxmlformats.org/officeDocument/2006/relationships/image" Target="media/image425.png"/><Relationship Id="rId484" Type="http://schemas.openxmlformats.org/officeDocument/2006/relationships/image" Target="media/image426.png"/><Relationship Id="rId485" Type="http://schemas.openxmlformats.org/officeDocument/2006/relationships/image" Target="media/image427.png"/><Relationship Id="rId486" Type="http://schemas.openxmlformats.org/officeDocument/2006/relationships/image" Target="media/image428.png"/><Relationship Id="rId405" Type="http://schemas.openxmlformats.org/officeDocument/2006/relationships/hyperlink" Target="https://www.sec.gov/Archives/edgar/data/42582/000095017024121152/gt-ex2_1.htm" TargetMode="External"/><Relationship Id="rId406" Type="http://schemas.openxmlformats.org/officeDocument/2006/relationships/hyperlink" Target="https://www.sec.gov/Archives/edgar/data/42582/000095017025066579/gt-ex2_1.htm" TargetMode="External"/><Relationship Id="rId407" Type="http://schemas.openxmlformats.org/officeDocument/2006/relationships/hyperlink" Target="https://www.sec.gov/Archives/edgar/data/42582/000095017025066579/gt-ex2_2.htm" TargetMode="External"/><Relationship Id="rId408" Type="http://schemas.openxmlformats.org/officeDocument/2006/relationships/hyperlink" Target="https://www.sec.gov/Archives/edgar/data/42582/000162828025039165/livecopygt-20250630xexx21.htm" TargetMode="External"/><Relationship Id="rId409" Type="http://schemas.openxmlformats.org/officeDocument/2006/relationships/hyperlink" Target="https://www.sec.gov/Archives/edgar/data/42582/000162828025039165/livecopygt-20250630xexx22.htm" TargetMode="External"/><Relationship Id="rId410" Type="http://schemas.openxmlformats.org/officeDocument/2006/relationships/hyperlink" Target="https://www.sec.gov/Archives/edgar/data/42582/000095017023018114/gt-ex3_1.htm" TargetMode="External"/><Relationship Id="rId411" Type="http://schemas.openxmlformats.org/officeDocument/2006/relationships/hyperlink" Target="https://www.sec.gov/Archives/edgar/data/42582/000119312522260678/d329651dex31.htm" TargetMode="External"/><Relationship Id="rId412" Type="http://schemas.openxmlformats.org/officeDocument/2006/relationships/hyperlink" Target="https://www.sec.gov/Archives/edgar/data/42582/000095015207004201/l26105aexv4w1.txt" TargetMode="External"/><Relationship Id="rId414" Type="http://schemas.openxmlformats.org/officeDocument/2006/relationships/hyperlink" Target="https://www.sec.gov/Archives/edgar/data/42582/0000950152-98-003336.txt" TargetMode="External"/><Relationship Id="rId415" Type="http://schemas.openxmlformats.org/officeDocument/2006/relationships/hyperlink" Target="https://www.sec.gov/Archives/edgar/data/24491/000002449199000042/0000024491-99-000042.txt" TargetMode="External"/><Relationship Id="rId416" Type="http://schemas.openxmlformats.org/officeDocument/2006/relationships/hyperlink" Target="https://www.sec.gov/Archives/edgar/data/42582/000095017023002558/gt-ex4_1.htm" TargetMode="External"/><Relationship Id="rId417" Type="http://schemas.openxmlformats.org/officeDocument/2006/relationships/hyperlink" Target="https://www.sec.gov/Archives/edgar/data/42582/000095012310077159/l40510exv4w1.htm" TargetMode="External"/><Relationship Id="rId418" Type="http://schemas.openxmlformats.org/officeDocument/2006/relationships/hyperlink" Target="https://www.sec.gov/Archives/edgar/data/42582/000119312517072576/d356399dex42.htm" TargetMode="External"/><Relationship Id="rId419" Type="http://schemas.openxmlformats.org/officeDocument/2006/relationships/hyperlink" Target="https://www.sec.gov/Archives/edgar/data/42582/000119312521107057/d148655dex42.htm" TargetMode="External"/><Relationship Id="rId420" Type="http://schemas.openxmlformats.org/officeDocument/2006/relationships/hyperlink" Target="https://www.sec.gov/Archives/edgar/data/42582/000119312521107057/d148655dex43.htm" TargetMode="External"/><Relationship Id="rId421" Type="http://schemas.openxmlformats.org/officeDocument/2006/relationships/hyperlink" Target="https://www.sec.gov/Archives/edgar/data/42582/000119312521165448/d401788dex42.htm" TargetMode="External"/><Relationship Id="rId422" Type="http://schemas.openxmlformats.org/officeDocument/2006/relationships/hyperlink" Target="https://www.sec.gov/Archives/edgar/data/42582/000119312521165448/d401788dex43.htm" TargetMode="External"/><Relationship Id="rId423" Type="http://schemas.openxmlformats.org/officeDocument/2006/relationships/hyperlink" Target="https://www.sec.gov/Archives/edgar/data/42582/000119312525133852/d69930dex42.htm" TargetMode="External"/><Relationship Id="rId424" Type="http://schemas.openxmlformats.org/officeDocument/2006/relationships/hyperlink" Target="https://www.sec.gov/Archives/edgar/data/42582/000119312521285565/d235300dex41.htm" TargetMode="External"/><Relationship Id="rId425" Type="http://schemas.openxmlformats.org/officeDocument/2006/relationships/hyperlink" Target="https://www.sec.gov/Archives/edgar/data/42582/000095017024014240/gt-ex4_1.htm" TargetMode="External"/><Relationship Id="rId427" Type="http://schemas.openxmlformats.org/officeDocument/2006/relationships/hyperlink" Target="https://www.sec.gov/Archives/edgar/data/42582/000162828025039165/livecopygt-20250630xexx101.htm" TargetMode="External"/><Relationship Id="rId428" Type="http://schemas.openxmlformats.org/officeDocument/2006/relationships/hyperlink" Target="https://www.sec.gov/Archives/edgar/data/42582/000162828025039165/livecopygt-20250630xexx102.htm" TargetMode="External"/><Relationship Id="rId429" Type="http://schemas.openxmlformats.org/officeDocument/2006/relationships/hyperlink" Target="https://www.sec.gov/Archives/edgar/data/42582/000095017022020726/gt-ex10_3.htm" TargetMode="External"/><Relationship Id="rId430" Type="http://schemas.openxmlformats.org/officeDocument/2006/relationships/hyperlink" Target="https://www.sec.gov/Archives/edgar/data/42582/000095015205003940/l13312aexv4w7.htm" TargetMode="External"/><Relationship Id="rId431" Type="http://schemas.openxmlformats.org/officeDocument/2006/relationships/hyperlink" Target="https://www.sec.gov/Archives/edgar/data/42582/000095015207003599/l25539aexv4w6.txt" TargetMode="External"/><Relationship Id="rId432" Type="http://schemas.openxmlformats.org/officeDocument/2006/relationships/hyperlink" Target="https://www.sec.gov/Archives/edgar/data/42582/000095012312002512/d265449dex10_1.htm" TargetMode="External"/><Relationship Id="rId433" Type="http://schemas.openxmlformats.org/officeDocument/2006/relationships/hyperlink" Target="https://www.sec.gov/Archives/edgar/data/42582/000095012315007799/d58668dex102.htm" TargetMode="External"/><Relationship Id="rId434" Type="http://schemas.openxmlformats.org/officeDocument/2006/relationships/hyperlink" Target="https://www.sec.gov/Archives/edgar/data/42582/000095012319003618/d738090dex102.htm" TargetMode="External"/><Relationship Id="rId435" Type="http://schemas.openxmlformats.org/officeDocument/2006/relationships/hyperlink" Target="https://www.sec.gov/Archives/edgar/data/42582/000095017022020726/gt-ex10_4.htm" TargetMode="External"/><Relationship Id="rId436" Type="http://schemas.openxmlformats.org/officeDocument/2006/relationships/hyperlink" Target="https://www.sec.gov/Archives/edgar/data/42582/000119312525082853/d928318dex101.htm" TargetMode="External"/><Relationship Id="rId437" Type="http://schemas.openxmlformats.org/officeDocument/2006/relationships/hyperlink" Target="https://www.sec.gov/Archives/edgar/data/42582/000119312524053163/d776927dex101.htm" TargetMode="External"/><Relationship Id="rId438" Type="http://schemas.openxmlformats.org/officeDocument/2006/relationships/hyperlink" Target="https://www.sec.gov/Archives/edgar/data/42582/000119312524053163/d776927dex102.htm" TargetMode="External"/><Relationship Id="rId441" Type="http://schemas.openxmlformats.org/officeDocument/2006/relationships/hyperlink" Target="https://www.sec.gov/Archives/edgar/data/42582/000119312524053163/d776927dex103.htm" TargetMode="External"/><Relationship Id="rId442" Type="http://schemas.openxmlformats.org/officeDocument/2006/relationships/hyperlink" Target="https://www.sec.gov/Archives/edgar/data/42582/000119312524053163/d776927dex104.htm" TargetMode="External"/><Relationship Id="rId443" Type="http://schemas.openxmlformats.org/officeDocument/2006/relationships/hyperlink" Target="https://www.sec.gov/Archives/edgar/data/42582/000119312524053163/d776927dex105.htm" TargetMode="External"/><Relationship Id="rId444" Type="http://schemas.openxmlformats.org/officeDocument/2006/relationships/hyperlink" Target="https://www.sec.gov/Archives/edgar/data/42582/000119312524053163/d776927dex106.htm" TargetMode="External"/><Relationship Id="rId445" Type="http://schemas.openxmlformats.org/officeDocument/2006/relationships/hyperlink" Target="https://www.sec.gov/Archives/edgar/data/42582/000119312524053163/d776927dex107.htm" TargetMode="External"/><Relationship Id="rId446" Type="http://schemas.openxmlformats.org/officeDocument/2006/relationships/hyperlink" Target="https://www.sec.gov/Archives/edgar/data/42582/000119312524053163/d776927dex108.htm" TargetMode="External"/><Relationship Id="rId447" Type="http://schemas.openxmlformats.org/officeDocument/2006/relationships/hyperlink" Target="https://www.sec.gov/Archives/edgar/data/42582/000119312524053163/d776927dex109.htm" TargetMode="External"/><Relationship Id="rId448" Type="http://schemas.openxmlformats.org/officeDocument/2006/relationships/hyperlink" Target="https://www.sec.gov/Archives/edgar/data/42582/000119312517123372/d375510dex101.htm" TargetMode="External"/><Relationship Id="rId449" Type="http://schemas.openxmlformats.org/officeDocument/2006/relationships/hyperlink" Target="https://www.sec.gov/Archives/edgar/data/42582/000119312513162989/d525588dex101.htm" TargetMode="External"/><Relationship Id="rId450" Type="http://schemas.openxmlformats.org/officeDocument/2006/relationships/hyperlink" Target="https://www.sec.gov/Archives/edgar/data/42582/000119312518346155/d659319dex101.htm" TargetMode="External"/><Relationship Id="rId451" Type="http://schemas.openxmlformats.org/officeDocument/2006/relationships/hyperlink" Target="https://www.sec.gov/Archives/edgar/data/42582/000119312521353895/d253133dex101.htm" TargetMode="External"/><Relationship Id="rId452" Type="http://schemas.openxmlformats.org/officeDocument/2006/relationships/hyperlink" Target="https://www.sec.gov/Archives/edgar/data/42582/000095015209001538/l35232aexv10w11.htm" TargetMode="External"/><Relationship Id="rId453" Type="http://schemas.openxmlformats.org/officeDocument/2006/relationships/hyperlink" Target="https://www.sec.gov/Archives/edgar/data/42582/000162828025048584/livecopygt-20250930xexx101.htm" TargetMode="External"/><Relationship Id="rId454" Type="http://schemas.openxmlformats.org/officeDocument/2006/relationships/hyperlink" Target="https://www.sec.gov/Archives/edgar/data/42582/000156459021004857/gt-ex101_919.htm" TargetMode="External"/><Relationship Id="rId455" Type="http://schemas.openxmlformats.org/officeDocument/2006/relationships/hyperlink" Target="https://www.sec.gov/Archives/edgar/data/42582/000119312525039404/d854260dex101.htm" TargetMode="External"/><Relationship Id="rId456" Type="http://schemas.openxmlformats.org/officeDocument/2006/relationships/hyperlink" Target="https://www.sec.gov/Archives/edgar/data/42582/000119312513093976/d497423dex101.htm" TargetMode="External"/><Relationship Id="rId459" Type="http://schemas.openxmlformats.org/officeDocument/2006/relationships/hyperlink" Target="https://www.sec.gov/Archives/edgar/data/42582/000119312524009655/d733884dex101.htm" TargetMode="External"/><Relationship Id="rId460" Type="http://schemas.openxmlformats.org/officeDocument/2006/relationships/hyperlink" Target="https://www.sec.gov/Archives/edgar/data/42582/000095017025020763/gt-ex19_1.htm" TargetMode="External"/><Relationship Id="rId461" Type="http://schemas.openxmlformats.org/officeDocument/2006/relationships/hyperlink" Target="https://www.sec.gov/Archives/edgar/data/42582/000095017024014240/g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2026-02-10T11:38:50Z</dcterms:created>
  <dcterms:modified xsi:type="dcterms:W3CDTF">2026-02-10T11:38:50Z</dcterms:modified>
</cp:coreProperties>
</file>