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(Exact Name of Registrant as Specified in Its Charter)</w:t>
            </w:r>
          </w:p>
        </w:tc>
        <w:tc>
          <w:tcPr>
            <w:tcW w:w="3540" w:type="dxa"/>
            <w:vAlign w:val="bottom"/>
          </w:tcPr>
          <w:p>
            <w:pPr>
              <w:spacing w:after="0"/>
              <w:rPr>
                <w:sz w:val="20"/>
                <w:szCs w:val="20"/>
                <w:color w:val="auto"/>
              </w:rPr>
            </w:pPr>
          </w:p>
        </w:tc>
      </w:tr>
      <w:tr>
        <w:trPr>
          <w:trHeight w:val="324"/>
        </w:trPr>
        <w:tc>
          <w:tcPr>
            <w:tcW w:w="47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r>
      <w:tr>
        <w:trPr>
          <w:trHeight w:val="229"/>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1"/>
              </w:rPr>
              <w:t>(State or Other Jurisdiction of</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474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r>
      <w:tr>
        <w:trPr>
          <w:trHeight w:val="243"/>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310"/>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1"/>
              </w:rPr>
              <w:t>(Registrant’s Telephone Number, Including Area Code)</w:t>
            </w:r>
          </w:p>
        </w:tc>
        <w:tc>
          <w:tcPr>
            <w:tcW w:w="3540" w:type="dxa"/>
            <w:vAlign w:val="bottom"/>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9"/>
              </w:rPr>
              <w:t>Symbol(s)</w:t>
            </w:r>
          </w:p>
        </w:tc>
        <w:tc>
          <w:tcPr>
            <w:tcW w:w="3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on which registered</w:t>
            </w:r>
          </w:p>
        </w:tc>
      </w:tr>
      <w:tr>
        <w:trPr>
          <w:trHeight w:val="230"/>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GT</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2"/>
              </w:rPr>
              <w:t>The Nasdaq Stock Market LLC</w:t>
            </w:r>
          </w:p>
        </w:tc>
      </w:tr>
    </w:tbl>
    <w:p>
      <w:pPr>
        <w:spacing w:after="0" w:line="9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4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50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298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Without Par Value, Outstanding at October 31, 2023:</w:t>
            </w:r>
          </w:p>
        </w:tc>
        <w:tc>
          <w:tcPr>
            <w:tcW w:w="2980" w:type="dxa"/>
            <w:vAlign w:val="bottom"/>
          </w:tcPr>
          <w:p>
            <w:pPr>
              <w:jc w:val="right"/>
              <w:spacing w:after="0"/>
              <w:rPr>
                <w:sz w:val="20"/>
                <w:szCs w:val="20"/>
                <w:color w:val="auto"/>
              </w:rPr>
            </w:pPr>
            <w:r>
              <w:rPr>
                <w:rFonts w:ascii="Arial" w:cs="Arial" w:eastAsia="Arial" w:hAnsi="Arial"/>
                <w:sz w:val="18"/>
                <w:szCs w:val="18"/>
                <w:color w:val="auto"/>
              </w:rPr>
              <w:t>283,548,460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1829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-10160</wp:posOffset>
            </wp:positionV>
            <wp:extent cx="1786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-10160</wp:posOffset>
            </wp:positionV>
            <wp:extent cx="2838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600"/>
        <w:spacing w:after="0" w:line="281" w:lineRule="auto"/>
        <w:rPr>
          <w:sz w:val="20"/>
          <w:szCs w:val="20"/>
          <w:color w:val="auto"/>
        </w:rPr>
      </w:pPr>
      <w:r>
        <w:rPr>
          <w:rFonts w:ascii="Arial" w:cs="Arial" w:eastAsia="Arial" w:hAnsi="Arial"/>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-340360</wp:posOffset>
            </wp:positionV>
            <wp:extent cx="6063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-186055</wp:posOffset>
            </wp:positionV>
            <wp:extent cx="4319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-31750</wp:posOffset>
            </wp:positionV>
            <wp:extent cx="2072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1633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-10160</wp:posOffset>
            </wp:positionV>
            <wp:extent cx="16122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-10160</wp:posOffset>
            </wp:positionV>
            <wp:extent cx="1297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-10160</wp:posOffset>
            </wp:positionV>
            <wp:extent cx="1618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861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EX-101.INS INSTANCE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EX-101.SCH SCHEMA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EX-101.CAL CALCULATION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EX-101.DEF DEFINITION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EX-101.LAB LABELS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EX-101.PRE PRESENTATION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25" w:right="14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2022</w:t>
            </w:r>
          </w:p>
        </w:tc>
      </w:tr>
      <w:tr>
        <w:trPr>
          <w:trHeight w:val="237"/>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 (Note 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5,142</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15,431</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4,171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4,305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12,443</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2,101</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Rationalizations (Note 3)</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331</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Other (Income) Expense (Note 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492</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United States and Foreign Tax Expense (Note 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r>
      <w:tr>
        <w:trPr>
          <w:trHeight w:val="24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314</w:t>
            </w:r>
          </w:p>
        </w:tc>
      </w:tr>
      <w:tr>
        <w:trPr>
          <w:trHeight w:val="237"/>
        </w:trPr>
        <w:tc>
          <w:tcPr>
            <w:tcW w:w="6200" w:type="dxa"/>
            <w:vAlign w:val="bottom"/>
          </w:tcPr>
          <w:p>
            <w:pPr>
              <w:ind w:left="200"/>
              <w:spacing w:after="0"/>
              <w:rPr>
                <w:sz w:val="20"/>
                <w:szCs w:val="20"/>
                <w:color w:val="auto"/>
              </w:rPr>
            </w:pPr>
            <w:r>
              <w:rPr>
                <w:rFonts w:ascii="Arial" w:cs="Arial" w:eastAsia="Arial" w:hAnsi="Arial"/>
                <w:sz w:val="18"/>
                <w:szCs w:val="18"/>
                <w:color w:val="auto"/>
              </w:rPr>
              <w:t>Less: Minority Shareholders’ Net Income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r>
      <w:tr>
        <w:trPr>
          <w:trHeight w:val="278"/>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Goodyear Net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(89 )</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(398 )</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306</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83"/>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(0.31 )</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0.16</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(1.40 )</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1.08</w:t>
            </w:r>
          </w:p>
        </w:tc>
      </w:tr>
      <w:tr>
        <w:trPr>
          <w:trHeight w:val="222"/>
        </w:trPr>
        <w:tc>
          <w:tcPr>
            <w:tcW w:w="62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 (Note 6)</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284</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r>
      <w:tr>
        <w:trPr>
          <w:trHeight w:val="285"/>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(0.31 )</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0.16</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(1.40 )</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1.07</w:t>
            </w:r>
          </w:p>
        </w:tc>
      </w:tr>
      <w:tr>
        <w:trPr>
          <w:trHeight w:val="215"/>
        </w:trPr>
        <w:tc>
          <w:tcPr>
            <w:tcW w:w="62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 (Note 6)</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286</w:t>
            </w: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-840105</wp:posOffset>
            </wp:positionV>
            <wp:extent cx="173164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-505460</wp:posOffset>
            </wp:positionV>
            <wp:extent cx="173164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1645"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-171450</wp:posOffset>
            </wp:positionV>
            <wp:extent cx="173164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1645" cy="17970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Foreign currency translation, net of tax of ($2) and $0 in 2023 (($9) and ($15) in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37"/>
        </w:trPr>
        <w:tc>
          <w:tcPr>
            <w:tcW w:w="6280" w:type="dxa"/>
            <w:vAlign w:val="bottom"/>
          </w:tcPr>
          <w:p>
            <w:pPr>
              <w:ind w:left="200"/>
              <w:spacing w:after="0"/>
              <w:rPr>
                <w:sz w:val="20"/>
                <w:szCs w:val="20"/>
                <w:color w:val="auto"/>
              </w:rPr>
            </w:pPr>
            <w:r>
              <w:rPr>
                <w:rFonts w:ascii="Arial" w:cs="Arial" w:eastAsia="Arial" w:hAnsi="Arial"/>
                <w:sz w:val="18"/>
                <w:szCs w:val="18"/>
                <w:color w:val="auto"/>
              </w:rPr>
              <w:t>Defined benefit plans: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4"/>
              </w:rPr>
              <w:t>Amortization of prior service cost and unrecognized gains and losses included</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total benefit cost, net of tax of $6 and $19 in 2023 ($8 and $23 in 2022)</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5"/>
        </w:trPr>
        <w:tc>
          <w:tcPr>
            <w:tcW w:w="6280" w:type="dxa"/>
            <w:vAlign w:val="bottom"/>
          </w:tcPr>
          <w:p>
            <w:pPr>
              <w:ind w:left="380"/>
              <w:spacing w:after="0"/>
              <w:rPr>
                <w:sz w:val="20"/>
                <w:szCs w:val="20"/>
                <w:color w:val="auto"/>
              </w:rPr>
            </w:pPr>
            <w:r>
              <w:rPr>
                <w:rFonts w:ascii="Arial" w:cs="Arial" w:eastAsia="Arial" w:hAnsi="Arial"/>
                <w:sz w:val="18"/>
                <w:szCs w:val="18"/>
                <w:color w:val="auto"/>
                <w:w w:val="93"/>
              </w:rPr>
              <w:t>Change in net actuarial losses, net of tax of ($3) and $0 in 2023 (($1) and $2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4"/>
              </w:rPr>
              <w:t>Immediate recognition of prior service cost and unrecognized gains and losses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due to curtailments, settlements and divestitures, net of tax of $1 and $9 in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2023 ($2 and $7 in 2022)</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6280" w:type="dxa"/>
            <w:vAlign w:val="bottom"/>
          </w:tcPr>
          <w:p>
            <w:pPr>
              <w:ind w:left="200"/>
              <w:spacing w:after="0"/>
              <w:rPr>
                <w:sz w:val="20"/>
                <w:szCs w:val="20"/>
                <w:color w:val="auto"/>
              </w:rPr>
            </w:pPr>
            <w:r>
              <w:rPr>
                <w:rFonts w:ascii="Arial" w:cs="Arial" w:eastAsia="Arial" w:hAnsi="Arial"/>
                <w:sz w:val="18"/>
                <w:szCs w:val="18"/>
                <w:color w:val="auto"/>
                <w:w w:val="94"/>
              </w:rPr>
              <w:t>Deferred derivative gains (losses), net of tax of $0 and ($1) in 2023 ($0 and $0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Reclassification adjustment for amounts recognized in income, net of tax of</w:t>
            </w:r>
          </w:p>
        </w:tc>
        <w:tc>
          <w:tcPr>
            <w:tcW w:w="24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$0 and $0 in 2023 ($0 and $0 in 2022)</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(251 )</w:t>
            </w:r>
          </w:p>
        </w:tc>
        <w:tc>
          <w:tcPr>
            <w:tcW w:w="0" w:type="dxa"/>
            <w:vAlign w:val="bottom"/>
          </w:tcPr>
          <w:p>
            <w:pPr>
              <w:spacing w:after="0"/>
              <w:rPr>
                <w:sz w:val="1"/>
                <w:szCs w:val="1"/>
                <w:color w:val="auto"/>
              </w:rPr>
            </w:pPr>
          </w:p>
        </w:tc>
      </w:tr>
      <w:tr>
        <w:trPr>
          <w:trHeight w:val="241"/>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37"/>
        </w:trPr>
        <w:tc>
          <w:tcPr>
            <w:tcW w:w="6280" w:type="dxa"/>
            <w:vAlign w:val="bottom"/>
          </w:tcPr>
          <w:p>
            <w:pPr>
              <w:ind w:left="120"/>
              <w:spacing w:after="0"/>
              <w:rPr>
                <w:sz w:val="20"/>
                <w:szCs w:val="20"/>
                <w:color w:val="auto"/>
              </w:rPr>
            </w:pPr>
            <w:r>
              <w:rPr>
                <w:rFonts w:ascii="Arial" w:cs="Arial" w:eastAsia="Arial" w:hAnsi="Arial"/>
                <w:sz w:val="18"/>
                <w:szCs w:val="18"/>
                <w:color w:val="auto"/>
              </w:rPr>
              <w:t>Less: Comprehensive Income (Loss) Attributable to Minority Shareholders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8"/>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Goodyear Comprehensive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(115 )</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(317 )</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-668020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-668020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-668020</wp:posOffset>
            </wp:positionV>
            <wp:extent cx="768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2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23"/>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8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1,002</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1,227</w:t>
            </w:r>
          </w:p>
        </w:tc>
      </w:tr>
      <w:tr>
        <w:trPr>
          <w:trHeight w:val="220"/>
        </w:trPr>
        <w:tc>
          <w:tcPr>
            <w:tcW w:w="8220" w:type="dxa"/>
            <w:vAlign w:val="bottom"/>
          </w:tcPr>
          <w:p>
            <w:pPr>
              <w:ind w:left="120"/>
              <w:spacing w:after="0"/>
              <w:rPr>
                <w:sz w:val="20"/>
                <w:szCs w:val="20"/>
                <w:color w:val="auto"/>
              </w:rPr>
            </w:pPr>
            <w:r>
              <w:rPr>
                <w:rFonts w:ascii="Arial" w:cs="Arial" w:eastAsia="Arial" w:hAnsi="Arial"/>
                <w:sz w:val="16"/>
                <w:szCs w:val="16"/>
                <w:color w:val="auto"/>
              </w:rPr>
              <w:t>Accounts Receivable, less Allowance — $104 ($112 in 2022)</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2,610</w:t>
            </w:r>
          </w:p>
        </w:tc>
      </w:tr>
      <w:tr>
        <w:trPr>
          <w:trHeight w:val="239"/>
        </w:trPr>
        <w:tc>
          <w:tcPr>
            <w:tcW w:w="8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200"/>
              <w:spacing w:after="0"/>
              <w:rPr>
                <w:sz w:val="20"/>
                <w:szCs w:val="20"/>
                <w:color w:val="auto"/>
              </w:rPr>
            </w:pPr>
            <w:r>
              <w:rPr>
                <w:rFonts w:ascii="Arial" w:cs="Arial" w:eastAsia="Arial" w:hAnsi="Arial"/>
                <w:sz w:val="16"/>
                <w:szCs w:val="16"/>
                <w:color w:val="auto"/>
              </w:rPr>
              <w:t>Raw Materials</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1,191</w:t>
            </w:r>
          </w:p>
        </w:tc>
      </w:tr>
      <w:tr>
        <w:trPr>
          <w:trHeight w:val="239"/>
        </w:trPr>
        <w:tc>
          <w:tcPr>
            <w:tcW w:w="8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 in Process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r>
      <w:tr>
        <w:trPr>
          <w:trHeight w:val="223"/>
        </w:trPr>
        <w:tc>
          <w:tcPr>
            <w:tcW w:w="8220" w:type="dxa"/>
            <w:vAlign w:val="bottom"/>
          </w:tcPr>
          <w:p>
            <w:pPr>
              <w:ind w:left="200"/>
              <w:spacing w:after="0"/>
              <w:rPr>
                <w:sz w:val="20"/>
                <w:szCs w:val="20"/>
                <w:color w:val="auto"/>
              </w:rPr>
            </w:pPr>
            <w:r>
              <w:rPr>
                <w:rFonts w:ascii="Arial" w:cs="Arial" w:eastAsia="Arial" w:hAnsi="Arial"/>
                <w:sz w:val="16"/>
                <w:szCs w:val="16"/>
                <w:color w:val="auto"/>
              </w:rPr>
              <w:t>Finished Products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3,193</w:t>
            </w:r>
          </w:p>
        </w:tc>
      </w:tr>
      <w:tr>
        <w:trPr>
          <w:trHeight w:val="230"/>
        </w:trPr>
        <w:tc>
          <w:tcPr>
            <w:tcW w:w="8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3,964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4,571</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r>
      <w:tr>
        <w:trPr>
          <w:trHeight w:val="230"/>
        </w:trPr>
        <w:tc>
          <w:tcPr>
            <w:tcW w:w="822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8,677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8,665</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1,014</w:t>
            </w: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1,004</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(Note 5)</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1,443</w:t>
            </w: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1,035</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976</w:t>
            </w:r>
          </w:p>
        </w:tc>
      </w:tr>
      <w:tr>
        <w:trPr>
          <w:trHeight w:val="233"/>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Plant and Equipment, less Accumulated Depreciation — $12,146 ($11,377 in 2022)</w:t>
            </w:r>
          </w:p>
        </w:tc>
        <w:tc>
          <w:tcPr>
            <w:tcW w:w="1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8,214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8,294</w:t>
            </w:r>
          </w:p>
        </w:tc>
      </w:tr>
      <w:tr>
        <w:trPr>
          <w:trHeight w:val="223"/>
        </w:trPr>
        <w:tc>
          <w:tcPr>
            <w:tcW w:w="8220" w:type="dxa"/>
            <w:vAlign w:val="bottom"/>
          </w:tcPr>
          <w:p>
            <w:pPr>
              <w:ind w:left="30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22,499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22,431</w:t>
            </w:r>
          </w:p>
        </w:tc>
      </w:tr>
      <w:tr>
        <w:trPr>
          <w:trHeight w:val="20"/>
        </w:trPr>
        <w:tc>
          <w:tcPr>
            <w:tcW w:w="8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12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4,110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4,803</w:t>
            </w:r>
          </w:p>
        </w:tc>
      </w:tr>
      <w:tr>
        <w:trPr>
          <w:trHeight w:val="239"/>
        </w:trPr>
        <w:tc>
          <w:tcPr>
            <w:tcW w:w="8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 (Notes 10 and 11)</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w:t>
            </w:r>
          </w:p>
        </w:tc>
      </w:tr>
      <w:tr>
        <w:trPr>
          <w:trHeight w:val="220"/>
        </w:trPr>
        <w:tc>
          <w:tcPr>
            <w:tcW w:w="82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872</w:t>
            </w:r>
          </w:p>
        </w:tc>
      </w:tr>
      <w:tr>
        <w:trPr>
          <w:trHeight w:val="239"/>
        </w:trPr>
        <w:tc>
          <w:tcPr>
            <w:tcW w:w="8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Notes Payable and Overdrafts (Note 8)</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395</w:t>
            </w:r>
          </w:p>
        </w:tc>
      </w:tr>
      <w:tr>
        <w:trPr>
          <w:trHeight w:val="220"/>
        </w:trPr>
        <w:tc>
          <w:tcPr>
            <w:tcW w:w="8220" w:type="dxa"/>
            <w:vAlign w:val="bottom"/>
          </w:tcPr>
          <w:p>
            <w:pPr>
              <w:ind w:left="120"/>
              <w:spacing w:after="0"/>
              <w:rPr>
                <w:sz w:val="20"/>
                <w:szCs w:val="20"/>
                <w:color w:val="auto"/>
              </w:rPr>
            </w:pPr>
            <w:r>
              <w:rPr>
                <w:rFonts w:ascii="Arial" w:cs="Arial" w:eastAsia="Arial" w:hAnsi="Arial"/>
                <w:sz w:val="16"/>
                <w:szCs w:val="16"/>
                <w:color w:val="auto"/>
              </w:rPr>
              <w:t>Operating Lease Liabilities due Within One Year</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199</w:t>
            </w:r>
          </w:p>
        </w:tc>
      </w:tr>
      <w:tr>
        <w:trPr>
          <w:trHeight w:val="233"/>
        </w:trPr>
        <w:tc>
          <w:tcPr>
            <w:tcW w:w="8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 Term Debt and Finance Leases due Within One Year (Note 8)</w:t>
            </w:r>
          </w:p>
        </w:tc>
        <w:tc>
          <w:tcPr>
            <w:tcW w:w="1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228</w:t>
            </w:r>
          </w:p>
        </w:tc>
      </w:tr>
      <w:tr>
        <w:trPr>
          <w:trHeight w:val="220"/>
        </w:trPr>
        <w:tc>
          <w:tcPr>
            <w:tcW w:w="8220" w:type="dxa"/>
            <w:vAlign w:val="bottom"/>
          </w:tcPr>
          <w:p>
            <w:pPr>
              <w:ind w:left="30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6,694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7,140</w:t>
            </w: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821</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Long Term Debt and Finance Leases (Note 8)</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7,267</w:t>
            </w: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 (Notes 10 and 11)</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998</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(Note 5)</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134</w:t>
            </w:r>
          </w:p>
        </w:tc>
      </w:tr>
      <w:tr>
        <w:trPr>
          <w:trHeight w:val="233"/>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 Term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605</w:t>
            </w:r>
          </w:p>
        </w:tc>
      </w:tr>
      <w:tr>
        <w:trPr>
          <w:trHeight w:val="220"/>
        </w:trPr>
        <w:tc>
          <w:tcPr>
            <w:tcW w:w="8220" w:type="dxa"/>
            <w:vAlign w:val="bottom"/>
          </w:tcPr>
          <w:p>
            <w:pPr>
              <w:ind w:left="30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17,338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16,965</w:t>
            </w: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Contingent Liabilities (Note 12)</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Goodyear Shareholders’ Equity:</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120"/>
              <w:spacing w:after="0"/>
              <w:rPr>
                <w:sz w:val="20"/>
                <w:szCs w:val="20"/>
                <w:color w:val="auto"/>
              </w:rPr>
            </w:pPr>
            <w:r>
              <w:rPr>
                <w:rFonts w:ascii="Arial" w:cs="Arial" w:eastAsia="Arial" w:hAnsi="Arial"/>
                <w:sz w:val="16"/>
                <w:szCs w:val="16"/>
                <w:color w:val="auto"/>
              </w:rPr>
              <w:t>Common Stock, no par value: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8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Authorized, 450 million shares, Outstanding shares — 284 million in 2023 (283 million in 2022)</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283</w:t>
            </w:r>
          </w:p>
        </w:tc>
      </w:tr>
      <w:tr>
        <w:trPr>
          <w:trHeight w:val="220"/>
        </w:trPr>
        <w:tc>
          <w:tcPr>
            <w:tcW w:w="8220" w:type="dxa"/>
            <w:vAlign w:val="bottom"/>
          </w:tcPr>
          <w:p>
            <w:pPr>
              <w:ind w:left="120"/>
              <w:spacing w:after="0"/>
              <w:rPr>
                <w:sz w:val="20"/>
                <w:szCs w:val="20"/>
                <w:color w:val="auto"/>
              </w:rPr>
            </w:pPr>
            <w:r>
              <w:rPr>
                <w:rFonts w:ascii="Arial" w:cs="Arial" w:eastAsia="Arial" w:hAnsi="Arial"/>
                <w:sz w:val="16"/>
                <w:szCs w:val="16"/>
                <w:color w:val="auto"/>
              </w:rPr>
              <w:t>Capital Surplus</w:t>
            </w: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3,117</w:t>
            </w:r>
          </w:p>
        </w:tc>
      </w:tr>
      <w:tr>
        <w:trPr>
          <w:trHeight w:val="239"/>
        </w:trPr>
        <w:tc>
          <w:tcPr>
            <w:tcW w:w="8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5,775</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Accumulated Other Comprehensive Loss (Note 14)</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(3,794 )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(3,875 )</w:t>
            </w:r>
          </w:p>
        </w:tc>
      </w:tr>
      <w:tr>
        <w:trPr>
          <w:trHeight w:val="229"/>
        </w:trPr>
        <w:tc>
          <w:tcPr>
            <w:tcW w:w="822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Goodyear Shareholders’ Equity</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4,993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5,300</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Minority Shareholders’ Equity — Nonredeemable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r>
      <w:tr>
        <w:trPr>
          <w:trHeight w:val="223"/>
        </w:trPr>
        <w:tc>
          <w:tcPr>
            <w:tcW w:w="82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b w:val="1"/>
                <w:bCs w:val="1"/>
                <w:color w:val="auto"/>
              </w:rPr>
              <w:t>Total Shareholders’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5,161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5,466</w:t>
            </w:r>
          </w:p>
        </w:tc>
      </w:tr>
      <w:tr>
        <w:trPr>
          <w:trHeight w:val="223"/>
        </w:trPr>
        <w:tc>
          <w:tcPr>
            <w:tcW w:w="8220" w:type="dxa"/>
            <w:vAlign w:val="bottom"/>
          </w:tcPr>
          <w:p>
            <w:pPr>
              <w:ind w:left="30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22,499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22,431</w:t>
            </w:r>
          </w:p>
        </w:tc>
      </w:tr>
      <w:tr>
        <w:trPr>
          <w:trHeight w:val="20"/>
        </w:trPr>
        <w:tc>
          <w:tcPr>
            <w:tcW w:w="8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-4328160</wp:posOffset>
            </wp:positionV>
            <wp:extent cx="7683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-2836545</wp:posOffset>
            </wp:positionV>
            <wp:extent cx="7683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-1953895</wp:posOffset>
            </wp:positionV>
            <wp:extent cx="7683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-179705</wp:posOffset>
            </wp:positionV>
            <wp:extent cx="7683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8034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8"/>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228"/>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120"/>
              <w:spacing w:after="0" w:line="139" w:lineRule="exact"/>
              <w:rPr>
                <w:sz w:val="20"/>
                <w:szCs w:val="20"/>
                <w:color w:val="auto"/>
              </w:rPr>
            </w:pPr>
            <w:r>
              <w:rPr>
                <w:rFonts w:ascii="Arial" w:cs="Arial" w:eastAsia="Arial" w:hAnsi="Arial"/>
                <w:sz w:val="14"/>
                <w:szCs w:val="14"/>
                <w:color w:val="auto"/>
                <w:w w:val="96"/>
              </w:rPr>
              <w:t>(after deducting 41,391,555 common treasury shares)</w:t>
            </w: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282,896,35</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283</w:t>
            </w:r>
          </w:p>
        </w:tc>
        <w:tc>
          <w:tcPr>
            <w:tcW w:w="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3,117</w:t>
            </w:r>
          </w:p>
        </w:tc>
        <w:tc>
          <w:tcPr>
            <w:tcW w:w="3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5,775</w:t>
            </w:r>
          </w:p>
        </w:tc>
        <w:tc>
          <w:tcPr>
            <w:tcW w:w="3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(3,875 )</w:t>
            </w:r>
          </w:p>
        </w:tc>
        <w:tc>
          <w:tcPr>
            <w:tcW w:w="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5,300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166</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5,466</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(202 )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(198 )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555,965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120"/>
              <w:spacing w:after="0" w:line="139" w:lineRule="exact"/>
              <w:rPr>
                <w:sz w:val="20"/>
                <w:szCs w:val="20"/>
                <w:color w:val="auto"/>
              </w:rPr>
            </w:pPr>
            <w:r>
              <w:rPr>
                <w:rFonts w:ascii="Arial" w:cs="Arial" w:eastAsia="Arial" w:hAnsi="Arial"/>
                <w:sz w:val="14"/>
                <w:szCs w:val="14"/>
                <w:color w:val="auto"/>
                <w:w w:val="96"/>
              </w:rPr>
              <w:t>(after deducting 40,835,590 common treasury shares)</w:t>
            </w: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283,452,31</w:t>
            </w:r>
          </w:p>
        </w:tc>
        <w:tc>
          <w:tcPr>
            <w:tcW w:w="3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283</w:t>
            </w:r>
          </w:p>
        </w:tc>
        <w:tc>
          <w:tcPr>
            <w:tcW w:w="2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3,124</w:t>
            </w:r>
          </w:p>
        </w:tc>
        <w:tc>
          <w:tcPr>
            <w:tcW w:w="340" w:type="dxa"/>
            <w:vAlign w:val="bottom"/>
            <w:gridSpan w:val="2"/>
          </w:tcPr>
          <w:p>
            <w:pPr>
              <w:jc w:val="right"/>
              <w:ind w:right="88"/>
              <w:spacing w:after="0" w:line="13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5,466</w:t>
            </w:r>
          </w:p>
        </w:tc>
        <w:tc>
          <w:tcPr>
            <w:tcW w:w="300" w:type="dxa"/>
            <w:vAlign w:val="bottom"/>
            <w:gridSpan w:val="2"/>
          </w:tcPr>
          <w:p>
            <w:pPr>
              <w:jc w:val="right"/>
              <w:ind w:right="28"/>
              <w:spacing w:after="0" w:line="13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(3,768 )</w:t>
            </w:r>
          </w:p>
        </w:tc>
        <w:tc>
          <w:tcPr>
            <w:tcW w:w="20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5,105</w:t>
            </w:r>
          </w:p>
        </w:tc>
        <w:tc>
          <w:tcPr>
            <w:tcW w:w="2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168</w:t>
            </w:r>
          </w:p>
        </w:tc>
        <w:tc>
          <w:tcPr>
            <w:tcW w:w="280" w:type="dxa"/>
            <w:vAlign w:val="bottom"/>
            <w:gridSpan w:val="2"/>
          </w:tcPr>
          <w:p>
            <w:pPr>
              <w:jc w:val="right"/>
              <w:ind w:right="8"/>
              <w:spacing w:after="0" w:line="13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5,273</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(115 )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(113 )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93,390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120"/>
              <w:spacing w:after="0" w:line="139" w:lineRule="exact"/>
              <w:rPr>
                <w:sz w:val="20"/>
                <w:szCs w:val="20"/>
                <w:color w:val="auto"/>
              </w:rPr>
            </w:pPr>
            <w:r>
              <w:rPr>
                <w:rFonts w:ascii="Arial" w:cs="Arial" w:eastAsia="Arial" w:hAnsi="Arial"/>
                <w:sz w:val="14"/>
                <w:szCs w:val="14"/>
                <w:color w:val="auto"/>
                <w:w w:val="96"/>
              </w:rPr>
              <w:t>(after deducting 40,742,200 common treasury shares)</w:t>
            </w: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283,545,70</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284</w:t>
            </w:r>
          </w:p>
        </w:tc>
        <w:tc>
          <w:tcPr>
            <w:tcW w:w="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3,126</w:t>
            </w:r>
          </w:p>
        </w:tc>
        <w:tc>
          <w:tcPr>
            <w:tcW w:w="3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5,377</w:t>
            </w:r>
          </w:p>
        </w:tc>
        <w:tc>
          <w:tcPr>
            <w:tcW w:w="3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(3,794 )</w:t>
            </w:r>
          </w:p>
        </w:tc>
        <w:tc>
          <w:tcPr>
            <w:tcW w:w="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4,993</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168</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5,161</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dividends declared or paid during the three and nine months ended September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8"/>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228"/>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120"/>
              <w:spacing w:after="0" w:line="139" w:lineRule="exact"/>
              <w:rPr>
                <w:sz w:val="20"/>
                <w:szCs w:val="20"/>
                <w:color w:val="auto"/>
              </w:rPr>
            </w:pPr>
            <w:r>
              <w:rPr>
                <w:rFonts w:ascii="Arial" w:cs="Arial" w:eastAsia="Arial" w:hAnsi="Arial"/>
                <w:sz w:val="14"/>
                <w:szCs w:val="14"/>
                <w:color w:val="auto"/>
                <w:w w:val="96"/>
              </w:rPr>
              <w:t>(after deducting 42,494,684 common treasury shares)</w:t>
            </w: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281,793,22</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282</w:t>
            </w:r>
          </w:p>
        </w:tc>
        <w:tc>
          <w:tcPr>
            <w:tcW w:w="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3,107</w:t>
            </w:r>
          </w:p>
        </w:tc>
        <w:tc>
          <w:tcPr>
            <w:tcW w:w="3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5,573</w:t>
            </w:r>
          </w:p>
        </w:tc>
        <w:tc>
          <w:tcPr>
            <w:tcW w:w="3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(3,963 )</w:t>
            </w:r>
          </w:p>
        </w:tc>
        <w:tc>
          <w:tcPr>
            <w:tcW w:w="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4,999</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185</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5,184</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678,010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120"/>
              <w:spacing w:after="0" w:line="139" w:lineRule="exact"/>
              <w:rPr>
                <w:sz w:val="20"/>
                <w:szCs w:val="20"/>
                <w:color w:val="auto"/>
              </w:rPr>
            </w:pPr>
            <w:r>
              <w:rPr>
                <w:rFonts w:ascii="Arial" w:cs="Arial" w:eastAsia="Arial" w:hAnsi="Arial"/>
                <w:sz w:val="14"/>
                <w:szCs w:val="14"/>
                <w:color w:val="auto"/>
                <w:w w:val="96"/>
              </w:rPr>
              <w:t>(after deducting 41,816,674 common treasury shares)</w:t>
            </w: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282,471,23</w:t>
            </w:r>
          </w:p>
        </w:tc>
        <w:tc>
          <w:tcPr>
            <w:tcW w:w="3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282</w:t>
            </w:r>
          </w:p>
        </w:tc>
        <w:tc>
          <w:tcPr>
            <w:tcW w:w="2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3,114</w:t>
            </w:r>
          </w:p>
        </w:tc>
        <w:tc>
          <w:tcPr>
            <w:tcW w:w="340" w:type="dxa"/>
            <w:vAlign w:val="bottom"/>
            <w:gridSpan w:val="2"/>
          </w:tcPr>
          <w:p>
            <w:pPr>
              <w:jc w:val="right"/>
              <w:ind w:right="88"/>
              <w:spacing w:after="0" w:line="13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5,835</w:t>
            </w:r>
          </w:p>
        </w:tc>
        <w:tc>
          <w:tcPr>
            <w:tcW w:w="300" w:type="dxa"/>
            <w:vAlign w:val="bottom"/>
            <w:gridSpan w:val="2"/>
          </w:tcPr>
          <w:p>
            <w:pPr>
              <w:jc w:val="right"/>
              <w:ind w:right="28"/>
              <w:spacing w:after="0" w:line="13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(4,057 )</w:t>
            </w:r>
          </w:p>
        </w:tc>
        <w:tc>
          <w:tcPr>
            <w:tcW w:w="20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5,174</w:t>
            </w:r>
          </w:p>
        </w:tc>
        <w:tc>
          <w:tcPr>
            <w:tcW w:w="2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173</w:t>
            </w:r>
          </w:p>
        </w:tc>
        <w:tc>
          <w:tcPr>
            <w:tcW w:w="280" w:type="dxa"/>
            <w:vAlign w:val="bottom"/>
            <w:gridSpan w:val="2"/>
          </w:tcPr>
          <w:p>
            <w:pPr>
              <w:jc w:val="right"/>
              <w:ind w:right="8"/>
              <w:spacing w:after="0" w:line="13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5,347</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(94 )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386,982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120"/>
              <w:spacing w:after="0" w:line="139" w:lineRule="exact"/>
              <w:rPr>
                <w:sz w:val="20"/>
                <w:szCs w:val="20"/>
                <w:color w:val="auto"/>
              </w:rPr>
            </w:pPr>
            <w:r>
              <w:rPr>
                <w:rFonts w:ascii="Arial" w:cs="Arial" w:eastAsia="Arial" w:hAnsi="Arial"/>
                <w:sz w:val="14"/>
                <w:szCs w:val="14"/>
                <w:color w:val="auto"/>
                <w:w w:val="96"/>
              </w:rPr>
              <w:t>(after deducting 41,429,692 common treasury shares)</w:t>
            </w: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282,858,21</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283</w:t>
            </w:r>
          </w:p>
        </w:tc>
        <w:tc>
          <w:tcPr>
            <w:tcW w:w="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3,117</w:t>
            </w:r>
          </w:p>
        </w:tc>
        <w:tc>
          <w:tcPr>
            <w:tcW w:w="3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5,879</w:t>
            </w:r>
          </w:p>
        </w:tc>
        <w:tc>
          <w:tcPr>
            <w:tcW w:w="3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(4,192 )</w:t>
            </w:r>
          </w:p>
        </w:tc>
        <w:tc>
          <w:tcPr>
            <w:tcW w:w="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5,087</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163</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5,250</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5</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dividends declared or paid during the three and nine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r>
      <w:tr>
        <w:trPr>
          <w:trHeight w:val="185"/>
        </w:trPr>
        <w:tc>
          <w:tcPr>
            <w:tcW w:w="85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23"/>
        </w:trPr>
        <w:tc>
          <w:tcPr>
            <w:tcW w:w="8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(391 )</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314</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751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718</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Provision for Deferred Income Taxes (Note 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Pension Curtailments and Settlements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Net Rationalization Charges (Note 3)</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Rationalization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(72 )</w:t>
            </w: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Net (Gains) Losses on Asset Sales (Note 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Expense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w:t>
            </w: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Operating Lease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(208 )</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Contributions and Direct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(1,380 )</w:t>
            </w: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(1,453 )</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 Trade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1,053</w:t>
            </w: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39"/>
        </w:trPr>
        <w:tc>
          <w:tcPr>
            <w:tcW w:w="8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w:t>
            </w:r>
          </w:p>
        </w:tc>
      </w:tr>
      <w:tr>
        <w:trPr>
          <w:trHeight w:val="223"/>
        </w:trPr>
        <w:tc>
          <w:tcPr>
            <w:tcW w:w="852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r>
      <w:tr>
        <w:trPr>
          <w:trHeight w:val="230"/>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(204 )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(627 )</w:t>
            </w:r>
          </w:p>
        </w:tc>
      </w:tr>
      <w:tr>
        <w:trPr>
          <w:trHeight w:val="22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(765 )</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Cash Proceeds from Sale and Leaseback Transactions (Note 4)</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108</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Dispositions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Short Term Securities Acquired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Securities Redeemed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Long Term Securities Acquired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 Term Securities Redeemed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Notes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33"/>
        </w:trPr>
        <w:tc>
          <w:tcPr>
            <w:tcW w:w="8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(26 )</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b w:val="1"/>
                <w:bCs w:val="1"/>
                <w:color w:val="auto"/>
              </w:rPr>
              <w:t>Total Cash Flows from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(818 )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(648 )</w:t>
            </w:r>
          </w:p>
        </w:tc>
      </w:tr>
      <w:tr>
        <w:trPr>
          <w:trHeight w:val="239"/>
        </w:trPr>
        <w:tc>
          <w:tcPr>
            <w:tcW w:w="8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Short Term Debt and Overdrafts Incurred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793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1,183</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Debt and Overdrafts Paid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(991 )</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Long Term Debt Incurred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7,321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8,102</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 Term Debt Paid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(6,794 )</w:t>
            </w:r>
          </w:p>
        </w:tc>
      </w:tr>
      <w:tr>
        <w:trPr>
          <w:trHeight w:val="220"/>
        </w:trPr>
        <w:tc>
          <w:tcPr>
            <w:tcW w:w="852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39"/>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 with Minority Interests in Subsidiaries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Debt Related Costs and Other Transactions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r>
      <w:tr>
        <w:trPr>
          <w:trHeight w:val="230"/>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Financing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774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1,500</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30"/>
        </w:trPr>
        <w:tc>
          <w:tcPr>
            <w:tcW w:w="85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(253 )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158</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1,164</w:t>
            </w:r>
          </w:p>
        </w:tc>
      </w:tr>
      <w:tr>
        <w:trPr>
          <w:trHeight w:val="263"/>
        </w:trPr>
        <w:tc>
          <w:tcPr>
            <w:tcW w:w="8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1,058</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-2099310</wp:posOffset>
            </wp:positionV>
            <wp:extent cx="857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2022 (the “2022 Form 10-K”).</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nine months ended September 30, 2023 are not necessarily indicative of the results expected in subsequent quarters or for the year ending December 31,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2023, we adopted an accounting standards update which requires disclosure of the key terms of our material supplier finance programs, including a description of the payment terms and assets pledged as security or other forms of guarantees, if any, provided for the committed payment to the finance provider or intermediary. In addition, the standards update requires disclosure of the related obligations outstanding at each interim reporting period and where those obligations are presented on the balance sheet. The standards update also includes a prospective annual requirement to disclose a rollforward of the amount of the obligations during the annual reporting period. We will include the rollforward disclosure in our Annual Report on Form 10-K for the year ending December 31, 2024, as required.</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amounts available under these programs were $873 million and $920 million at September 30, 2023 and December 31, 2022, respectively. The amounts confirmed to the financial institutions were $598 million and $710 million at September 30,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9, 2023, the Financial Accounting Standards Board (“FASB”) issued an accounting standards update that amends the disclosure or presentation requirements related to various subtopics in the FASB Accounting Standards Codification. The standards update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These amendments do not affect the information that is already included in the audited financial statements of entities subject to the SEC’s current disclosure or presentation requirements. The standards update is effective on the respective dates on which the SEC’s removal of the related disclosure requirement from Regulation S-X or Regulation S-K becomes effective, with early adoption prohibited. The adoption of this accounting standards update will not have a material impact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would be written down to fair value if considered impaired. Goodwill and Intangible Assets totaled $1,010 million and $975 million, respectively, at September 30,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2023, compared to $1,014 million and $1,004 million, respectively, at December 31, 2022. At September 30, 2023, the goodwill associated with reporting units in our Americas, Europe, Middle East and Africa (“EMEA”) and Asia Pacific segments was $724 million, $230 million and $56 million, respectively.</w:t>
      </w:r>
    </w:p>
    <w:p>
      <w:pPr>
        <w:spacing w:after="0" w:line="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third quarter, we reduced the near-term and long-term outlook of our EMEA segment based on recent business performance and the industry outlook. As announced in the third quarter, we are reviewing various strategic actions to improve EMEA’s operations, including the approved rationalization and workforce reorganization plan. We viewed these events as triggering events and performed a quantitative analysis of the fair value of the EMEA reporting unit. We determined the estimated fair value for the EMEA reporting unit based on discounted cash flow projections. The most critical assumptions used in the calculation of the fair value of the EMEA reporting unit are the projected revenue, projected operating margin and discount rate. Our forecast of future cash flows is based on our best estimate of projected revenue and projected operating margin, based primarily on pricing, raw material costs, market share, industry outlook, general economic conditions and strategic actions to improve EMEA’s operating margin, as described above. Based on our interim impairment test, EMEA had an estimated fair value that exceeded its carrying value, including goodwill, by approximately 15%.</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EMEA reporting unit’s goodwill is sensitive to differences between estimated and actual cash flows, including changes in the projected revenue, projected operating margin and discount rate used to evaluate the fair value of these assets. Although we believe our estimate of fair value is reasonable, the reporting unit’s future financial performance is dependent on our ability to execute our business plan and to successfully implement the aforementioned strategic actions which we expect will improve our long-term operating margin. If a reporting unit’s future financial performance falls below our expectations, there are adverse revisions to significant assumptions, or our market capitalization declines further or does not improve from the strategic actions we are implementing, this could be indicative that the fair values of each of our reporting units has declined below their carrying values, and therefore we may need to record a material, non-cash goodwill impairment charge in a future period.</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2023, after evaluating macroeconomic conditions, our market capitalization and our current and future results of operations, we concluded that there were no triggering events and it was not more likely than not that the fair values of our reporting units within our Americas and Asia Pacific segments or indefinite-lived intangible assets were less than their respective carrying values and, therefore, did not have any impairment.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3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1,243</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w:t>
            </w:r>
          </w:p>
        </w:tc>
      </w:tr>
      <w:tr>
        <w:trPr>
          <w:trHeight w:val="279"/>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1,058</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939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93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Restricted Cash primarily represents amounts required to be set aside in relation to accounts receivable factoring programs. The restrictions lapse when cash from factored accounts receivable is remitted to the purchaser of those receivables. At September 30, 2023, restricted cash was recorded in Prepaid Expenses and Other Current Assets in the Consolidated Balance Sheets. At September 30, 2022, $68 million and $11 million were recorded in Prepaid Expenses and Other Current Assets and Other Assets in the Consolidated Balance Sheets,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 September 30, 2023</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Europe, Middle East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3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4,460</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336</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110</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3,120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1,374</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648</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5,142</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2"/>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0"/>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Europe, Middle East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2"/>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2,733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4,513</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380</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222</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187</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3,304</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1,358</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649</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5,311</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2"/>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3"/>
              </w:rPr>
              <w:t>Nine Months Ended September 30,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0"/>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56"/>
              <w:spacing w:after="0" w:line="160" w:lineRule="exact"/>
              <w:rPr>
                <w:sz w:val="20"/>
                <w:szCs w:val="20"/>
                <w:color w:val="auto"/>
              </w:rPr>
            </w:pPr>
            <w:r>
              <w:rPr>
                <w:rFonts w:ascii="Arial" w:cs="Arial" w:eastAsia="Arial" w:hAnsi="Arial"/>
                <w:sz w:val="14"/>
                <w:szCs w:val="14"/>
                <w:b w:val="1"/>
                <w:bCs w:val="1"/>
                <w:color w:val="auto"/>
                <w:w w:val="94"/>
              </w:rPr>
              <w:t>Europe, Middle East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7,428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3,715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12,862</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1,058</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642</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366</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8,926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4,207</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1,817</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14,950</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2"/>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3"/>
              </w:rPr>
              <w:t>Nine Months Ended September 30, 2022</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0"/>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56"/>
              <w:spacing w:after="0" w:line="160" w:lineRule="exact"/>
              <w:rPr>
                <w:sz w:val="20"/>
                <w:szCs w:val="20"/>
                <w:color w:val="auto"/>
              </w:rPr>
            </w:pPr>
            <w:r>
              <w:rPr>
                <w:rFonts w:ascii="Arial" w:cs="Arial" w:eastAsia="Arial" w:hAnsi="Arial"/>
                <w:sz w:val="14"/>
                <w:szCs w:val="14"/>
                <w:b w:val="1"/>
                <w:bCs w:val="1"/>
                <w:color w:val="auto"/>
                <w:w w:val="94"/>
              </w:rPr>
              <w:t>Europe, Middle East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7,792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1,678</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13,217</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1,067</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617</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506</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9,366</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b w:val="1"/>
                <w:bCs w:val="1"/>
                <w:color w:val="auto"/>
              </w:rPr>
              <w:t>4,281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1,784</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15,431</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-4371340</wp:posOffset>
            </wp:positionV>
            <wp:extent cx="13716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-4371340</wp:posOffset>
            </wp:positionV>
            <wp:extent cx="12827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-4371340</wp:posOffset>
            </wp:positionV>
            <wp:extent cx="12890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-2965450</wp:posOffset>
            </wp:positionV>
            <wp:extent cx="13716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-2965450</wp:posOffset>
            </wp:positionV>
            <wp:extent cx="12827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-2965450</wp:posOffset>
            </wp:positionV>
            <wp:extent cx="12890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-1576705</wp:posOffset>
            </wp:positionV>
            <wp:extent cx="13716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-1576705</wp:posOffset>
            </wp:positionV>
            <wp:extent cx="12827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-1576705</wp:posOffset>
            </wp:positionV>
            <wp:extent cx="12890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13716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12827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12890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$20 million and $19 million at September 30, 2023 and December 31, 2022, respectively. Deferred revenue included in Other Long Term Liabilities in the Consolidated Balance Sheets totaled $12 million and $15 million at September 30, 2023 and December 31, 2022, respectively. We recognize deferred revenue after we have transferred control of the goods or services to the customer and all revenue recognition criteria are met.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balance of deferred revenue related to contracts with customers, and changes during the nine months ended September 30, 2023:</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75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2022</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34</w:t>
            </w: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Revenue deferred during period</w:t>
            </w:r>
          </w:p>
        </w:tc>
        <w:tc>
          <w:tcPr>
            <w:tcW w:w="5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4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period</w:t>
            </w:r>
          </w:p>
        </w:tc>
        <w:tc>
          <w:tcPr>
            <w:tcW w:w="5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(150 )</w:t>
            </w: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8"/>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2023</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32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improve our global competitiveness, we have implemented, and are implementing, rationalization actions to reduce high-cost and excess manufacturing capacity and operating and administrative costs, as well as actions related to the integration of Cooper Tire &amp; Rubber Company ("Cooper Tire").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liability balance between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280" w:type="dxa"/>
            <w:vAlign w:val="bottom"/>
          </w:tcPr>
          <w:p>
            <w:pPr>
              <w:jc w:val="right"/>
              <w:ind w:right="79"/>
              <w:spacing w:after="0"/>
              <w:rPr>
                <w:sz w:val="20"/>
                <w:szCs w:val="20"/>
                <w:color w:val="auto"/>
              </w:rPr>
            </w:pPr>
            <w:r>
              <w:rPr>
                <w:rFonts w:ascii="Arial" w:cs="Arial" w:eastAsia="Arial" w:hAnsi="Arial"/>
                <w:sz w:val="14"/>
                <w:szCs w:val="14"/>
                <w:b w:val="1"/>
                <w:bCs w:val="1"/>
                <w:color w:val="auto"/>
              </w:rPr>
              <w:t>Associate-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5"/>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Costs</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 Costs</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Total</w:t>
            </w: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115</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117</w:t>
            </w: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2023 Charges</w:t>
            </w:r>
          </w:p>
        </w:tc>
        <w:tc>
          <w:tcPr>
            <w:tcW w:w="12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269</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309</w:t>
            </w:r>
          </w:p>
        </w:tc>
      </w:tr>
      <w:tr>
        <w:trPr>
          <w:trHeight w:val="221"/>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Incurred, net of foreign currency translation of ($1) million and $0 million,</w:t>
            </w:r>
          </w:p>
        </w:tc>
        <w:tc>
          <w:tcPr>
            <w:tcW w:w="1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44"/>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respectively</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(45 )</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Reversed to the Statement of Operations</w:t>
            </w:r>
          </w:p>
        </w:tc>
        <w:tc>
          <w:tcPr>
            <w:tcW w:w="1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7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332</w:t>
            </w:r>
          </w:p>
        </w:tc>
        <w:tc>
          <w:tcPr>
            <w:tcW w:w="1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third quarter of 2023, we approved a rationalization and workforce reorganization plan in EMEA to improve our cost structure. The proposed actions would lead to a reduction of approximately 1,200 positions across multiple countries within EMEA, while also creating approximately 500 new roles principally in our existing shared services organization in Romania, resulting in an overall net reduction of approximately 700 positions. In certain countries, relevant portions of the plan remain subject to consultation with employee representative bodies. We expect these actions will be substantially complete in 2025. The total pre-tax charges associated with the plan are expected to be $210 million to $230 million, substantially all of which are expected to be cash charges primarily for associate-related and other implementation and exit costs. During the third quarter of 2023, we accrued $167 million of pre-tax charges related to this plan, which is expected to be substantially paid through 2024.</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2023, we approved a plan in Asia Pacific to improve profitability in our Australia and New Zealand operations. The proposed plan will change our operating model to a third-party distribution and retail sales model instead of a company-owned approach. The proposed plan will lead to a reduction of approximately 700 positions, the exit of nine warehouse locations, and the sale or exit of approximately 100 retail and fleet store locations. The plan remains subject to consultation with employee representative bodies. We expect to substantially complete this plan by the end of 2024 and estimate total pre-tax charges associated with this action will be between $55 million and $65 million, of which $40 million to $50 million are expected to be cash charges primarily for associate-related and lease exit costs, with the remainder primarily representing non-cash charges for accelerated depreciation and other asset-related charges. During the third quarter of 2023, we accrued $20 million of pre-tax charges related to this plan, which is expected to be substantially paid through 2024.</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2023, we approved a plan to permanently reduce production capacity at our Fulda, Germany tire manufacturing facility (“Fulda”) by approximately 50% aligned with our goal to reduce our production cost per tire in EMEA. We have $60 million accrued for this plan at September 30, 2023, which is expected to be substantially paid through 2024. Relevant portions of the rationalization plan remain subject to consultation with employee representative bodies.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2023, we also approved a plan to reduce costs associated with our global operations and technology organization. We have $5 million accrued for this plan at September 30, 2023, which is expected to be substantially paid through the first quarter of 2024. Relevant portions of the rationalization plan remain subject to consultation with employee representative bodies.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2023, we approved a plan designed to streamline our EMEA distribution network that will result in the eventual closure of our Philippsburg, Germany distribution center. The rationalization plan will lower our operating costs while maintaining or improving the existing service levels to our customers. We have $18 million accrued for this plan at September 30, 2023, which is expected to be substantially paid during the first half of 2024.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2023, we also approved a plan in EMEA to reduce staffing levels and capacity at several manufacturing facilities commensurate with the decline in demand. We have $3 million accrued for this plan at September 30, 2023, which is expected to be substantially paid during the first half of 2024.</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the accrual balance at September 30, 2023 is expected to be substantially utilized in the next 12 months and includes $34 million related to the closure of Cooper Tire's Melksham, United Kingdom manufacturing facility ("Melksham"), $30 million related to plans to reduce Selling, Administrative and General Expense ("SAG") headcount, $5 million related to the closed Amiens, France tire manufacturing facility, $1 million related to the integration of Cooper Tire, and various other plans to reduce headcount and improve operating efficiency.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and December 31, 2022, $237 million and $106 million were recorded in Other Current Liabilities in the Consolidated Balance Sheets,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2022</w:t>
            </w:r>
          </w:p>
        </w:tc>
      </w:tr>
      <w:tr>
        <w:trPr>
          <w:trHeight w:val="23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Year Plans</w:t>
            </w:r>
          </w:p>
        </w:tc>
        <w:tc>
          <w:tcPr>
            <w:tcW w:w="7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99"/>
              </w:rPr>
              <w:t>187</w:t>
            </w:r>
          </w:p>
        </w:tc>
        <w:tc>
          <w:tcPr>
            <w:tcW w:w="9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262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61</w:t>
            </w:r>
          </w:p>
        </w:tc>
      </w:tr>
      <w:tr>
        <w:trPr>
          <w:trHeight w:val="243"/>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Exit Costs</w:t>
            </w:r>
          </w:p>
        </w:tc>
        <w:tc>
          <w:tcPr>
            <w:tcW w:w="7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38"/>
        </w:trPr>
        <w:tc>
          <w:tcPr>
            <w:tcW w:w="6200" w:type="dxa"/>
            <w:vAlign w:val="bottom"/>
          </w:tcPr>
          <w:p>
            <w:pPr>
              <w:ind w:left="200"/>
              <w:spacing w:after="0"/>
              <w:rPr>
                <w:sz w:val="20"/>
                <w:szCs w:val="20"/>
                <w:color w:val="auto"/>
              </w:rPr>
            </w:pPr>
            <w:r>
              <w:rPr>
                <w:rFonts w:ascii="Arial" w:cs="Arial" w:eastAsia="Arial" w:hAnsi="Arial"/>
                <w:sz w:val="18"/>
                <w:szCs w:val="18"/>
                <w:b w:val="1"/>
                <w:bCs w:val="1"/>
                <w:color w:val="auto"/>
              </w:rPr>
              <w:t>Current Year Plans - Net Charges</w:t>
            </w:r>
          </w:p>
        </w:tc>
        <w:tc>
          <w:tcPr>
            <w:tcW w:w="720" w:type="dxa"/>
            <w:vAlign w:val="bottom"/>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190</w:t>
            </w:r>
          </w:p>
        </w:tc>
        <w:tc>
          <w:tcPr>
            <w:tcW w:w="9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40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b w:val="1"/>
                <w:bCs w:val="1"/>
                <w:color w:val="auto"/>
              </w:rPr>
              <w:t>278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62</w:t>
            </w:r>
          </w:p>
        </w:tc>
      </w:tr>
      <w:tr>
        <w:trPr>
          <w:trHeight w:val="247"/>
        </w:trPr>
        <w:tc>
          <w:tcPr>
            <w:tcW w:w="6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r>
      <w:tr>
        <w:trPr>
          <w:trHeight w:val="239"/>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Prior Year Plans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720" w:type="dxa"/>
            <w:vAlign w:val="bottom"/>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9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Other Exit Costs</w:t>
            </w: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r>
      <w:tr>
        <w:trPr>
          <w:trHeight w:val="238"/>
        </w:trPr>
        <w:tc>
          <w:tcPr>
            <w:tcW w:w="6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Prior Year Plans - Net Charges</w:t>
            </w:r>
          </w:p>
        </w:tc>
        <w:tc>
          <w:tcPr>
            <w:tcW w:w="720" w:type="dxa"/>
            <w:vAlign w:val="bottom"/>
            <w:tcBorders>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w:t>
            </w:r>
          </w:p>
        </w:tc>
        <w:tc>
          <w:tcPr>
            <w:tcW w:w="1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20</w:t>
            </w:r>
          </w:p>
        </w:tc>
      </w:tr>
      <w:tr>
        <w:trPr>
          <w:trHeight w:val="237"/>
        </w:trPr>
        <w:tc>
          <w:tcPr>
            <w:tcW w:w="6200" w:type="dxa"/>
            <w:vAlign w:val="bottom"/>
          </w:tcPr>
          <w:p>
            <w:pPr>
              <w:ind w:left="380"/>
              <w:spacing w:after="0"/>
              <w:rPr>
                <w:sz w:val="20"/>
                <w:szCs w:val="20"/>
                <w:color w:val="auto"/>
              </w:rPr>
            </w:pPr>
            <w:r>
              <w:rPr>
                <w:rFonts w:ascii="Arial" w:cs="Arial" w:eastAsia="Arial" w:hAnsi="Arial"/>
                <w:sz w:val="18"/>
                <w:szCs w:val="18"/>
                <w:b w:val="1"/>
                <w:bCs w:val="1"/>
                <w:color w:val="auto"/>
              </w:rPr>
              <w:t>Total Net Charges</w:t>
            </w:r>
          </w:p>
        </w:tc>
        <w:tc>
          <w:tcPr>
            <w:tcW w:w="7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198</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82</w:t>
            </w:r>
          </w:p>
        </w:tc>
      </w:tr>
      <w:tr>
        <w:trPr>
          <w:trHeight w:val="20"/>
        </w:trPr>
        <w:tc>
          <w:tcPr>
            <w:tcW w:w="6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2"/>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 Write-offs (Recoveries) and Accelerated Depreciation, net</w:t>
            </w:r>
          </w:p>
        </w:tc>
        <w:tc>
          <w:tcPr>
            <w:tcW w:w="72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-1310640</wp:posOffset>
            </wp:positionV>
            <wp:extent cx="9461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1625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-1310640</wp:posOffset>
            </wp:positionV>
            <wp:extent cx="8572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-1310640</wp:posOffset>
            </wp:positionV>
            <wp:extent cx="85725"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-368300</wp:posOffset>
            </wp:positionV>
            <wp:extent cx="9461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-368300</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-368300</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946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94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of the new charges for the three and nine months ended September 30, 2023 and 2022 relate to future cash outflows. Net current year plan charges for the three months ended September 30, 2023 primarily relate to the rationalization and workforce reorganization plan in EMEA and the plan to improve profitability in Asia Pacific. Net current year plan charges for the nine months ended September 30, 2023 also include the plan to reduce production capacity at Fulda, the plan to streamline our EMEA distribution network, the plan to reduce costs associated with our global operations and technology organization, and the plan to reduce manufacturing staffing levels and capacity in EMEA. Net current year plan charges for the three and nine months ended September 30, 2022 are related to the closure of Melksham, the integration of Cooper Tire, and a plan to exit retail operations in South Africa.</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prior year plan charges for the three months ended September 30, 2023 include $3 million related to the closure of Melksham, $3 million related to the integration of Cooper Tire, $1 million related to a plan in South Africa, $1 million related to the permanent closure of our Gadsden, Alabama tire manufacturing facility ("Gadsden"), and reversals of $1 million for actions no longer needed for their originally intended purpose. Net prior year plan charges for the nine months ended September 30, 2023 include $9 million related to the closure of Melksham, $7 million related to the integration of Cooper Tire, $5 million for various plans to reduce global SAG headcount, $4 million related to the permanent closure of Gadsden, $2 million related to discontinued operations in Russia, $1 million related to a plan in South Africa, and reversals of $7 million for actions no longer needed for their originally intended purpose. Net prior year plan charges for the three and nine months ended September 30, 2022 included $4 million and $14 million, respectively, related to the permanent closure of Gadsden, $1 million and $7 million, respectively, related to the modernization of two of our tire manufacturing facilities in Germany, and reversals of $3 million and $5 million, respectively, for actions no longer needed for their originally intended purpose.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write-offs (recoveries) and accelerated depreciation for the three months ended September 30, 2023 primarily relate to $3 million for the integration of Cooper Tire and $3 million for the closure of Melksham. Asset write-offs (recoveries) and accelerated depreciation for the nine months ended September 30, 2023 primarily relate to $18 million for the integration of Cooper Tire and $11 million for the closure of Melksham, partially offset by $10 million of recoveries of previously written-off accounts receivable and other assets in Russia.</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Ongoing rationalization plans had approximately $960 million in charges incurred prior to 2023 and approximately $100 million is expected to be incurred in future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2,100 associates will be released under plans initiated in 2023, of which approximately 400 were released through September 30, 2023. In the first nine months of 2023, approximately 600 associates were released under plans initiated in prior years. Approximately 2,100 associates remain to be released under all ongoing rationalization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Non-service related pension and other postretirement benefits cost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Financing fees and financial instruments expense</w:t>
            </w:r>
          </w:p>
        </w:tc>
        <w:tc>
          <w:tcPr>
            <w:tcW w:w="2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foreign currency exchange (gains) losses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(11 )</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(22 )</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product liability expense - discontinued products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Royalty income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(22 )</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(gains) losses on asset sales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(98 )</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Miscellaneous (income) expense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r>
      <w:tr>
        <w:trPr>
          <w:trHeight w:val="278"/>
        </w:trPr>
        <w:tc>
          <w:tcPr>
            <w:tcW w:w="6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21</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42</w:t>
            </w:r>
          </w:p>
        </w:tc>
        <w:tc>
          <w:tcPr>
            <w:tcW w:w="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82</w:t>
            </w:r>
          </w:p>
        </w:tc>
        <w:tc>
          <w:tcPr>
            <w:tcW w:w="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94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94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months and nine months ended September 30, 2023 includes the impact of higher interest rates. Pension expense for the three and nine months ended September 30, 2023 also includes pension settlement charges of $4 million and $40 million, respectively, related to total lump sum payments exceeding annual service and interest cost for certain non-U.S. plans and the termination of the Cooper Tire U.S. salaried and Ireland defined benefit pension plans. Pension expense for the three and nine months ended September 30, 2022 includes pension settlement charges of $10 million and $28 million, respectively, as a result of lump sum payments exceeding annual service and interest cost of the applicable plans. For further information, refer to Note to the Consolidated Financial Statements No. 10, Pension, Savings and Other Postretirement Benefit Plans.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foreign currency exchange (gains) losses for the three and nine months ended September 30, 2023 include a $16 million gain and a $3 million loss, respectively, related to the Turkish lira and losses of $15 million and $34 million, respectively, related to the Argentine peso.</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three and nine months ended September 30, 2023 includes interest income in Argentina of $10 million and $28 million, respectively.</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gains on asset sales for the nine months ended September 30, 2023 include a $59 million gain related to a sale and leaseback transaction for a warehouse in Americas. Cash proceeds, which were received during the second quarter of 2023, related to this transaction totaled $66 million. Leaseback terms for this location include a 5-year initial term with one 5-year renewal option. We have determined it is not probable that we will exercise the renewal option. This transaction resulted in the recognition of Operating Lease Right-of-Use Assets totaling $24 million. Net gains on asset sales for the nine months ended September 30, 2022 include a $95 million gain related to a sale and leaseback transaction for certain consumer and commercial retail locations in Americas. Cash proceeds, which were received during the second quarter of 2022, related to this transaction totaled $108 million.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Miscellaneous (income) expense for the three and nine months ended September 30, 2023 includes non-indemnified costs for product liability claims related to products manufactured by a formerly consolidated joint venture entity totaling $4 million and $19 million, respectively. Miscellaneous (income) expense for the nine months ended September 30, 2023 also includes $11 million of income related to a favorable court decision setting aside a previous unfavorable verdict on intellectual property-related legal claims, $5 million of income for the write-off of accumulated foreign currency translation related to our exited business in Russia and a $10 million loss related to the sale of a receivable in Argentina. Miscellaneous (income) expense for the three and nine months ended September 30, 2022 includes $14 million and $15 million of expense, respectively, for intellectual property-related legal claims.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also includes financing fees and financial instruments expense, which consists of commitment fees and charges incurred in connection with financing transactions; general and product liability expense - discontinued products, which consists of charges for claims against us related primarily to asbestos personal injury claims, net of probable insurance recoveries; and royalty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third quarter of 2023, we recorded income tax expense of $25 million on a loss before income taxes of $59 million. For the first nine months of 2023, we recorded income tax expense of $22 million on a loss before income taxes of $369 million. Income tax expense for the three and nine months ended September 30, 2023 includes a net discrete tax benefit of $8 million and $5 million, respectively.</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third quarter of 2022, we recorded income tax expense of $58 million on income before income taxes of $106 million. For the first nine months of 2022, we recorded income tax expense of $178 million on income before income taxes of $492 million. Income tax expense for the three and nine months ended September 30, 2022 includes net discrete tax expense of $2 million and $20 million, respectively. Discrete tax expense for the first nine months of 2022 includes a charge of $14 million to write off deferred tax assets related to tax loss carryforwards in the UK and a charge of $11 million to establish a full valuation allowance on our net deferred tax assets in Russia, partially offset by a net benefit of $5 million for various other items.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both the three and nine months ended September 30, 2023 and three and nine months ended September 30, 2022 primarily relates to losses in foreign jurisdictions in which no tax benefits are recorded and the discrete items noted above.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2023, we do not anticipate that the 15% corporate alternative minimum tax ("CAMT") under the Inflation Reduction Act of 2022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and December 31, 2022, we had approximately $1.2 billion and $1.1 billion of U.S. federal, state and local net deferred tax assets, respectively, inclusive of valuation allowances totaling $26 million in each period primarily for state tax loss carryforwards with limited lives. Approximately $800 million of these U.S. net deferred tax assets have unlimited lives and approximately $400 million have limited lives and expire between 2023 and 2042.</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September 30, 2023 and December 31, 2022, our U.S. net deferred tax assets described above include approximately $245 million and $230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September 30, 2023, our U.S. net deferred tax assets, including our foreign tax credits, will be fully utilized.</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and December 31, 2022, we also had approximately $1.3 billion and $1.2 billion of foreign net deferred tax assets, respectively, and related valuation allowances of approximately $1.1 billion and $1.0 billion, respectively. Our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various foreign taxing jurisdictions in recent periods represented sufficient negative evidence to require us to maintain a full valuation allowance against certain of these net foreign deferred tax assets. Most notably, in Luxembourg, we maintain a valuation allowance of $918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2023, changes to our unrecognized tax benefits did not, and for the full year of 2023 are not expected to, have a significant impact on our financial position or results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open to examination in the United States from 2021 onward and in Germany from 2018 onward. Generally, for our remaining tax jurisdictions, years from 2018 onward are still open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EARNINGS PER SHARE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Pr>
          <w:p>
            <w:pPr>
              <w:spacing w:after="0"/>
              <w:rPr>
                <w:sz w:val="16"/>
                <w:szCs w:val="16"/>
                <w:color w:val="auto"/>
              </w:rPr>
            </w:pPr>
          </w:p>
        </w:tc>
        <w:tc>
          <w:tcPr>
            <w:tcW w:w="9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2022</w:t>
            </w:r>
          </w:p>
        </w:tc>
      </w:tr>
      <w:tr>
        <w:trPr>
          <w:trHeight w:val="237"/>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 — basic:</w:t>
            </w: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r>
      <w:tr>
        <w:trPr>
          <w:trHeight w:val="237"/>
        </w:trPr>
        <w:tc>
          <w:tcPr>
            <w:tcW w:w="6200" w:type="dxa"/>
            <w:vAlign w:val="bottom"/>
          </w:tcPr>
          <w:p>
            <w:pPr>
              <w:ind w:left="120"/>
              <w:spacing w:after="0"/>
              <w:rPr>
                <w:sz w:val="20"/>
                <w:szCs w:val="20"/>
                <w:color w:val="auto"/>
              </w:rPr>
            </w:pPr>
            <w:r>
              <w:rPr>
                <w:rFonts w:ascii="Arial" w:cs="Arial" w:eastAsia="Arial" w:hAnsi="Arial"/>
                <w:sz w:val="18"/>
                <w:szCs w:val="18"/>
                <w:color w:val="auto"/>
              </w:rPr>
              <w:t>Goodyear 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(89 )</w:t>
            </w:r>
          </w:p>
        </w:tc>
        <w:tc>
          <w:tcPr>
            <w:tcW w:w="8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(398 )</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306</w:t>
            </w:r>
          </w:p>
        </w:tc>
      </w:tr>
      <w:tr>
        <w:trPr>
          <w:trHeight w:val="20"/>
        </w:trPr>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284</w:t>
            </w:r>
          </w:p>
        </w:tc>
      </w:tr>
      <w:tr>
        <w:trPr>
          <w:trHeight w:val="226"/>
        </w:trPr>
        <w:tc>
          <w:tcPr>
            <w:tcW w:w="6200" w:type="dxa"/>
            <w:vAlign w:val="bottom"/>
          </w:tcPr>
          <w:p>
            <w:pPr>
              <w:ind w:left="120"/>
              <w:spacing w:after="0"/>
              <w:rPr>
                <w:sz w:val="20"/>
                <w:szCs w:val="20"/>
                <w:color w:val="auto"/>
              </w:rPr>
            </w:pPr>
            <w:r>
              <w:rPr>
                <w:rFonts w:ascii="Arial" w:cs="Arial" w:eastAsia="Arial" w:hAnsi="Arial"/>
                <w:sz w:val="18"/>
                <w:szCs w:val="18"/>
                <w:b w:val="1"/>
                <w:bCs w:val="1"/>
                <w:color w:val="auto"/>
              </w:rPr>
              <w:t>Earnings (loss) per common share — basic</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(0.31 )</w:t>
            </w:r>
          </w:p>
        </w:tc>
        <w:tc>
          <w:tcPr>
            <w:tcW w:w="8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0.16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(1.40 )</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1.08</w:t>
            </w:r>
          </w:p>
        </w:tc>
      </w:tr>
      <w:tr>
        <w:trPr>
          <w:trHeight w:val="20"/>
        </w:trPr>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9"/>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 — diluted: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1"/>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Goodyear 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84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(398 )</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306</w:t>
            </w:r>
          </w:p>
        </w:tc>
      </w:tr>
      <w:tr>
        <w:trPr>
          <w:trHeight w:val="223"/>
        </w:trPr>
        <w:tc>
          <w:tcPr>
            <w:tcW w:w="62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40" w:type="dxa"/>
            <w:vAlign w:val="bottom"/>
            <w:tcBorders>
              <w:top w:val="single" w:sz="8" w:color="CFF0F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284</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284</w:t>
            </w:r>
          </w:p>
        </w:tc>
      </w:tr>
      <w:tr>
        <w:trPr>
          <w:trHeight w:val="243"/>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Dilutive effect of stock options and other dilutive securities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37"/>
        </w:trPr>
        <w:tc>
          <w:tcPr>
            <w:tcW w:w="6200" w:type="dxa"/>
            <w:vAlign w:val="bottom"/>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w:t>
            </w:r>
          </w:p>
        </w:tc>
      </w:tr>
      <w:tr>
        <w:trPr>
          <w:trHeight w:val="20"/>
        </w:trPr>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5"/>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Earnings (loss) per common share —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(0.31 )</w:t>
            </w:r>
          </w:p>
        </w:tc>
        <w:tc>
          <w:tcPr>
            <w:tcW w:w="1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1"/>
              </w:rPr>
              <w:t>0.16</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(1.40 )</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-1370965</wp:posOffset>
            </wp:positionV>
            <wp:extent cx="173164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31645" cy="20574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-702310</wp:posOffset>
            </wp:positionV>
            <wp:extent cx="173164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31645" cy="18034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-367665</wp:posOffset>
            </wp:positionV>
            <wp:extent cx="9461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-367665</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-367665</wp:posOffset>
            </wp:positionV>
            <wp:extent cx="857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946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94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Weighted average shares outstanding — diluted for the three and nine months ended September 30, 2023 excludes the dilutive effect of approximately 2 million shares, related primarily to options with exercise prices less than the average market price of our common shares (i.e., "in-the-money" options) and unvested restricted stock units, as their inclusion would have been anti-dilutive due to the Goodyear net loss. Additionally, weighted average shares outstanding — diluted for both the three and nine months ended September 30, 2023 and 2022 excludes approximately 2 million equivalent shares related to options with exercise prices greater than the average market price of our common shares (i.e., "underwater" options).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BUSINESS SEGMENTS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5"/>
                <w:szCs w:val="15"/>
                <w:color w:val="auto"/>
              </w:rPr>
            </w:pPr>
          </w:p>
        </w:tc>
      </w:tr>
      <w:tr>
        <w:trPr>
          <w:trHeight w:val="185"/>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3,120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3,304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8,926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9,366</w:t>
            </w:r>
          </w:p>
        </w:tc>
      </w:tr>
      <w:tr>
        <w:trPr>
          <w:trHeight w:val="249"/>
        </w:trPr>
        <w:tc>
          <w:tcPr>
            <w:tcW w:w="6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1,358</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4,281</w:t>
            </w: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1,817</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1,784</w:t>
            </w:r>
          </w:p>
        </w:tc>
      </w:tr>
      <w:tr>
        <w:trPr>
          <w:trHeight w:val="278"/>
        </w:trPr>
        <w:tc>
          <w:tcPr>
            <w:tcW w:w="64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5,142</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5,311</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14,950</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15,431</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7"/>
        </w:trPr>
        <w:tc>
          <w:tcPr>
            <w:tcW w:w="6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258</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306</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815</w:t>
            </w: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141</w:t>
            </w:r>
          </w:p>
        </w:tc>
      </w:tr>
      <w:tr>
        <w:trPr>
          <w:trHeight w:val="243"/>
        </w:trPr>
        <w:tc>
          <w:tcPr>
            <w:tcW w:w="6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84</w:t>
            </w:r>
          </w:p>
        </w:tc>
      </w:tr>
      <w:tr>
        <w:trPr>
          <w:trHeight w:val="239"/>
        </w:trPr>
        <w:tc>
          <w:tcPr>
            <w:tcW w:w="6440" w:type="dxa"/>
            <w:vAlign w:val="bottom"/>
          </w:tcPr>
          <w:p>
            <w:pPr>
              <w:ind w:left="300"/>
              <w:spacing w:after="0"/>
              <w:rPr>
                <w:sz w:val="20"/>
                <w:szCs w:val="20"/>
                <w:color w:val="auto"/>
              </w:rPr>
            </w:pPr>
            <w:r>
              <w:rPr>
                <w:rFonts w:ascii="Arial" w:cs="Arial" w:eastAsia="Arial" w:hAnsi="Arial"/>
                <w:sz w:val="18"/>
                <w:szCs w:val="18"/>
                <w:b w:val="1"/>
                <w:bCs w:val="1"/>
                <w:color w:val="auto"/>
              </w:rPr>
              <w:t>Total 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auto"/>
              </w:rPr>
              <w:t>336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373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585</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1,040</w:t>
            </w: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Rationalizations (Note 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198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82</w:t>
            </w: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331</w:t>
            </w: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Other (income) expense (Note 4)</w:t>
            </w:r>
          </w:p>
        </w:tc>
        <w:tc>
          <w:tcPr>
            <w:tcW w:w="22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1"/>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 write-offs (recoveries) and accelerated depreciation,</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44"/>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(Note 3)</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Corporate incentive compensation plans</w:t>
            </w:r>
          </w:p>
        </w:tc>
        <w:tc>
          <w:tcPr>
            <w:tcW w:w="22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57</w:t>
            </w: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expenses of divested operations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r>
      <w:tr>
        <w:trPr>
          <w:trHeight w:val="243"/>
        </w:trPr>
        <w:tc>
          <w:tcPr>
            <w:tcW w:w="6440" w:type="dxa"/>
            <w:vAlign w:val="bottom"/>
          </w:tcPr>
          <w:p>
            <w:pPr>
              <w:ind w:left="200"/>
              <w:spacing w:after="0" w:line="243"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r>
      <w:tr>
        <w:trPr>
          <w:trHeight w:val="272"/>
        </w:trPr>
        <w:tc>
          <w:tcPr>
            <w:tcW w:w="64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(59 )</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106</w:t>
            </w: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(369 )</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-2391410</wp:posOffset>
            </wp:positionV>
            <wp:extent cx="1654175"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54175" cy="17970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-1748155</wp:posOffset>
            </wp:positionV>
            <wp:extent cx="9461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-1748155</wp:posOffset>
            </wp:positionV>
            <wp:extent cx="939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-1748155</wp:posOffset>
            </wp:positionV>
            <wp:extent cx="939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3" w:lineRule="exact"/>
        <w:rPr>
          <w:sz w:val="20"/>
          <w:szCs w:val="20"/>
          <w:color w:val="auto"/>
        </w:rPr>
      </w:pPr>
    </w:p>
    <w:p>
      <w:pPr>
        <w:jc w:val="both"/>
        <w:ind w:left="760" w:hanging="752"/>
        <w:spacing w:after="0" w:line="263"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for the three and nine months ended September 30, 2023 includes $8 million related to the insurance deductible for the fire in Debica, Poland. Other for the nine months ended September 30, 2023 also includes $14 million related to the insurance deductible for the tornado in Tupelo, Mississippi.</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Rationalizations, as described in Note to the Consolidated Financial Statements No. 3, Costs Associated with Rationalization Programs, net (gains) losses on asset sales, as described in Note to the Consolidated Financial Statements No. 4, Other (Income) Expense, and asset write-offs (recoveries) and accelerated depreciation were not charged to the strategic business units ("SBUs") for performance evaluation purposes but were attributable to the SBUs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196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6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Rationalizations:</w:t>
            </w:r>
          </w:p>
        </w:tc>
        <w:tc>
          <w:tcPr>
            <w:tcW w:w="66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660" w:type="dxa"/>
            <w:vAlign w:val="bottom"/>
          </w:tcPr>
          <w:p>
            <w:pPr>
              <w:jc w:val="right"/>
              <w:ind w:right="4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9"/>
        </w:trPr>
        <w:tc>
          <w:tcPr>
            <w:tcW w:w="6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6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9"/>
              </w:rPr>
              <w:t>139</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9"/>
        </w:trPr>
        <w:tc>
          <w:tcPr>
            <w:tcW w:w="64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Segment Rationalizations</w:t>
            </w:r>
          </w:p>
        </w:tc>
        <w:tc>
          <w:tcPr>
            <w:tcW w:w="660" w:type="dxa"/>
            <w:vAlign w:val="bottom"/>
            <w:tcBorders>
              <w:bottom w:val="single" w:sz="8" w:color="auto"/>
            </w:tcBorders>
            <w:shd w:val="clear" w:color="auto" w:fill="CFF0FC"/>
          </w:tcPr>
          <w:p>
            <w:pPr>
              <w:jc w:val="right"/>
              <w:ind w:right="47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99"/>
              </w:rPr>
              <w:t>163</w:t>
            </w:r>
          </w:p>
        </w:tc>
        <w:tc>
          <w:tcPr>
            <w:tcW w:w="1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262</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21"/>
        </w:trPr>
        <w:tc>
          <w:tcPr>
            <w:tcW w:w="644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9"/>
        </w:trPr>
        <w:tc>
          <w:tcPr>
            <w:tcW w:w="64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Rationalizations</w:t>
            </w:r>
          </w:p>
        </w:tc>
        <w:tc>
          <w:tcPr>
            <w:tcW w:w="660" w:type="dxa"/>
            <w:vAlign w:val="bottom"/>
            <w:tcBorders>
              <w:bottom w:val="single" w:sz="8" w:color="auto"/>
            </w:tcBorders>
            <w:shd w:val="clear" w:color="auto" w:fill="CFF0FC"/>
          </w:tcPr>
          <w:p>
            <w:pPr>
              <w:jc w:val="right"/>
              <w:ind w:right="47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99"/>
              </w:rPr>
              <w:t>198</w:t>
            </w:r>
          </w:p>
        </w:tc>
        <w:tc>
          <w:tcPr>
            <w:tcW w:w="1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45</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302</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160"/>
        </w:trPr>
        <w:tc>
          <w:tcPr>
            <w:tcW w:w="6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(Gains) Losses on Asset Sales:</w:t>
            </w:r>
          </w:p>
        </w:tc>
        <w:tc>
          <w:tcPr>
            <w:tcW w:w="6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660" w:type="dxa"/>
            <w:vAlign w:val="bottom"/>
          </w:tcPr>
          <w:p>
            <w:pPr>
              <w:jc w:val="right"/>
              <w:ind w:right="4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(6 )</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(68 )</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9"/>
        </w:trPr>
        <w:tc>
          <w:tcPr>
            <w:tcW w:w="644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Segment Net (Gains) Losses on Asset Sales</w:t>
            </w:r>
          </w:p>
        </w:tc>
        <w:tc>
          <w:tcPr>
            <w:tcW w:w="660" w:type="dxa"/>
            <w:vAlign w:val="bottom"/>
            <w:tcBorders>
              <w:top w:val="single" w:sz="8" w:color="auto"/>
              <w:bottom w:val="single" w:sz="8" w:color="auto"/>
            </w:tcBorders>
            <w:shd w:val="clear" w:color="auto" w:fill="CFF0FC"/>
          </w:tcPr>
          <w:p>
            <w:pPr>
              <w:jc w:val="right"/>
              <w:ind w:right="47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(68 )</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(98 )</w:t>
            </w:r>
          </w:p>
        </w:tc>
        <w:tc>
          <w:tcPr>
            <w:tcW w:w="0" w:type="dxa"/>
            <w:vAlign w:val="bottom"/>
          </w:tcPr>
          <w:p>
            <w:pPr>
              <w:spacing w:after="0"/>
              <w:rPr>
                <w:sz w:val="1"/>
                <w:szCs w:val="1"/>
                <w:color w:val="auto"/>
              </w:rPr>
            </w:pPr>
          </w:p>
        </w:tc>
      </w:tr>
      <w:tr>
        <w:trPr>
          <w:trHeight w:val="160"/>
        </w:trPr>
        <w:tc>
          <w:tcPr>
            <w:tcW w:w="6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 Write-offs (Recoveries) and Accelerated Depreciation, net:</w:t>
            </w:r>
          </w:p>
        </w:tc>
        <w:tc>
          <w:tcPr>
            <w:tcW w:w="6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660" w:type="dxa"/>
            <w:vAlign w:val="bottom"/>
          </w:tcPr>
          <w:p>
            <w:pPr>
              <w:jc w:val="right"/>
              <w:ind w:right="4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6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440" w:type="dxa"/>
            <w:vAlign w:val="bottom"/>
          </w:tcPr>
          <w:p>
            <w:pPr>
              <w:ind w:left="300"/>
              <w:spacing w:after="0"/>
              <w:rPr>
                <w:sz w:val="20"/>
                <w:szCs w:val="20"/>
                <w:color w:val="auto"/>
              </w:rPr>
            </w:pPr>
            <w:r>
              <w:rPr>
                <w:rFonts w:ascii="Arial" w:cs="Arial" w:eastAsia="Arial" w:hAnsi="Arial"/>
                <w:sz w:val="18"/>
                <w:szCs w:val="18"/>
                <w:b w:val="1"/>
                <w:bCs w:val="1"/>
                <w:color w:val="auto"/>
                <w:w w:val="95"/>
              </w:rPr>
              <w:t>Total Segment Asset Write-offs (Recoveries) and Accelerated Depreciation,</w:t>
            </w:r>
          </w:p>
        </w:tc>
        <w:tc>
          <w:tcPr>
            <w:tcW w:w="660" w:type="dxa"/>
            <w:vAlign w:val="bottom"/>
            <w:vMerge w:val="restart"/>
          </w:tcPr>
          <w:p>
            <w:pPr>
              <w:jc w:val="right"/>
              <w:ind w:right="474"/>
              <w:spacing w:after="0"/>
              <w:rPr>
                <w:sz w:val="20"/>
                <w:szCs w:val="20"/>
                <w:color w:val="auto"/>
              </w:rPr>
            </w:pPr>
            <w:r>
              <w:rPr>
                <w:rFonts w:ascii="Arial" w:cs="Arial" w:eastAsia="Arial" w:hAnsi="Arial"/>
                <w:sz w:val="18"/>
                <w:szCs w:val="18"/>
                <w:b w:val="1"/>
                <w:bCs w:val="1"/>
                <w:color w:val="auto"/>
                <w:w w:val="79"/>
              </w:rPr>
              <w:t>$</w:t>
            </w: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8</w:t>
            </w:r>
          </w:p>
        </w:tc>
        <w:tc>
          <w:tcPr>
            <w:tcW w:w="840" w:type="dxa"/>
            <w:vAlign w:val="bottom"/>
            <w:gridSpan w:val="2"/>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21</w:t>
            </w:r>
          </w:p>
        </w:tc>
        <w:tc>
          <w:tcPr>
            <w:tcW w:w="46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7"/>
        </w:trPr>
        <w:tc>
          <w:tcPr>
            <w:tcW w:w="6440" w:type="dxa"/>
            <w:vAlign w:val="bottom"/>
          </w:tcPr>
          <w:p>
            <w:pPr>
              <w:ind w:left="300"/>
              <w:spacing w:after="0"/>
              <w:rPr>
                <w:sz w:val="20"/>
                <w:szCs w:val="20"/>
                <w:color w:val="auto"/>
              </w:rPr>
            </w:pPr>
            <w:r>
              <w:rPr>
                <w:rFonts w:ascii="Arial" w:cs="Arial" w:eastAsia="Arial" w:hAnsi="Arial"/>
                <w:sz w:val="18"/>
                <w:szCs w:val="18"/>
                <w:b w:val="1"/>
                <w:bCs w:val="1"/>
                <w:color w:val="auto"/>
              </w:rPr>
              <w:t>net</w:t>
            </w:r>
          </w:p>
        </w:tc>
        <w:tc>
          <w:tcPr>
            <w:tcW w:w="6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8"/>
        </w:trPr>
        <w:tc>
          <w:tcPr>
            <w:tcW w:w="6440" w:type="dxa"/>
            <w:vAlign w:val="bottom"/>
          </w:tcPr>
          <w:p>
            <w:pPr>
              <w:ind w:left="300"/>
              <w:spacing w:after="0"/>
              <w:rPr>
                <w:sz w:val="20"/>
                <w:szCs w:val="20"/>
                <w:color w:val="auto"/>
              </w:rPr>
            </w:pPr>
            <w:r>
              <w:rPr>
                <w:rFonts w:ascii="Arial" w:cs="Arial" w:eastAsia="Arial" w:hAnsi="Arial"/>
                <w:sz w:val="18"/>
                <w:szCs w:val="18"/>
                <w:b w:val="1"/>
                <w:bCs w:val="1"/>
                <w:color w:val="auto"/>
              </w:rPr>
              <w:t>Total Asset Write-offs (Recoveries) and Accelerated Depreciation, net</w:t>
            </w:r>
          </w:p>
        </w:tc>
        <w:tc>
          <w:tcPr>
            <w:tcW w:w="660" w:type="dxa"/>
            <w:vAlign w:val="bottom"/>
          </w:tcPr>
          <w:p>
            <w:pPr>
              <w:jc w:val="right"/>
              <w:ind w:right="47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51"/>
              <w:spacing w:after="0"/>
              <w:rPr>
                <w:sz w:val="20"/>
                <w:szCs w:val="20"/>
                <w:color w:val="auto"/>
              </w:rPr>
            </w:pPr>
            <w:r>
              <w:rPr>
                <w:rFonts w:ascii="Arial" w:cs="Arial" w:eastAsia="Arial" w:hAnsi="Arial"/>
                <w:sz w:val="18"/>
                <w:szCs w:val="18"/>
                <w:b w:val="1"/>
                <w:bCs w:val="1"/>
                <w:color w:val="auto"/>
              </w:rPr>
              <w:t>8</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21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-2193925</wp:posOffset>
            </wp:positionV>
            <wp:extent cx="165417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54175"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-1851025</wp:posOffset>
            </wp:positionV>
            <wp:extent cx="165417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54175" cy="13716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-1405255</wp:posOffset>
            </wp:positionV>
            <wp:extent cx="1654175"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54175" cy="3003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-641985</wp:posOffset>
            </wp:positionV>
            <wp:extent cx="94615" cy="299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29972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-641985</wp:posOffset>
            </wp:positionV>
            <wp:extent cx="93980" cy="299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-641985</wp:posOffset>
            </wp:positionV>
            <wp:extent cx="93980" cy="299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-187960</wp:posOffset>
            </wp:positionV>
            <wp:extent cx="9461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939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-187960</wp:posOffset>
            </wp:positionV>
            <wp:extent cx="939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September 30, 2023, we had total credit arrangements of $11,624 million, of which $3,077 million were unused. At that date, approximately 30% of our debt was at variable interest rates averaging 6.99%.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2023, we had short term committed and uncommitted credit arrangements totaling $668 million, of which $303 million were unused.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are available primarily to certain of our foreign subsidiaries through various banks at quoted market interest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jc w:val="right"/>
              <w:ind w:right="14"/>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50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83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Chinese credit facilities</w:t>
            </w:r>
          </w:p>
        </w:tc>
        <w:tc>
          <w:tcPr>
            <w:tcW w:w="200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ind w:right="129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20"/>
              <w:spacing w:after="0"/>
              <w:rPr>
                <w:sz w:val="20"/>
                <w:szCs w:val="20"/>
                <w:color w:val="auto"/>
              </w:rPr>
            </w:pPr>
            <w:r>
              <w:rPr>
                <w:rFonts w:ascii="Arial" w:cs="Arial" w:eastAsia="Arial" w:hAnsi="Arial"/>
                <w:sz w:val="18"/>
                <w:szCs w:val="18"/>
                <w:color w:val="auto"/>
              </w:rPr>
              <w:t>Other foreign and domestic debt</w:t>
            </w:r>
          </w:p>
        </w:tc>
        <w:tc>
          <w:tcPr>
            <w:tcW w:w="20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Notes Payable and Overdrafts</w:t>
            </w:r>
          </w:p>
        </w:tc>
        <w:tc>
          <w:tcPr>
            <w:tcW w:w="200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auto"/>
            </w:tcBorders>
            <w:shd w:val="clear" w:color="auto" w:fill="CFF0FC"/>
          </w:tcPr>
          <w:p>
            <w:pPr>
              <w:jc w:val="right"/>
              <w:ind w:right="129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322</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120"/>
              <w:spacing w:after="0"/>
              <w:rPr>
                <w:sz w:val="20"/>
                <w:szCs w:val="20"/>
                <w:color w:val="auto"/>
              </w:rPr>
            </w:pPr>
            <w:r>
              <w:rPr>
                <w:rFonts w:ascii="Arial" w:cs="Arial" w:eastAsia="Arial" w:hAnsi="Arial"/>
                <w:sz w:val="18"/>
                <w:szCs w:val="18"/>
                <w:color w:val="auto"/>
              </w:rPr>
              <w:t>Weighted average interest rate</w:t>
            </w:r>
          </w:p>
        </w:tc>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9.06 %</w:t>
            </w:r>
          </w:p>
        </w:tc>
        <w:tc>
          <w:tcPr>
            <w:tcW w:w="3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49"/>
        </w:trPr>
        <w:tc>
          <w:tcPr>
            <w:tcW w:w="5020" w:type="dxa"/>
            <w:vAlign w:val="bottom"/>
            <w:shd w:val="clear" w:color="auto" w:fill="CFF0FC"/>
          </w:tcPr>
          <w:p>
            <w:pPr>
              <w:spacing w:after="0"/>
              <w:rPr>
                <w:sz w:val="21"/>
                <w:szCs w:val="21"/>
                <w:color w:val="auto"/>
              </w:rPr>
            </w:pPr>
          </w:p>
        </w:tc>
        <w:tc>
          <w:tcPr>
            <w:tcW w:w="3500" w:type="dxa"/>
            <w:vAlign w:val="bottom"/>
            <w:gridSpan w:val="2"/>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20"/>
              <w:spacing w:after="0"/>
              <w:rPr>
                <w:sz w:val="20"/>
                <w:szCs w:val="20"/>
                <w:color w:val="auto"/>
              </w:rPr>
            </w:pPr>
            <w:r>
              <w:rPr>
                <w:rFonts w:ascii="Arial" w:cs="Arial" w:eastAsia="Arial" w:hAnsi="Arial"/>
                <w:sz w:val="18"/>
                <w:szCs w:val="18"/>
                <w:color w:val="auto"/>
              </w:rPr>
              <w:t>Chinese credit facilities</w:t>
            </w:r>
          </w:p>
        </w:tc>
        <w:tc>
          <w:tcPr>
            <w:tcW w:w="3500" w:type="dxa"/>
            <w:vAlign w:val="bottom"/>
            <w:gridSpan w:val="2"/>
          </w:tcPr>
          <w:p>
            <w:pPr>
              <w:jc w:val="right"/>
              <w:ind w:right="129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foreign and domestic debt (including finance leases)</w:t>
            </w:r>
          </w:p>
        </w:tc>
        <w:tc>
          <w:tcPr>
            <w:tcW w:w="20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2000" w:type="dxa"/>
            <w:vAlign w:val="bottom"/>
          </w:tcPr>
          <w:p>
            <w:pPr>
              <w:spacing w:after="0"/>
              <w:rPr>
                <w:sz w:val="20"/>
                <w:szCs w:val="20"/>
                <w:color w:val="auto"/>
              </w:rPr>
            </w:pPr>
          </w:p>
        </w:tc>
        <w:tc>
          <w:tcPr>
            <w:tcW w:w="1500" w:type="dxa"/>
            <w:vAlign w:val="bottom"/>
            <w:tcBorders>
              <w:bottom w:val="single" w:sz="8" w:color="auto"/>
            </w:tcBorders>
          </w:tcPr>
          <w:p>
            <w:pPr>
              <w:jc w:val="right"/>
              <w:ind w:right="129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120"/>
              <w:spacing w:after="0"/>
              <w:rPr>
                <w:sz w:val="20"/>
                <w:szCs w:val="20"/>
                <w:color w:val="auto"/>
              </w:rPr>
            </w:pPr>
            <w:r>
              <w:rPr>
                <w:rFonts w:ascii="Arial" w:cs="Arial" w:eastAsia="Arial" w:hAnsi="Arial"/>
                <w:sz w:val="18"/>
                <w:szCs w:val="18"/>
                <w:color w:val="auto"/>
              </w:rPr>
              <w:t>Weighted average interest rate</w:t>
            </w:r>
          </w:p>
        </w:tc>
        <w:tc>
          <w:tcPr>
            <w:tcW w:w="2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6.69 %</w:t>
            </w:r>
          </w:p>
        </w:tc>
        <w:tc>
          <w:tcPr>
            <w:tcW w:w="3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obligations due within one year</w:t>
            </w:r>
          </w:p>
        </w:tc>
        <w:tc>
          <w:tcPr>
            <w:tcW w:w="200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129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599</w:t>
            </w: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0" w:type="dxa"/>
            <w:vAlign w:val="bottom"/>
            <w:vMerge w:val="restart"/>
          </w:tcPr>
          <w:p>
            <w:pPr>
              <w:jc w:val="right"/>
              <w:ind w:right="1216"/>
              <w:spacing w:after="0"/>
              <w:rPr>
                <w:sz w:val="20"/>
                <w:szCs w:val="20"/>
                <w:color w:val="auto"/>
              </w:rPr>
            </w:pPr>
            <w:r>
              <w:rPr>
                <w:rFonts w:ascii="Arial" w:cs="Arial" w:eastAsia="Arial" w:hAnsi="Arial"/>
                <w:sz w:val="18"/>
                <w:szCs w:val="18"/>
                <w:color w:val="auto"/>
              </w:rPr>
              <w:t>16</w:t>
            </w: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-1662430</wp:posOffset>
            </wp:positionV>
            <wp:extent cx="11176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531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we had long term credit arrangements totaling $10,956 million, of which $2,774 million were unused.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December 31, 2022</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4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60" w:lineRule="exact"/>
              <w:rPr>
                <w:sz w:val="20"/>
                <w:szCs w:val="20"/>
                <w:color w:val="auto"/>
              </w:rPr>
            </w:pPr>
            <w:r>
              <w:rPr>
                <w:rFonts w:ascii="Arial" w:cs="Arial" w:eastAsia="Arial" w:hAnsi="Arial"/>
                <w:sz w:val="14"/>
                <w:szCs w:val="14"/>
                <w:b w:val="1"/>
                <w:bCs w:val="1"/>
                <w:color w:val="auto"/>
                <w:w w:val="94"/>
              </w:rPr>
              <w:t>Interest</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348"/>
              <w:spacing w:after="0" w:line="160"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Rate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Notes:</w:t>
            </w: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680" w:type="dxa"/>
            <w:vAlign w:val="bottom"/>
          </w:tcPr>
          <w:p>
            <w:pPr>
              <w:ind w:left="120"/>
              <w:spacing w:after="0"/>
              <w:rPr>
                <w:sz w:val="20"/>
                <w:szCs w:val="20"/>
                <w:color w:val="auto"/>
              </w:rPr>
            </w:pPr>
            <w:r>
              <w:rPr>
                <w:rFonts w:ascii="Arial" w:cs="Arial" w:eastAsia="Arial" w:hAnsi="Arial"/>
                <w:sz w:val="18"/>
                <w:szCs w:val="18"/>
                <w:color w:val="auto"/>
              </w:rPr>
              <w:t>9.5% due 2025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74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 due 2026</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80" w:type="dxa"/>
            <w:vAlign w:val="bottom"/>
          </w:tcPr>
          <w:p>
            <w:pPr>
              <w:ind w:left="120"/>
              <w:spacing w:after="0"/>
              <w:rPr>
                <w:sz w:val="20"/>
                <w:szCs w:val="20"/>
                <w:color w:val="auto"/>
              </w:rPr>
            </w:pPr>
            <w:r>
              <w:rPr>
                <w:rFonts w:ascii="Arial" w:cs="Arial" w:eastAsia="Arial" w:hAnsi="Arial"/>
                <w:sz w:val="18"/>
                <w:szCs w:val="18"/>
                <w:color w:val="auto"/>
              </w:rPr>
              <w:t>4.875% due 2027</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7.625% due 2027</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80" w:type="dxa"/>
            <w:vAlign w:val="bottom"/>
          </w:tcPr>
          <w:p>
            <w:pPr>
              <w:ind w:left="120"/>
              <w:spacing w:after="0"/>
              <w:rPr>
                <w:sz w:val="20"/>
                <w:szCs w:val="20"/>
                <w:color w:val="auto"/>
              </w:rPr>
            </w:pPr>
            <w:r>
              <w:rPr>
                <w:rFonts w:ascii="Arial" w:cs="Arial" w:eastAsia="Arial" w:hAnsi="Arial"/>
                <w:sz w:val="18"/>
                <w:szCs w:val="18"/>
                <w:color w:val="auto"/>
              </w:rPr>
              <w:t>7% due 2028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2.75% Euro Notes due 2028</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80" w:type="dxa"/>
            <w:vAlign w:val="bottom"/>
          </w:tcPr>
          <w:p>
            <w:pPr>
              <w:ind w:left="120"/>
              <w:spacing w:after="0"/>
              <w:rPr>
                <w:sz w:val="20"/>
                <w:szCs w:val="20"/>
                <w:color w:val="auto"/>
              </w:rPr>
            </w:pPr>
            <w:r>
              <w:rPr>
                <w:rFonts w:ascii="Arial" w:cs="Arial" w:eastAsia="Arial" w:hAnsi="Arial"/>
                <w:sz w:val="18"/>
                <w:szCs w:val="18"/>
                <w:color w:val="auto"/>
              </w:rPr>
              <w:t>5% due 2029</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5.25% due April 2031</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80" w:type="dxa"/>
            <w:vAlign w:val="bottom"/>
          </w:tcPr>
          <w:p>
            <w:pPr>
              <w:ind w:left="120"/>
              <w:spacing w:after="0"/>
              <w:rPr>
                <w:sz w:val="20"/>
                <w:szCs w:val="20"/>
                <w:color w:val="auto"/>
              </w:rPr>
            </w:pPr>
            <w:r>
              <w:rPr>
                <w:rFonts w:ascii="Arial" w:cs="Arial" w:eastAsia="Arial" w:hAnsi="Arial"/>
                <w:sz w:val="18"/>
                <w:szCs w:val="18"/>
                <w:color w:val="auto"/>
              </w:rPr>
              <w:t>5.25% due July 2031</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5.625% due 2033</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Credit Facilities: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First lien revolving credit facility due 2026</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6.65 %</w:t>
            </w:r>
          </w:p>
        </w:tc>
        <w:tc>
          <w:tcPr>
            <w:tcW w:w="92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11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0"/>
        </w:trPr>
        <w:tc>
          <w:tcPr>
            <w:tcW w:w="4680" w:type="dxa"/>
            <w:vAlign w:val="bottom"/>
          </w:tcPr>
          <w:p>
            <w:pPr>
              <w:ind w:left="120"/>
              <w:spacing w:after="0"/>
              <w:rPr>
                <w:sz w:val="20"/>
                <w:szCs w:val="20"/>
                <w:color w:val="auto"/>
              </w:rPr>
            </w:pPr>
            <w:r>
              <w:rPr>
                <w:rFonts w:ascii="Arial" w:cs="Arial" w:eastAsia="Arial" w:hAnsi="Arial"/>
                <w:sz w:val="18"/>
                <w:szCs w:val="18"/>
                <w:color w:val="auto"/>
              </w:rPr>
              <w:t>European revolving credit facility due 2028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5.23 %</w:t>
            </w: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3.39 %</w:t>
            </w:r>
          </w:p>
        </w:tc>
      </w:tr>
      <w:tr>
        <w:trPr>
          <w:trHeight w:val="242"/>
        </w:trPr>
        <w:tc>
          <w:tcPr>
            <w:tcW w:w="4680" w:type="dxa"/>
            <w:vAlign w:val="bottom"/>
          </w:tcPr>
          <w:p>
            <w:pPr>
              <w:ind w:left="20"/>
              <w:spacing w:after="0"/>
              <w:rPr>
                <w:sz w:val="20"/>
                <w:szCs w:val="20"/>
                <w:color w:val="auto"/>
              </w:rPr>
            </w:pPr>
            <w:r>
              <w:rPr>
                <w:rFonts w:ascii="Arial" w:cs="Arial" w:eastAsia="Arial" w:hAnsi="Arial"/>
                <w:sz w:val="18"/>
                <w:szCs w:val="18"/>
                <w:color w:val="auto"/>
              </w:rPr>
              <w:t>Pan-European accounts receivable facility</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5.69 %</w:t>
            </w:r>
          </w:p>
        </w:tc>
        <w:tc>
          <w:tcPr>
            <w:tcW w:w="9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3.77 %</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Mexican credit facility</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7.27 %</w:t>
            </w:r>
          </w:p>
        </w:tc>
        <w:tc>
          <w:tcPr>
            <w:tcW w:w="9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6.29 %</w:t>
            </w: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color w:val="auto"/>
              </w:rPr>
              <w:t>Chinese credit facilities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3.95 %</w:t>
            </w:r>
          </w:p>
        </w:tc>
        <w:tc>
          <w:tcPr>
            <w:tcW w:w="9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4.23 %</w:t>
            </w:r>
          </w:p>
        </w:tc>
      </w:tr>
      <w:tr>
        <w:trPr>
          <w:trHeight w:val="290"/>
        </w:trPr>
        <w:tc>
          <w:tcPr>
            <w:tcW w:w="4680" w:type="dxa"/>
            <w:vAlign w:val="bottom"/>
          </w:tcPr>
          <w:p>
            <w:pPr>
              <w:ind w:left="20"/>
              <w:spacing w:after="0" w:line="290" w:lineRule="exact"/>
              <w:rPr>
                <w:sz w:val="20"/>
                <w:szCs w:val="20"/>
                <w:color w:val="auto"/>
              </w:rPr>
            </w:pPr>
            <w:r>
              <w:rPr>
                <w:rFonts w:ascii="Arial" w:cs="Arial" w:eastAsia="Arial" w:hAnsi="Arial"/>
                <w:sz w:val="18"/>
                <w:szCs w:val="18"/>
                <w:color w:val="auto"/>
              </w:rPr>
              <w:t>Other foreign and domestic debt</w:t>
            </w:r>
            <w:r>
              <w:rPr>
                <w:rFonts w:ascii="Arial" w:cs="Arial" w:eastAsia="Arial" w:hAnsi="Arial"/>
                <w:sz w:val="26"/>
                <w:szCs w:val="26"/>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7.62 %</w:t>
            </w: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6.58 %</w:t>
            </w:r>
          </w:p>
        </w:tc>
      </w:tr>
      <w:tr>
        <w:trPr>
          <w:trHeight w:val="236"/>
        </w:trPr>
        <w:tc>
          <w:tcPr>
            <w:tcW w:w="4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8,131</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7,286</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Unamortized deferred financing fees</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8,092</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7,240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680" w:type="dxa"/>
            <w:vAlign w:val="bottom"/>
          </w:tcPr>
          <w:p>
            <w:pPr>
              <w:ind w:left="20"/>
              <w:spacing w:after="0" w:line="243"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4"/>
                <w:szCs w:val="24"/>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8,344</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7,495</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Less portion due within one year</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(228 )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46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88"/>
              </w:rPr>
              <w:t>8,067</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gridSpan w:val="2"/>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84"/>
              </w:rPr>
              <w:t>7,267</w:t>
            </w: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Interest rates are weighted average interest rates primarily related to various foreign credit facilities with customary terms and conditions.</w:t>
      </w:r>
    </w:p>
    <w:p>
      <w:pPr>
        <w:spacing w:after="0" w:line="74" w:lineRule="exact"/>
        <w:rPr>
          <w:rFonts w:ascii="Arial" w:cs="Arial" w:eastAsia="Arial" w:hAnsi="Arial"/>
          <w:sz w:val="17"/>
          <w:szCs w:val="17"/>
          <w:color w:val="auto"/>
        </w:rPr>
      </w:pPr>
    </w:p>
    <w:p>
      <w:pPr>
        <w:ind w:left="760" w:right="60" w:hanging="75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 million of non-cash financing additions during the nine months ended September 30, 2023, and $20 million of non-cash financing additions during the twelve months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we had $5,554 million of outstanding notes, compared to $5,560 million at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w:t>
      </w:r>
    </w:p>
    <w:p>
      <w:pPr>
        <w:spacing w:after="0" w:line="62"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September 30, 2023, our borrowing base was above the facility's stated amount of $2.75 billion.</w:t>
      </w:r>
    </w:p>
    <w:p>
      <w:pPr>
        <w:sectPr>
          <w:pgSz w:w="11900" w:h="16838" w:orient="portrait"/>
          <w:cols w:equalWidth="0" w:num="1">
            <w:col w:w="11300"/>
          </w:cols>
          <w:pgMar w:left="320" w:top="125" w:right="279" w:bottom="1440" w:gutter="0" w:footer="0" w:header="0"/>
        </w:sectPr>
      </w:pP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1" w:lineRule="exact"/>
        <w:rPr>
          <w:sz w:val="20"/>
          <w:szCs w:val="20"/>
          <w:color w:val="auto"/>
        </w:rPr>
      </w:pPr>
    </w:p>
    <w:p>
      <w:pPr>
        <w:ind w:firstLine="8"/>
        <w:spacing w:after="0" w:line="290"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we had $790 million of borrowings and $1 million of letters of credit issued under the revolving credit facility. At December 31, 2022, we had no borrowings and $3 million of letters of credit issued under the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2028</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there were $191 million (€180 million) of borrowings outstanding under the German tranche, $339 million (€320 million) of borrowings outstanding under the all-borrower tranche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20, 2022 through October 18, 2023, the designated maximum amount of the facility was €300 million. For the period from October 19, 2023 through October 16, 2024, the designated maximum amount of the facility will remain €300 million.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amounts available and utilized under this program totaled $260 million (€245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2022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September 30, 2023, the gross amount of receivables sold was $621 million, compared to $744 million at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Mexican subsidiary and a U.S. subsidiary have a revolving credit facility in Mexico. At September 30, 2023 and December 31, 2022, the amounts available and utilized under this facility were $200 million. The facility ultimately matures on November 22, 2024, has covenants relating to the Mexican and U.S. subsidiaries, and has customary representations and warranties and defaults relating to the Mexican and U.S. subsidiaries’ ability to perform their respective obligations under the facility.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total amounts available and utilized under the Chinese financing arrangements: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2022</w:t>
            </w:r>
          </w:p>
        </w:tc>
      </w:tr>
      <w:tr>
        <w:trPr>
          <w:trHeight w:val="272"/>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available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900</w:t>
            </w: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852</w:t>
            </w:r>
          </w:p>
        </w:tc>
      </w:tr>
      <w:tr>
        <w:trPr>
          <w:trHeight w:val="222"/>
        </w:trPr>
        <w:tc>
          <w:tcPr>
            <w:tcW w:w="7080" w:type="dxa"/>
            <w:vAlign w:val="bottom"/>
          </w:tcPr>
          <w:p>
            <w:pPr>
              <w:ind w:left="20"/>
              <w:spacing w:after="0"/>
              <w:rPr>
                <w:sz w:val="20"/>
                <w:szCs w:val="20"/>
                <w:color w:val="auto"/>
              </w:rPr>
            </w:pPr>
            <w:r>
              <w:rPr>
                <w:rFonts w:ascii="Arial" w:cs="Arial" w:eastAsia="Arial" w:hAnsi="Arial"/>
                <w:sz w:val="18"/>
                <w:szCs w:val="18"/>
                <w:color w:val="auto"/>
              </w:rPr>
              <w:t>Amounts utilized:</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9"/>
        </w:trPr>
        <w:tc>
          <w:tcPr>
            <w:tcW w:w="7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Notes Payable and Overdrafts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w:t>
            </w:r>
          </w:p>
        </w:tc>
      </w:tr>
      <w:tr>
        <w:trPr>
          <w:trHeight w:val="237"/>
        </w:trPr>
        <w:tc>
          <w:tcPr>
            <w:tcW w:w="7080" w:type="dxa"/>
            <w:vAlign w:val="bottom"/>
          </w:tcPr>
          <w:p>
            <w:pPr>
              <w:ind w:left="120"/>
              <w:spacing w:after="0"/>
              <w:rPr>
                <w:sz w:val="20"/>
                <w:szCs w:val="20"/>
                <w:color w:val="auto"/>
              </w:rPr>
            </w:pPr>
            <w:r>
              <w:rPr>
                <w:rFonts w:ascii="Arial" w:cs="Arial" w:eastAsia="Arial" w:hAnsi="Arial"/>
                <w:sz w:val="18"/>
                <w:szCs w:val="18"/>
                <w:color w:val="auto"/>
              </w:rPr>
              <w:t>Long Term Debt due Within One Year</w:t>
            </w:r>
          </w:p>
        </w:tc>
        <w:tc>
          <w:tcPr>
            <w:tcW w:w="30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136</w:t>
            </w:r>
          </w:p>
        </w:tc>
      </w:tr>
      <w:tr>
        <w:trPr>
          <w:trHeight w:val="249"/>
        </w:trPr>
        <w:tc>
          <w:tcPr>
            <w:tcW w:w="7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 Term Debt</w:t>
            </w: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99</w:t>
            </w:r>
          </w:p>
        </w:tc>
      </w:tr>
      <w:tr>
        <w:trPr>
          <w:trHeight w:val="237"/>
        </w:trPr>
        <w:tc>
          <w:tcPr>
            <w:tcW w:w="7080" w:type="dxa"/>
            <w:vAlign w:val="bottom"/>
          </w:tcPr>
          <w:p>
            <w:pPr>
              <w:ind w:left="120"/>
              <w:spacing w:after="0"/>
              <w:rPr>
                <w:sz w:val="20"/>
                <w:szCs w:val="20"/>
                <w:color w:val="auto"/>
              </w:rPr>
            </w:pPr>
            <w:r>
              <w:rPr>
                <w:rFonts w:ascii="Arial" w:cs="Arial" w:eastAsia="Arial" w:hAnsi="Arial"/>
                <w:sz w:val="18"/>
                <w:szCs w:val="18"/>
                <w:color w:val="auto"/>
              </w:rPr>
              <w:t>Letters of credit, bank acceptances and other utilization</w:t>
            </w: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r>
      <w:tr>
        <w:trPr>
          <w:trHeight w:val="279"/>
        </w:trPr>
        <w:tc>
          <w:tcPr>
            <w:tcW w:w="7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utilized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312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336</w:t>
            </w:r>
          </w:p>
        </w:tc>
      </w:tr>
      <w:tr>
        <w:trPr>
          <w:trHeight w:val="228"/>
        </w:trPr>
        <w:tc>
          <w:tcPr>
            <w:tcW w:w="7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Maturities</w:t>
            </w: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11/23-8/28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1/23-8/25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-1293495</wp:posOffset>
            </wp:positionV>
            <wp:extent cx="11112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-334010</wp:posOffset>
            </wp:positionV>
            <wp:extent cx="11112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facilities can only be used to finance the expansion of one of our manufacturing facilities in China and, at September 30, 2023, the unused amount available under these facilities was $92 million, compared to $63 million at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520" w:type="dxa"/>
            <w:vAlign w:val="bottom"/>
          </w:tcPr>
          <w:p>
            <w:pPr>
              <w:jc w:val="center"/>
              <w:ind w:left="282"/>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5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2022</w:t>
            </w:r>
          </w:p>
        </w:tc>
      </w:tr>
      <w:tr>
        <w:trPr>
          <w:trHeight w:val="237"/>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5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jc w:val="right"/>
              <w:ind w:right="134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4</w:t>
            </w:r>
          </w:p>
        </w:tc>
      </w:tr>
      <w:tr>
        <w:trPr>
          <w:trHeight w:val="249"/>
        </w:trPr>
        <w:tc>
          <w:tcPr>
            <w:tcW w:w="7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15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r>
    </w:tbl>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September 30, 2023 and December 31, 2022, these outstanding foreign currency derivatives had notional amounts of $1,711 million and $1,197 million, respectively, and were primarily related to intercompany loans. Other (Income) Expense included net transaction gains on derivatives of $26 million and $30 million for the three and nine months ended September 30, 2023. Other (Income) Expense included net transaction gains on derivatives of $20 million and $54 million for the three and nine months ended September 30, 2022, respectively. These amounts were substantially offset in Other (Income) Expense by the effect of changing exchange rates on the underlying currency exposures.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fair values for foreign currency hedge contracts that meet the criteria to be accounted for as cash flow hedging instruments: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20" w:type="dxa"/>
            <w:vAlign w:val="bottom"/>
          </w:tcPr>
          <w:p>
            <w:pPr>
              <w:spacing w:after="0"/>
              <w:rPr>
                <w:sz w:val="15"/>
                <w:szCs w:val="15"/>
                <w:color w:val="auto"/>
              </w:rPr>
            </w:pPr>
          </w:p>
        </w:tc>
        <w:tc>
          <w:tcPr>
            <w:tcW w:w="154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right"/>
              <w:ind w:right="53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1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2022</w:t>
            </w:r>
          </w:p>
        </w:tc>
      </w:tr>
      <w:tr>
        <w:trPr>
          <w:trHeight w:val="236"/>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5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r>
      <w:tr>
        <w:trPr>
          <w:trHeight w:val="237"/>
        </w:trPr>
        <w:tc>
          <w:tcPr>
            <w:tcW w:w="712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jc w:val="right"/>
              <w:ind w:right="136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9"/>
              <w:spacing w:after="0"/>
              <w:rPr>
                <w:sz w:val="20"/>
                <w:szCs w:val="20"/>
                <w:color w:val="auto"/>
              </w:rPr>
            </w:pPr>
            <w:r>
              <w:rPr>
                <w:rFonts w:ascii="Arial" w:cs="Arial" w:eastAsia="Arial" w:hAnsi="Arial"/>
                <w:sz w:val="18"/>
                <w:szCs w:val="18"/>
                <w:color w:val="auto"/>
              </w:rPr>
              <w:t>1</w:t>
            </w:r>
          </w:p>
        </w:tc>
      </w:tr>
      <w:tr>
        <w:trPr>
          <w:trHeight w:val="249"/>
        </w:trPr>
        <w:tc>
          <w:tcPr>
            <w:tcW w:w="7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15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bl>
    <w:p>
      <w:pPr>
        <w:spacing w:after="0" w:line="10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At September 30, 2023 and December 31, 2022, these outstanding foreign currency derivatives had notional amounts of $50 million and $71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center"/>
              <w:ind w:right="276"/>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6"/>
              </w:rPr>
              <w:t>2022</w:t>
            </w:r>
          </w:p>
        </w:tc>
      </w:tr>
      <w:tr>
        <w:trPr>
          <w:trHeight w:val="20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Amount of gains (losses) deferred to Accumulated Other Comprehensive Loss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44"/>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(4 )  $</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w:t>
            </w:r>
          </w:p>
        </w:tc>
      </w:tr>
      <w:tr>
        <w:trPr>
          <w:trHeight w:val="215"/>
        </w:trPr>
        <w:tc>
          <w:tcPr>
            <w:tcW w:w="6200" w:type="dxa"/>
            <w:vAlign w:val="bottom"/>
          </w:tcPr>
          <w:p>
            <w:pPr>
              <w:ind w:left="20"/>
              <w:spacing w:after="0"/>
              <w:rPr>
                <w:sz w:val="20"/>
                <w:szCs w:val="20"/>
                <w:color w:val="auto"/>
              </w:rPr>
            </w:pPr>
            <w:r>
              <w:rPr>
                <w:rFonts w:ascii="Arial" w:cs="Arial" w:eastAsia="Arial" w:hAnsi="Arial"/>
                <w:sz w:val="18"/>
                <w:szCs w:val="18"/>
                <w:color w:val="auto"/>
              </w:rPr>
              <w:t>Reclassification adjustment for amounts recognized in Cost of Goods Sold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("CGS")</w:t>
            </w:r>
          </w:p>
        </w:tc>
        <w:tc>
          <w:tcPr>
            <w:tcW w:w="240" w:type="dxa"/>
            <w:vAlign w:val="bottom"/>
          </w:tcPr>
          <w:p>
            <w:pPr>
              <w:spacing w:after="0"/>
              <w:rPr>
                <w:sz w:val="20"/>
                <w:szCs w:val="20"/>
                <w:color w:val="auto"/>
              </w:rPr>
            </w:pP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net amount of deferred losses at September 30, 2023 that are expected to be reclassified to earnings within the next twelve months is $3 million.</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assets and liabilities recorded at fair value on the Consolidated Balance Sheets at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Total Carrying 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1"/>
              </w:rPr>
              <w:t>Quoted Prices in Active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vMerge w:val="restart"/>
          </w:tcPr>
          <w:p>
            <w:pPr>
              <w:jc w:val="center"/>
              <w:ind w:right="173"/>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Significant</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right"/>
              <w:ind w:right="350"/>
              <w:spacing w:after="0" w:line="149" w:lineRule="exact"/>
              <w:rPr>
                <w:sz w:val="20"/>
                <w:szCs w:val="20"/>
                <w:color w:val="auto"/>
              </w:rPr>
            </w:pPr>
            <w:r>
              <w:rPr>
                <w:rFonts w:ascii="Arial" w:cs="Arial" w:eastAsia="Arial" w:hAnsi="Arial"/>
                <w:sz w:val="14"/>
                <w:szCs w:val="14"/>
                <w:b w:val="1"/>
                <w:bCs w:val="1"/>
                <w:color w:val="auto"/>
                <w:w w:val="90"/>
              </w:rPr>
              <w:t>in the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13"/>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73"/>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4"/>
          </w:tcPr>
          <w:p>
            <w:pPr>
              <w:jc w:val="right"/>
              <w:ind w:right="13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7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379"/>
              <w:spacing w:after="0" w:line="149" w:lineRule="exact"/>
              <w:rPr>
                <w:sz w:val="20"/>
                <w:szCs w:val="20"/>
                <w:color w:val="auto"/>
              </w:rPr>
            </w:pPr>
            <w:r>
              <w:rPr>
                <w:rFonts w:ascii="Arial" w:cs="Arial" w:eastAsia="Arial" w:hAnsi="Arial"/>
                <w:sz w:val="14"/>
                <w:szCs w:val="14"/>
                <w:b w:val="1"/>
                <w:bCs w:val="1"/>
                <w:color w:val="auto"/>
                <w:w w:val="95"/>
              </w:rPr>
              <w:t>Inputs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5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Balance Sheets</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4"/>
              </w:rPr>
              <w:t>(Level 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4"/>
                <w:szCs w:val="14"/>
                <w:b w:val="1"/>
                <w:bCs w:val="1"/>
                <w:color w:val="auto"/>
                <w:w w:val="94"/>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4"/>
              </w:rPr>
              <w:t>(Level 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3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520" w:type="dxa"/>
            <w:vAlign w:val="bottom"/>
          </w:tcPr>
          <w:p>
            <w:pPr>
              <w:jc w:val="right"/>
              <w:ind w:right="338"/>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8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5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520" w:type="dxa"/>
            <w:vAlign w:val="bottom"/>
          </w:tcPr>
          <w:p>
            <w:pPr>
              <w:jc w:val="right"/>
              <w:ind w:right="338"/>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51</w:t>
            </w:r>
          </w:p>
        </w:tc>
        <w:tc>
          <w:tcPr>
            <w:tcW w:w="8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13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8"/>
                <w:szCs w:val="18"/>
                <w:b w:val="1"/>
                <w:bCs w:val="1"/>
                <w:color w:val="auto"/>
              </w:rPr>
              <w:t>18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b w:val="1"/>
                <w:bCs w:val="1"/>
                <w:color w:val="auto"/>
              </w:rPr>
              <w:t>8</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80"/>
              <w:spacing w:after="0"/>
              <w:rPr>
                <w:sz w:val="20"/>
                <w:szCs w:val="20"/>
                <w:color w:val="auto"/>
              </w:rPr>
            </w:pPr>
            <w:r>
              <w:rPr>
                <w:rFonts w:ascii="Arial" w:cs="Arial" w:eastAsia="Arial" w:hAnsi="Arial"/>
                <w:sz w:val="18"/>
                <w:szCs w:val="18"/>
                <w:b w:val="1"/>
                <w:bCs w:val="1"/>
                <w:color w:val="auto"/>
              </w:rPr>
              <w:t>33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520" w:type="dxa"/>
            <w:vAlign w:val="bottom"/>
            <w:tcBorders>
              <w:bottom w:val="single" w:sz="8" w:color="auto"/>
            </w:tcBorders>
            <w:shd w:val="clear" w:color="auto" w:fill="CFF0FC"/>
          </w:tcPr>
          <w:p>
            <w:pPr>
              <w:jc w:val="right"/>
              <w:ind w:right="33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13</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520" w:type="dxa"/>
            <w:vAlign w:val="bottom"/>
          </w:tcPr>
          <w:p>
            <w:pPr>
              <w:jc w:val="right"/>
              <w:ind w:right="338"/>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17</w:t>
            </w:r>
          </w:p>
        </w:tc>
        <w:tc>
          <w:tcPr>
            <w:tcW w:w="8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13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80"/>
              <w:spacing w:after="0"/>
              <w:rPr>
                <w:sz w:val="20"/>
                <w:szCs w:val="20"/>
                <w:color w:val="auto"/>
              </w:rPr>
            </w:pPr>
            <w:r>
              <w:rPr>
                <w:rFonts w:ascii="Arial" w:cs="Arial" w:eastAsia="Arial" w:hAnsi="Arial"/>
                <w:sz w:val="18"/>
                <w:szCs w:val="18"/>
                <w:b w:val="1"/>
                <w:bCs w:val="1"/>
                <w:color w:val="auto"/>
              </w:rPr>
              <w:t>17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b w:val="1"/>
                <w:bCs w:val="1"/>
                <w:color w:val="auto"/>
              </w:rPr>
              <w:t>13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-839470</wp:posOffset>
            </wp:positionV>
            <wp:extent cx="857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-839470</wp:posOffset>
            </wp:positionV>
            <wp:extent cx="8572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-839470</wp:posOffset>
            </wp:positionV>
            <wp:extent cx="7683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-839470</wp:posOffset>
            </wp:positionV>
            <wp:extent cx="7747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-839470</wp:posOffset>
            </wp:positionV>
            <wp:extent cx="7747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-839470</wp:posOffset>
            </wp:positionV>
            <wp:extent cx="7747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-839470</wp:posOffset>
            </wp:positionV>
            <wp:extent cx="7747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8572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-187960</wp:posOffset>
            </wp:positionV>
            <wp:extent cx="8572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747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September 30, 2023 and December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2022</w:t>
            </w:r>
          </w:p>
        </w:tc>
      </w:tr>
      <w:tr>
        <w:trPr>
          <w:trHeight w:val="237"/>
        </w:trPr>
        <w:tc>
          <w:tcPr>
            <w:tcW w:w="708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b w:val="1"/>
                <w:bCs w:val="1"/>
                <w:color w:val="auto"/>
              </w:rPr>
              <w:t>Fixed Rate Debt:</w:t>
            </w:r>
            <w:r>
              <w:rPr>
                <w:rFonts w:ascii="Arial" w:cs="Arial" w:eastAsia="Arial" w:hAnsi="Arial"/>
                <w:sz w:val="24"/>
                <w:szCs w:val="24"/>
                <w:b w:val="1"/>
                <w:bCs w:val="1"/>
                <w:color w:val="auto"/>
                <w:vertAlign w:val="superscript"/>
              </w:rPr>
              <w:t>(1)</w:t>
            </w:r>
          </w:p>
        </w:tc>
        <w:tc>
          <w:tcPr>
            <w:tcW w:w="14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440" w:type="dxa"/>
            <w:vAlign w:val="bottom"/>
          </w:tcPr>
          <w:p>
            <w:pPr>
              <w:jc w:val="right"/>
              <w:ind w:right="12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5,712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5,766</w:t>
            </w:r>
          </w:p>
        </w:tc>
      </w:tr>
      <w:tr>
        <w:trPr>
          <w:trHeight w:val="24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4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5,167</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5,198</w:t>
            </w:r>
          </w:p>
        </w:tc>
      </w:tr>
      <w:tr>
        <w:trPr>
          <w:trHeight w:val="243"/>
        </w:trPr>
        <w:tc>
          <w:tcPr>
            <w:tcW w:w="7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0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b w:val="1"/>
                <w:bCs w:val="1"/>
                <w:color w:val="auto"/>
              </w:rPr>
              <w:t>Variable Rate Debt:</w:t>
            </w:r>
            <w:r>
              <w:rPr>
                <w:rFonts w:ascii="Arial" w:cs="Arial" w:eastAsia="Arial" w:hAnsi="Arial"/>
                <w:sz w:val="24"/>
                <w:szCs w:val="24"/>
                <w:b w:val="1"/>
                <w:bCs w:val="1"/>
                <w:color w:val="auto"/>
                <w:vertAlign w:val="superscript"/>
              </w:rPr>
              <w:t>(1)</w:t>
            </w:r>
          </w:p>
        </w:tc>
        <w:tc>
          <w:tcPr>
            <w:tcW w:w="14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440" w:type="dxa"/>
            <w:vAlign w:val="bottom"/>
          </w:tcPr>
          <w:p>
            <w:pPr>
              <w:jc w:val="right"/>
              <w:ind w:right="12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2,380</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1,474</w:t>
            </w:r>
          </w:p>
        </w:tc>
      </w:tr>
      <w:tr>
        <w:trPr>
          <w:trHeight w:val="24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4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2,315</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1,437</w:t>
            </w:r>
          </w:p>
        </w:tc>
      </w:tr>
    </w:tbl>
    <w:p>
      <w:pPr>
        <w:spacing w:after="0" w:line="40" w:lineRule="exact"/>
        <w:rPr>
          <w:sz w:val="20"/>
          <w:szCs w:val="20"/>
          <w:color w:val="auto"/>
        </w:rPr>
      </w:pPr>
    </w:p>
    <w:p>
      <w:pPr>
        <w:jc w:val="both"/>
        <w:ind w:left="760" w:hanging="752"/>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Excludes Notes Payable and Overdrafts of $322 million and $395 million at September 30, 2023 and December 31, 2022, respectively, of which $121 million and $217 million, respectively, are at fixed rates and $201 million and $178 million, respectively, are at variable rates. The carrying value of Notes Payable and Overdrafts approximates fair value due to the short term nature of the facilities.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term debt with fair values of $4,969 million and $4,946 million at September 30, 2023 and December 31, 2022, respectively, were estimated using quoted Level 1 market prices. The carrying value of the remaining debt was based upon internal estimates of fair value derived from market prices for similar debt.</w:t>
      </w:r>
    </w:p>
    <w:p>
      <w:pPr>
        <w:spacing w:after="0" w:line="180" w:lineRule="exact"/>
        <w:rPr>
          <w:sz w:val="20"/>
          <w:szCs w:val="20"/>
          <w:color w:val="auto"/>
        </w:rPr>
      </w:pPr>
    </w:p>
    <w:p>
      <w:pPr>
        <w:ind w:right="4400"/>
        <w:spacing w:after="0" w:line="384" w:lineRule="auto"/>
        <w:rPr>
          <w:sz w:val="20"/>
          <w:szCs w:val="20"/>
          <w:color w:val="auto"/>
        </w:rPr>
      </w:pPr>
      <w:r>
        <w:rPr>
          <w:rFonts w:ascii="Arial" w:cs="Arial" w:eastAsia="Arial" w:hAnsi="Arial"/>
          <w:sz w:val="18"/>
          <w:szCs w:val="18"/>
          <w:b w:val="1"/>
          <w:bCs w:val="1"/>
          <w:u w:val="single" w:color="auto"/>
          <w:color w:val="auto"/>
        </w:rPr>
        <w:t xml:space="preserve">NOTE 10.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5"/>
              </w:rPr>
              <w:t>U.S.</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5"/>
              </w:rPr>
              <w:t>U.S.</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60"/>
        </w:trPr>
        <w:tc>
          <w:tcPr>
            <w:tcW w:w="4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60" w:type="dxa"/>
            <w:vAlign w:val="bottom"/>
            <w:gridSpan w:val="4"/>
          </w:tcPr>
          <w:p>
            <w:pPr>
              <w:jc w:val="center"/>
              <w:ind w:left="235"/>
              <w:spacing w:after="0" w:line="160"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center"/>
              <w:ind w:left="255"/>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3"/>
                <w:szCs w:val="13"/>
                <w:color w:val="auto"/>
              </w:rPr>
            </w:pPr>
          </w:p>
        </w:tc>
      </w:tr>
      <w:tr>
        <w:trPr>
          <w:trHeight w:val="175"/>
        </w:trPr>
        <w:tc>
          <w:tcPr>
            <w:tcW w:w="4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jc w:val="center"/>
              <w:ind w:right="295"/>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4"/>
          </w:tcPr>
          <w:p>
            <w:pPr>
              <w:jc w:val="center"/>
              <w:ind w:right="247"/>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5"/>
                <w:szCs w:val="15"/>
                <w:color w:val="auto"/>
              </w:rPr>
            </w:pPr>
          </w:p>
        </w:tc>
      </w:tr>
      <w:tr>
        <w:trPr>
          <w:trHeight w:val="185"/>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164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4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16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(175 )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(160 )</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Amortization of net losses</w:t>
            </w:r>
          </w:p>
        </w:tc>
        <w:tc>
          <w:tcPr>
            <w:tcW w:w="16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16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475"/>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22</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16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19</w:t>
            </w:r>
          </w:p>
        </w:tc>
        <w:tc>
          <w:tcPr>
            <w:tcW w:w="1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50</w:t>
            </w:r>
          </w:p>
        </w:tc>
      </w:tr>
      <w:tr>
        <w:trPr>
          <w:trHeight w:val="633"/>
        </w:trPr>
        <w:tc>
          <w:tcPr>
            <w:tcW w:w="4560" w:type="dxa"/>
            <w:vAlign w:val="bottom"/>
          </w:tcPr>
          <w:p>
            <w:pPr>
              <w:spacing w:after="0"/>
              <w:rPr>
                <w:sz w:val="24"/>
                <w:szCs w:val="24"/>
                <w:color w:val="auto"/>
              </w:rPr>
            </w:pPr>
          </w:p>
        </w:tc>
        <w:tc>
          <w:tcPr>
            <w:tcW w:w="1640" w:type="dxa"/>
            <w:vAlign w:val="bottom"/>
          </w:tcPr>
          <w:p>
            <w:pPr>
              <w:jc w:val="right"/>
              <w:ind w:right="399"/>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-513715</wp:posOffset>
            </wp:positionV>
            <wp:extent cx="946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-496570</wp:posOffset>
            </wp:positionV>
            <wp:extent cx="946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-496570</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-513715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-496570</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w w:val="94"/>
              </w:rPr>
              <w:t>Non-U.S.</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w w:val="94"/>
              </w:rPr>
              <w:t>Non-U.S.</w:t>
            </w:r>
          </w:p>
        </w:tc>
        <w:tc>
          <w:tcPr>
            <w:tcW w:w="420" w:type="dxa"/>
            <w:vAlign w:val="bottom"/>
            <w:tcBorders>
              <w:bottom w:val="single" w:sz="8" w:color="auto"/>
            </w:tcBorders>
          </w:tcPr>
          <w:p>
            <w:pPr>
              <w:spacing w:after="0"/>
              <w:rPr>
                <w:sz w:val="16"/>
                <w:szCs w:val="16"/>
                <w:color w:val="auto"/>
              </w:rPr>
            </w:pPr>
          </w:p>
        </w:tc>
      </w:tr>
      <w:tr>
        <w:trPr>
          <w:trHeight w:val="160"/>
        </w:trPr>
        <w:tc>
          <w:tcPr>
            <w:tcW w:w="6200" w:type="dxa"/>
            <w:vAlign w:val="bottom"/>
          </w:tcPr>
          <w:p>
            <w:pPr>
              <w:spacing w:after="0"/>
              <w:rPr>
                <w:sz w:val="13"/>
                <w:szCs w:val="13"/>
                <w:color w:val="auto"/>
              </w:rPr>
            </w:pPr>
          </w:p>
        </w:tc>
        <w:tc>
          <w:tcPr>
            <w:tcW w:w="2060" w:type="dxa"/>
            <w:vAlign w:val="bottom"/>
            <w:gridSpan w:val="4"/>
          </w:tcPr>
          <w:p>
            <w:pPr>
              <w:jc w:val="center"/>
              <w:ind w:left="237"/>
              <w:spacing w:after="0" w:line="160"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center"/>
              <w:ind w:left="219"/>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420" w:type="dxa"/>
            <w:vAlign w:val="bottom"/>
          </w:tcPr>
          <w:p>
            <w:pPr>
              <w:spacing w:after="0"/>
              <w:rPr>
                <w:sz w:val="13"/>
                <w:szCs w:val="13"/>
                <w:color w:val="auto"/>
              </w:rPr>
            </w:pPr>
          </w:p>
        </w:tc>
      </w:tr>
      <w:tr>
        <w:trPr>
          <w:trHeight w:val="176"/>
        </w:trPr>
        <w:tc>
          <w:tcPr>
            <w:tcW w:w="6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r>
      <w:tr>
        <w:trPr>
          <w:trHeight w:val="237"/>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(51 )</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net losses</w:t>
            </w:r>
          </w:p>
        </w:tc>
        <w:tc>
          <w:tcPr>
            <w:tcW w:w="7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38"/>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720" w:type="dxa"/>
            <w:vAlign w:val="bottom"/>
          </w:tcPr>
          <w:p>
            <w:pPr>
              <w:jc w:val="right"/>
              <w:ind w:right="537"/>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54"/>
              <w:spacing w:after="0"/>
              <w:rPr>
                <w:sz w:val="20"/>
                <w:szCs w:val="20"/>
                <w:color w:val="auto"/>
              </w:rPr>
            </w:pPr>
            <w:r>
              <w:rPr>
                <w:rFonts w:ascii="Arial" w:cs="Arial" w:eastAsia="Arial" w:hAnsi="Arial"/>
                <w:sz w:val="18"/>
                <w:szCs w:val="18"/>
                <w:b w:val="1"/>
                <w:bCs w:val="1"/>
                <w:color w:val="auto"/>
              </w:rPr>
              <w:t>12</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820" w:type="dxa"/>
            <w:vAlign w:val="bottom"/>
            <w:gridSpan w:val="2"/>
          </w:tcPr>
          <w:p>
            <w:pPr>
              <w:jc w:val="right"/>
              <w:ind w:right="499"/>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b w:val="1"/>
                <w:bCs w:val="1"/>
                <w:color w:val="auto"/>
              </w:rPr>
              <w:t>39</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r>
      <w:tr>
        <w:trPr>
          <w:trHeight w:val="241"/>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7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9"/>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720" w:type="dxa"/>
            <w:vAlign w:val="bottom"/>
          </w:tcPr>
          <w:p>
            <w:pPr>
              <w:jc w:val="right"/>
              <w:ind w:right="537"/>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54"/>
              <w:spacing w:after="0"/>
              <w:rPr>
                <w:sz w:val="20"/>
                <w:szCs w:val="20"/>
                <w:color w:val="auto"/>
              </w:rPr>
            </w:pPr>
            <w:r>
              <w:rPr>
                <w:rFonts w:ascii="Arial" w:cs="Arial" w:eastAsia="Arial" w:hAnsi="Arial"/>
                <w:sz w:val="18"/>
                <w:szCs w:val="18"/>
                <w:b w:val="1"/>
                <w:bCs w:val="1"/>
                <w:color w:val="auto"/>
              </w:rPr>
              <w:t>16</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820" w:type="dxa"/>
            <w:vAlign w:val="bottom"/>
            <w:gridSpan w:val="2"/>
          </w:tcPr>
          <w:p>
            <w:pPr>
              <w:jc w:val="right"/>
              <w:ind w:right="499"/>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b w:val="1"/>
                <w:bCs w:val="1"/>
                <w:color w:val="auto"/>
              </w:rPr>
              <w:t>46</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r>
      <w:tr>
        <w:trPr>
          <w:trHeight w:val="20"/>
        </w:trPr>
        <w:tc>
          <w:tcPr>
            <w:tcW w:w="6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-504825</wp:posOffset>
            </wp:positionV>
            <wp:extent cx="94615"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615" cy="1625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-504825</wp:posOffset>
            </wp:positionV>
            <wp:extent cx="85725"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-504825</wp:posOffset>
            </wp:positionV>
            <wp:extent cx="85725"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9461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857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8572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nine months of 2023, pension settlement charges of $40 million were recorded in Other (Income) Expense. In the third quarter of 2023, we recorded settlement charges of $4 million in Other (Income) Expense resulting from total lump sum payments exceeding annual service and interest cost for certain non-U.S. plans.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2023, we settled all plan benefits of the Cooper Tire U.S. salaried defined benefit pension plan with lump sum payments to electing participants and the purchase of a group annuity contract. After settlement, we currently estimate that excess plan assets of approximately $18 million will be used to fund future obligations associated with our U.S. salaried defined contribution savings plan. During the second quarter of 2023, we also settled all plan benefits of the Ireland defined benefit pension plan. Settlement charges of $36 million were recorded in Other (Income) Expense in the second quarter of 2023 in conjunction with the termination of these plans.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third quarter and first nine months of 2022, pension settlement charges of $10 million and $28 million, respectively, were recorded in Other (Income) Expense. The settlement charges resulted from total lump sum payments exceeding annual service and interest cost of the applicable plans.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May 1, 2023, our Canadian salaried pension plan was frozen to future accruals for participants who met defined age and service criteria, and replaced with employer contributions to a defined contribution savings plan.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provide certain U.S. employees and employees at certain non-U.S. subsidiaries with health care benefits or life insurance benefits upon retirement. Other postretirement benefits expense for the three months ended September 30, 2023 and 2022 was $2 million and $4 million, respectively, and for the nine months ended September 30, 2023 and 2022 was $6 million and $12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contribute $25 million to $50 million to our funded non-U.S. pension plans in 2023. For the three and nine months ended September 30, 2023, we contributed $6 million and $28 million, respectively, to our non-U.S. plans.</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expense recognized for our contributions to defined contribution savings plans for the three months ended September 30, 2023 and 2022 was $33 million for each period, and for the nine months ended September 30, 2023 and 2022 was $100 million and $99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granted 1.2 million restricted stock units and 0.4 million performance share units during the nine months ended September 30, 2023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$11.43 for restricted stock units and $11.48 for performance share units granted during the nine months ended September 30, 2023.</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stock-based compensation expense of $3 million and $19 million during the three and nine months ended September 30, 2023, respectively. At September 30, 2023, unearned compensation cost related to the unvested portion of all stock-based awards was approximately $19 million and is expected to be recognized over the remaining vesting period of the respective grants, through the third quarter of 2026. We recognized stock-based compensation expense of $6 million and $19 million during the three and nine months ended September 30, 2022,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recorded liabilities totaling $78 million and $80 million at September 30, 2023 and December 31, 2022, respectively, for anticipated costs related to various environmental matters, primarily the remediation of numerous waste disposal sites and certain properties sold by us. Of these amounts, $22 million and $20 million were included in Other Current Liabilities at September 30, 2023 and December 31, 2022,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recorded liabilities, on a discounted basis, totaling $189 million and $187 million for anticipated costs related to workers’ compensation at September 30, 2023 and December 31, 2022, respectively. Of these amounts, $33 million and $37 million were included in Current Liabilities as part of Compensation and Benefits at September 30, 2023 and December 31, 2022,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September 30, 2023 and December 31, 2022, the liability was discounted using a risk-free rate of return. At September 30, 2023, we estimate that it is reasonably possible that the liability could exceed our recorded amounts by approximately $25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recorded liabilities for both asserted and unasserted claims totaling $444 million and $412 million, including related legal fees expected to be incurred, for potential product liability and other tort claims, including asbestos claims, at September 30, 2023 and December 31, 2022, respectively. Of these amounts, $61 million and $39 million were included in Other Current Liabilities at September 30, 2023 and December 31, 2022, respectively. The amounts recorded were estimated based on an assessment of potential liability using an analysis of available information with respect to pending claims, historical experience and, where available, recent and current trends. Based upon that assessment, at September 30, 2023,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indemnification asset within Accounts Receivable of $7 million and within Other Assets of $3 million for Sumitomo Rubber Industries, Ltd.'s ("SRI") obligation to indemnify us for certain product liability claims related to products manufactured by a formerly consolidated joint venture entity, subject to certain caps and restrictions.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in certain products manufactured by us or present in certain of our facilities. Typically, these lawsuits have been brought against multiple defendants in state and federal courts. To date, we have disposed of approximately 159,100 claims by defending, obtaining the dismissal thereof, or entering into a settlement. The sum of our accrued asbestos-related liability and gross payments to date, including legal costs, by us and our insurers totaled approximately $582 million through September 30, 2023 and $570 million through December 31,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right"/>
              <w:ind w:right="35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595"/>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0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9"/>
              </w:rPr>
              <w:t>September 30, 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December 31, 2022</w:t>
            </w:r>
          </w:p>
        </w:tc>
      </w:tr>
      <w:tr>
        <w:trPr>
          <w:trHeight w:val="236"/>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Pending claims, beginning of period</w:t>
            </w: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37,200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38,200</w:t>
            </w: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220" w:type="dxa"/>
            <w:vAlign w:val="bottom"/>
          </w:tcPr>
          <w:p>
            <w:pPr>
              <w:spacing w:after="0"/>
              <w:rPr>
                <w:sz w:val="20"/>
                <w:szCs w:val="20"/>
                <w:color w:val="auto"/>
              </w:rPr>
            </w:pPr>
          </w:p>
        </w:tc>
        <w:tc>
          <w:tcPr>
            <w:tcW w:w="1780" w:type="dxa"/>
            <w:vAlign w:val="bottom"/>
          </w:tcPr>
          <w:p>
            <w:pPr>
              <w:jc w:val="right"/>
              <w:ind w:right="35"/>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900</w:t>
            </w: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Claims settled/dismissed</w:t>
            </w:r>
          </w:p>
        </w:tc>
        <w:tc>
          <w:tcPr>
            <w:tcW w:w="22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(1,900 )</w:t>
            </w:r>
          </w:p>
        </w:tc>
      </w:tr>
      <w:tr>
        <w:trPr>
          <w:trHeight w:val="239"/>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Pending claims, end of period</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36,400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37,200</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8"/>
        </w:trPr>
        <w:tc>
          <w:tcPr>
            <w:tcW w:w="7080" w:type="dxa"/>
            <w:vAlign w:val="bottom"/>
            <w:tcBorders>
              <w:bottom w:val="single" w:sz="8" w:color="CFF0FC"/>
            </w:tcBorders>
            <w:shd w:val="clear" w:color="auto" w:fill="CFF0FC"/>
          </w:tcPr>
          <w:p>
            <w:pPr>
              <w:ind w:left="20"/>
              <w:spacing w:after="0" w:line="228" w:lineRule="exact"/>
              <w:rPr>
                <w:sz w:val="20"/>
                <w:szCs w:val="20"/>
                <w:color w:val="auto"/>
              </w:rPr>
            </w:pPr>
            <w:r>
              <w:rPr>
                <w:rFonts w:ascii="Arial" w:cs="Arial" w:eastAsia="Arial" w:hAnsi="Arial"/>
                <w:sz w:val="18"/>
                <w:szCs w:val="18"/>
                <w:color w:val="auto"/>
              </w:rPr>
              <w:t>Payments</w:t>
            </w:r>
            <w:r>
              <w:rPr>
                <w:rFonts w:ascii="Arial" w:cs="Arial" w:eastAsia="Arial" w:hAnsi="Arial"/>
                <w:sz w:val="24"/>
                <w:szCs w:val="24"/>
                <w:color w:val="auto"/>
                <w:vertAlign w:val="superscript"/>
              </w:rPr>
              <w:t>(1)</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-368300</wp:posOffset>
            </wp:positionV>
            <wp:extent cx="1111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11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 w:lineRule="exact"/>
        <w:rPr>
          <w:sz w:val="20"/>
          <w:szCs w:val="20"/>
          <w:color w:val="auto"/>
        </w:rPr>
      </w:pPr>
    </w:p>
    <w:p>
      <w:pPr>
        <w:ind w:left="760" w:hanging="75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$125 million at both September 30, 2023 and December 31, 2022.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an insurance receivable related to asbestos claims of $70 million at both September 30, 2023 and December 31, 2022. We expect that approximately 55% of asbestos claim related losses would be recoverable through insurance during the ten-year period covered by the estimated liability. Of these amounts, $11 million was included in Current Assets as part of Accounts Receivable at both September 30, 2023 and December 31, 2022.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at December 31, 2022, we had approximately $530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Commitments and Guarantees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off-balance sheet financial guarantees and other commitments totaling $32 million at both September 30, 2023 and December 31, 2022. We issue guarantees to financial institutions or other entities on behalf of certain of our affiliates, lessors or customers. We generally do not require collateral in connection with the issuance of these guarantees.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September 30, 2023, this guarantee amount has been reduced to $17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agreement to provide a revolving loan commitment to TireHub of up to $100 million. At September 30, 2023 and December 31, 2022, $78 million and $17 million was drawn on this commitment,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nine months of 2023, we did not repurchase any shares from employees.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changes in AOCL, by component, for the nine months ended September 30, 2023 and 2022, after tax and minority interest.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vMerge w:val="restart"/>
          </w:tcPr>
          <w:p>
            <w:pPr>
              <w:jc w:val="center"/>
              <w:ind w:left="224"/>
              <w:spacing w:after="0"/>
              <w:rPr>
                <w:sz w:val="20"/>
                <w:szCs w:val="20"/>
                <w:color w:val="auto"/>
              </w:rPr>
            </w:pPr>
            <w:r>
              <w:rPr>
                <w:rFonts w:ascii="Arial" w:cs="Arial" w:eastAsia="Arial" w:hAnsi="Arial"/>
                <w:sz w:val="14"/>
                <w:szCs w:val="14"/>
                <w:b w:val="1"/>
                <w:bCs w:val="1"/>
                <w:color w:val="auto"/>
                <w:w w:val="89"/>
              </w:rPr>
              <w:t>Foreign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0"/>
              </w:rPr>
              <w:t>Unrecognized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 Gains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right="11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left="103"/>
              <w:spacing w:after="0"/>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left="224"/>
              <w:spacing w:after="0" w:line="149" w:lineRule="exact"/>
              <w:rPr>
                <w:sz w:val="20"/>
                <w:szCs w:val="20"/>
                <w:color w:val="auto"/>
              </w:rPr>
            </w:pPr>
            <w:r>
              <w:rPr>
                <w:rFonts w:ascii="Arial" w:cs="Arial" w:eastAsia="Arial" w:hAnsi="Arial"/>
                <w:sz w:val="14"/>
                <w:szCs w:val="14"/>
                <w:b w:val="1"/>
                <w:bCs w:val="1"/>
                <w:color w:val="auto"/>
                <w:w w:val="94"/>
              </w:rPr>
              <w:t>Currency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right="110"/>
              <w:spacing w:after="0" w:line="149" w:lineRule="exact"/>
              <w:rPr>
                <w:sz w:val="20"/>
                <w:szCs w:val="20"/>
                <w:color w:val="auto"/>
              </w:rPr>
            </w:pPr>
            <w:r>
              <w:rPr>
                <w:rFonts w:ascii="Arial" w:cs="Arial" w:eastAsia="Arial" w:hAnsi="Arial"/>
                <w:sz w:val="14"/>
                <w:szCs w:val="14"/>
                <w:b w:val="1"/>
                <w:bCs w:val="1"/>
                <w:color w:val="auto"/>
                <w:w w:val="88"/>
              </w:rPr>
              <w:t>Losses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24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rPr>
              <w:t>(Losses) from</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103"/>
              <w:spacing w:after="0" w:line="149"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00" w:type="dxa"/>
            <w:vAlign w:val="bottom"/>
          </w:tcPr>
          <w:p>
            <w:pPr>
              <w:spacing w:after="0"/>
              <w:rPr>
                <w:sz w:val="16"/>
                <w:szCs w:val="16"/>
                <w:color w:val="auto"/>
              </w:rPr>
            </w:pPr>
          </w:p>
        </w:tc>
        <w:tc>
          <w:tcPr>
            <w:tcW w:w="1300" w:type="dxa"/>
            <w:vAlign w:val="bottom"/>
            <w:gridSpan w:val="5"/>
          </w:tcPr>
          <w:p>
            <w:pPr>
              <w:jc w:val="center"/>
              <w:ind w:right="38"/>
              <w:spacing w:after="0"/>
              <w:rPr>
                <w:sz w:val="20"/>
                <w:szCs w:val="20"/>
                <w:color w:val="auto"/>
              </w:rPr>
            </w:pPr>
            <w:r>
              <w:rPr>
                <w:rFonts w:ascii="Arial" w:cs="Arial" w:eastAsia="Arial" w:hAnsi="Arial"/>
                <w:sz w:val="14"/>
                <w:szCs w:val="14"/>
                <w:b w:val="1"/>
                <w:bCs w:val="1"/>
                <w:color w:val="auto"/>
                <w:w w:val="96"/>
              </w:rPr>
              <w:t>Adjustment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Gains (Losses)</w:t>
            </w:r>
          </w:p>
        </w:tc>
        <w:tc>
          <w:tcPr>
            <w:tcW w:w="28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3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(1,663 )</w:t>
            </w: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FF0FC"/>
          </w:tcPr>
          <w:p>
            <w:pPr>
              <w:spacing w:after="0"/>
              <w:rPr>
                <w:sz w:val="20"/>
                <w:szCs w:val="20"/>
                <w:color w:val="auto"/>
              </w:rPr>
            </w:pPr>
          </w:p>
        </w:tc>
        <w:tc>
          <w:tcPr>
            <w:tcW w:w="18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(2,215 )</w:t>
            </w: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763"/>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w:t>
            </w:r>
          </w:p>
        </w:tc>
        <w:tc>
          <w:tcPr>
            <w:tcW w:w="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(3,875 )</w:t>
            </w:r>
          </w:p>
        </w:tc>
        <w:tc>
          <w:tcPr>
            <w:tcW w:w="0" w:type="dxa"/>
            <w:vAlign w:val="bottom"/>
          </w:tcPr>
          <w:p>
            <w:pPr>
              <w:spacing w:after="0"/>
              <w:rPr>
                <w:sz w:val="1"/>
                <w:szCs w:val="1"/>
                <w:color w:val="auto"/>
              </w:rPr>
            </w:pPr>
          </w:p>
        </w:tc>
      </w:tr>
      <w:tr>
        <w:trPr>
          <w:trHeight w:val="215"/>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8"/>
              </w:rPr>
              <w:t>(4 )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2"/>
        </w:trPr>
        <w:tc>
          <w:tcPr>
            <w:tcW w:w="4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vMerge w:val="restart"/>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tcBorders>
              <w:right w:val="single" w:sz="8" w:color="CFF0FC"/>
            </w:tcBorders>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right w:val="single" w:sz="8" w:color="CFF0FC"/>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left w:val="single" w:sz="8" w:color="CFF0FC"/>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gridSpan w:val="2"/>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gridSpan w:val="2"/>
            <w:vMerge w:val="continue"/>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(1,675 )</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(2,119 )</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(1 )</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Unrecognized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283"/>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Losses and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Prior Service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123"/>
              <w:spacing w:after="0"/>
              <w:rPr>
                <w:sz w:val="20"/>
                <w:szCs w:val="20"/>
                <w:color w:val="auto"/>
              </w:rPr>
            </w:pPr>
            <w:r>
              <w:rPr>
                <w:rFonts w:ascii="Arial" w:cs="Arial" w:eastAsia="Arial" w:hAnsi="Arial"/>
                <w:sz w:val="14"/>
                <w:szCs w:val="14"/>
                <w:b w:val="1"/>
                <w:bCs w:val="1"/>
                <w:color w:val="auto"/>
                <w:w w:val="89"/>
              </w:rPr>
              <w:t>Gains (Losses)</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3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(1,402 )</w:t>
            </w:r>
          </w:p>
        </w:tc>
        <w:tc>
          <w:tcPr>
            <w:tcW w:w="140" w:type="dxa"/>
            <w:vAlign w:val="bottom"/>
            <w:shd w:val="clear" w:color="auto" w:fill="CFF0FC"/>
          </w:tcPr>
          <w:p>
            <w:pPr>
              <w:spacing w:after="0"/>
              <w:rPr>
                <w:sz w:val="20"/>
                <w:szCs w:val="20"/>
                <w:color w:val="auto"/>
              </w:rPr>
            </w:pPr>
          </w:p>
        </w:tc>
        <w:tc>
          <w:tcPr>
            <w:tcW w:w="440" w:type="dxa"/>
            <w:vAlign w:val="bottom"/>
            <w:tcBorders>
              <w:right w:val="single" w:sz="8" w:color="CFF0FC"/>
            </w:tcBorders>
            <w:shd w:val="clear" w:color="auto" w:fill="CFF0FC"/>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(2,565 )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(3,963 )</w:t>
            </w:r>
          </w:p>
        </w:tc>
        <w:tc>
          <w:tcPr>
            <w:tcW w:w="0" w:type="dxa"/>
            <w:vAlign w:val="bottom"/>
          </w:tcPr>
          <w:p>
            <w:pPr>
              <w:spacing w:after="0"/>
              <w:rPr>
                <w:sz w:val="1"/>
                <w:szCs w:val="1"/>
                <w:color w:val="auto"/>
              </w:rPr>
            </w:pPr>
          </w:p>
        </w:tc>
      </w:tr>
      <w:tr>
        <w:trPr>
          <w:trHeight w:val="215"/>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(334 )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FF0FC"/>
            </w:tcBorders>
            <w:gridSpan w:val="4"/>
            <w:shd w:val="clear" w:color="auto" w:fill="CFF0FC"/>
          </w:tcPr>
          <w:p>
            <w:pPr>
              <w:ind w:left="120"/>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right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left w:val="single" w:sz="8" w:color="CFF0FC"/>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b w:val="1"/>
                <w:bCs w:val="1"/>
                <w:color w:val="auto"/>
              </w:rPr>
              <w:t>(1,736 )</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(2,462 )</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(4,192 )</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w w:val="93"/>
              </w:rPr>
              <w:t>The following table presents reclassifications out of AOCL:</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7"/>
          </w:tcPr>
          <w:p>
            <w:pPr>
              <w:jc w:val="center"/>
              <w:ind w:right="119"/>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2"/>
                <w:szCs w:val="22"/>
                <w:color w:val="auto"/>
              </w:rPr>
            </w:pPr>
          </w:p>
        </w:tc>
        <w:tc>
          <w:tcPr>
            <w:tcW w:w="1840" w:type="dxa"/>
            <w:vAlign w:val="bottom"/>
            <w:gridSpan w:val="7"/>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jc w:val="center"/>
              <w:ind w:left="104"/>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80" w:type="dxa"/>
            <w:vAlign w:val="bottom"/>
            <w:gridSpan w:val="2"/>
          </w:tcPr>
          <w:p>
            <w:pPr>
              <w:ind w:left="20"/>
              <w:spacing w:after="0" w:line="160" w:lineRule="exact"/>
              <w:rPr>
                <w:sz w:val="20"/>
                <w:szCs w:val="20"/>
                <w:color w:val="auto"/>
              </w:rPr>
            </w:pPr>
            <w:r>
              <w:rPr>
                <w:rFonts w:ascii="Arial" w:cs="Arial" w:eastAsia="Arial" w:hAnsi="Arial"/>
                <w:sz w:val="14"/>
                <w:szCs w:val="14"/>
                <w:i w:val="1"/>
                <w:iCs w:val="1"/>
                <w:color w:val="auto"/>
              </w:rPr>
              <w:t>(In millions) (Income) Expense</w:t>
            </w:r>
          </w:p>
        </w:tc>
        <w:tc>
          <w:tcPr>
            <w:tcW w:w="100" w:type="dxa"/>
            <w:vAlign w:val="bottom"/>
          </w:tcPr>
          <w:p>
            <w:pPr>
              <w:spacing w:after="0"/>
              <w:rPr>
                <w:sz w:val="13"/>
                <w:szCs w:val="13"/>
                <w:color w:val="auto"/>
              </w:rPr>
            </w:pPr>
          </w:p>
        </w:tc>
        <w:tc>
          <w:tcPr>
            <w:tcW w:w="72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Amount</w:t>
            </w:r>
          </w:p>
        </w:tc>
        <w:tc>
          <w:tcPr>
            <w:tcW w:w="960" w:type="dxa"/>
            <w:vAlign w:val="bottom"/>
            <w:gridSpan w:val="4"/>
          </w:tcPr>
          <w:p>
            <w:pPr>
              <w:jc w:val="right"/>
              <w:ind w:right="219"/>
              <w:spacing w:after="0" w:line="160" w:lineRule="exact"/>
              <w:rPr>
                <w:sz w:val="20"/>
                <w:szCs w:val="20"/>
                <w:color w:val="auto"/>
              </w:rPr>
            </w:pPr>
            <w:r>
              <w:rPr>
                <w:rFonts w:ascii="Arial" w:cs="Arial" w:eastAsia="Arial" w:hAnsi="Arial"/>
                <w:sz w:val="14"/>
                <w:szCs w:val="14"/>
                <w:b w:val="1"/>
                <w:bCs w:val="1"/>
                <w:color w:val="auto"/>
                <w:w w:val="78"/>
              </w:rPr>
              <w:t>Reclassified</w:t>
            </w:r>
          </w:p>
        </w:tc>
        <w:tc>
          <w:tcPr>
            <w:tcW w:w="140" w:type="dxa"/>
            <w:vAlign w:val="bottom"/>
          </w:tcPr>
          <w:p>
            <w:pPr>
              <w:spacing w:after="0"/>
              <w:rPr>
                <w:sz w:val="13"/>
                <w:szCs w:val="13"/>
                <w:color w:val="auto"/>
              </w:rPr>
            </w:pPr>
          </w:p>
        </w:tc>
        <w:tc>
          <w:tcPr>
            <w:tcW w:w="840" w:type="dxa"/>
            <w:vAlign w:val="bottom"/>
            <w:gridSpan w:val="3"/>
          </w:tcPr>
          <w:p>
            <w:pPr>
              <w:ind w:left="160"/>
              <w:spacing w:after="0" w:line="160" w:lineRule="exact"/>
              <w:rPr>
                <w:sz w:val="20"/>
                <w:szCs w:val="20"/>
                <w:color w:val="auto"/>
              </w:rPr>
            </w:pPr>
            <w:r>
              <w:rPr>
                <w:rFonts w:ascii="Arial" w:cs="Arial" w:eastAsia="Arial" w:hAnsi="Arial"/>
                <w:sz w:val="14"/>
                <w:szCs w:val="14"/>
                <w:b w:val="1"/>
                <w:bCs w:val="1"/>
                <w:color w:val="auto"/>
              </w:rPr>
              <w:t>Amount</w:t>
            </w:r>
          </w:p>
        </w:tc>
        <w:tc>
          <w:tcPr>
            <w:tcW w:w="860" w:type="dxa"/>
            <w:vAlign w:val="bottom"/>
            <w:gridSpan w:val="3"/>
          </w:tcPr>
          <w:p>
            <w:pPr>
              <w:jc w:val="right"/>
              <w:ind w:right="195"/>
              <w:spacing w:after="0"/>
              <w:rPr>
                <w:sz w:val="20"/>
                <w:szCs w:val="20"/>
                <w:color w:val="auto"/>
              </w:rPr>
            </w:pPr>
            <w:r>
              <w:rPr>
                <w:rFonts w:ascii="Arial" w:cs="Arial" w:eastAsia="Arial" w:hAnsi="Arial"/>
                <w:sz w:val="13"/>
                <w:szCs w:val="13"/>
                <w:b w:val="1"/>
                <w:bCs w:val="1"/>
                <w:color w:val="auto"/>
                <w:w w:val="73"/>
              </w:rPr>
              <w:t>Reclassified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gridSpan w:val="9"/>
          </w:tcPr>
          <w:p>
            <w:pPr>
              <w:jc w:val="right"/>
              <w:ind w:right="274"/>
              <w:spacing w:after="0" w:line="160" w:lineRule="exact"/>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85"/>
        </w:trPr>
        <w:tc>
          <w:tcPr>
            <w:tcW w:w="4380" w:type="dxa"/>
            <w:vAlign w:val="bottom"/>
            <w:gridSpan w:val="2"/>
          </w:tcPr>
          <w:p>
            <w:pPr>
              <w:ind w:left="1460"/>
              <w:spacing w:after="0"/>
              <w:rPr>
                <w:sz w:val="20"/>
                <w:szCs w:val="20"/>
                <w:color w:val="auto"/>
              </w:rPr>
            </w:pPr>
            <w:r>
              <w:rPr>
                <w:rFonts w:ascii="Arial" w:cs="Arial" w:eastAsia="Arial" w:hAnsi="Arial"/>
                <w:sz w:val="14"/>
                <w:szCs w:val="14"/>
                <w:b w:val="1"/>
                <w:bCs w:val="1"/>
                <w:color w:val="auto"/>
              </w:rPr>
              <w:t>Component of AOCL</w:t>
            </w:r>
          </w:p>
        </w:tc>
        <w:tc>
          <w:tcPr>
            <w:tcW w:w="100" w:type="dxa"/>
            <w:vAlign w:val="bottom"/>
          </w:tcPr>
          <w:p>
            <w:pPr>
              <w:spacing w:after="0"/>
              <w:rPr>
                <w:sz w:val="16"/>
                <w:szCs w:val="16"/>
                <w:color w:val="auto"/>
              </w:rPr>
            </w:pPr>
          </w:p>
        </w:tc>
        <w:tc>
          <w:tcPr>
            <w:tcW w:w="1300" w:type="dxa"/>
            <w:vAlign w:val="bottom"/>
            <w:gridSpan w:val="5"/>
          </w:tcPr>
          <w:p>
            <w:pPr>
              <w:jc w:val="center"/>
              <w:ind w:left="104"/>
              <w:spacing w:after="0"/>
              <w:rPr>
                <w:sz w:val="20"/>
                <w:szCs w:val="20"/>
                <w:color w:val="auto"/>
              </w:rPr>
            </w:pPr>
            <w:r>
              <w:rPr>
                <w:rFonts w:ascii="Arial" w:cs="Arial" w:eastAsia="Arial" w:hAnsi="Arial"/>
                <w:sz w:val="14"/>
                <w:szCs w:val="14"/>
                <w:b w:val="1"/>
                <w:bCs w:val="1"/>
                <w:color w:val="auto"/>
              </w:rPr>
              <w:t>from AOCL</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from AOCL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7"/>
          </w:tcPr>
          <w:p>
            <w:pPr>
              <w:jc w:val="right"/>
              <w:ind w:right="694"/>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Amortization of prior service cost and</w:t>
            </w: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unrecognized gains and losses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8"/>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32</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21"/>
                <w:szCs w:val="21"/>
                <w:color w:val="auto"/>
              </w:rPr>
            </w:pPr>
          </w:p>
        </w:tc>
        <w:tc>
          <w:tcPr>
            <w:tcW w:w="1860" w:type="dxa"/>
            <w:vAlign w:val="bottom"/>
            <w:gridSpan w:val="9"/>
            <w:shd w:val="clear" w:color="auto" w:fill="CFF0FC"/>
          </w:tcPr>
          <w:p>
            <w:pPr>
              <w:jc w:val="right"/>
              <w:ind w:right="80"/>
              <w:spacing w:after="0"/>
              <w:rPr>
                <w:sz w:val="20"/>
                <w:szCs w:val="20"/>
                <w:color w:val="auto"/>
              </w:rPr>
            </w:pPr>
            <w:r>
              <w:rPr>
                <w:rFonts w:ascii="Arial" w:cs="Arial" w:eastAsia="Arial" w:hAnsi="Arial"/>
                <w:sz w:val="18"/>
                <w:szCs w:val="18"/>
                <w:color w:val="auto"/>
                <w:w w:val="89"/>
              </w:rPr>
              <w:t>Other (Income) Expense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Immediate recognition of prior service cost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and unrecognized gains and losses due to</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13"/>
            <w:vMerge w:val="restart"/>
          </w:tcPr>
          <w:p>
            <w:pPr>
              <w:ind w:left="300"/>
              <w:spacing w:after="0"/>
              <w:rPr>
                <w:sz w:val="20"/>
                <w:szCs w:val="20"/>
                <w:color w:val="auto"/>
              </w:rPr>
            </w:pPr>
            <w:r>
              <w:rPr>
                <w:rFonts w:ascii="Arial" w:cs="Arial" w:eastAsia="Arial" w:hAnsi="Arial"/>
                <w:sz w:val="18"/>
                <w:szCs w:val="18"/>
                <w:color w:val="auto"/>
                <w:w w:val="94"/>
              </w:rPr>
              <w:t>28   Other (Income) Expense / Rationalizations</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curtailments, settlements and divestitures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1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Unrecognized net actuarial losses and</w:t>
            </w:r>
          </w:p>
        </w:tc>
        <w:tc>
          <w:tcPr>
            <w:tcW w:w="1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prior service costs, before tax</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6"/>
              </w:rPr>
              <w:t>(7 )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6"/>
              </w:rPr>
              <w:t>(10 )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13"/>
          </w:tcPr>
          <w:p>
            <w:pPr>
              <w:jc w:val="right"/>
              <w:ind w:right="674"/>
              <w:spacing w:after="0"/>
              <w:rPr>
                <w:sz w:val="20"/>
                <w:szCs w:val="20"/>
                <w:color w:val="auto"/>
              </w:rPr>
            </w:pPr>
            <w:r>
              <w:rPr>
                <w:rFonts w:ascii="Arial" w:cs="Arial" w:eastAsia="Arial" w:hAnsi="Arial"/>
                <w:sz w:val="18"/>
                <w:szCs w:val="18"/>
                <w:color w:val="auto"/>
                <w:w w:val="98"/>
              </w:rPr>
              <w:t>(30 )  United States and Foreign Taxes</w:t>
            </w:r>
          </w:p>
        </w:tc>
        <w:tc>
          <w:tcPr>
            <w:tcW w:w="0" w:type="dxa"/>
            <w:vAlign w:val="bottom"/>
          </w:tcPr>
          <w:p>
            <w:pPr>
              <w:spacing w:after="0"/>
              <w:rPr>
                <w:sz w:val="1"/>
                <w:szCs w:val="1"/>
                <w:color w:val="auto"/>
              </w:rPr>
            </w:pPr>
          </w:p>
        </w:tc>
      </w:tr>
      <w:tr>
        <w:trPr>
          <w:trHeight w:val="249"/>
        </w:trPr>
        <w:tc>
          <w:tcPr>
            <w:tcW w:w="4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(1 )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8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3840" w:type="dxa"/>
            <w:vAlign w:val="bottom"/>
            <w:gridSpan w:val="13"/>
            <w:shd w:val="clear" w:color="auto" w:fill="CFF0FC"/>
          </w:tcPr>
          <w:p>
            <w:pPr>
              <w:ind w:left="300"/>
              <w:spacing w:after="0"/>
              <w:rPr>
                <w:sz w:val="20"/>
                <w:szCs w:val="20"/>
                <w:color w:val="auto"/>
              </w:rPr>
            </w:pPr>
            <w:r>
              <w:rPr>
                <w:rFonts w:ascii="Arial" w:cs="Arial" w:eastAsia="Arial" w:hAnsi="Arial"/>
                <w:sz w:val="18"/>
                <w:szCs w:val="18"/>
                <w:color w:val="auto"/>
              </w:rPr>
              <w:t>—   Minority Shareholders' Net Income</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ind w:right="238"/>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80" w:type="dxa"/>
            <w:vAlign w:val="bottom"/>
            <w:gridSpan w:val="12"/>
          </w:tcPr>
          <w:p>
            <w:pPr>
              <w:ind w:left="300"/>
              <w:spacing w:after="0"/>
              <w:rPr>
                <w:sz w:val="20"/>
                <w:szCs w:val="20"/>
                <w:color w:val="auto"/>
              </w:rPr>
            </w:pPr>
            <w:r>
              <w:rPr>
                <w:rFonts w:ascii="Arial" w:cs="Arial" w:eastAsia="Arial" w:hAnsi="Arial"/>
                <w:sz w:val="18"/>
                <w:szCs w:val="18"/>
                <w:color w:val="auto"/>
                <w:w w:val="96"/>
              </w:rPr>
              <w:t>93   Goodyear Net Income (Loss)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580" w:type="dxa"/>
            <w:vAlign w:val="bottom"/>
            <w:tcBorders>
              <w:right w:val="single" w:sz="8" w:color="CFF0FC"/>
            </w:tcBorders>
            <w:gridSpan w:val="2"/>
            <w:shd w:val="clear" w:color="auto" w:fill="CFF0FC"/>
          </w:tcPr>
          <w:p>
            <w:pPr>
              <w:spacing w:after="0"/>
              <w:rPr>
                <w:sz w:val="21"/>
                <w:szCs w:val="21"/>
                <w:color w:val="auto"/>
              </w:rPr>
            </w:pPr>
          </w:p>
        </w:tc>
        <w:tc>
          <w:tcPr>
            <w:tcW w:w="260" w:type="dxa"/>
            <w:vAlign w:val="bottom"/>
            <w:gridSpan w:val="2"/>
            <w:shd w:val="clear" w:color="auto" w:fill="CFF0FC"/>
          </w:tcPr>
          <w:p>
            <w:pPr>
              <w:spacing w:after="0"/>
              <w:rPr>
                <w:sz w:val="21"/>
                <w:szCs w:val="21"/>
                <w:color w:val="auto"/>
              </w:rPr>
            </w:pPr>
          </w:p>
        </w:tc>
        <w:tc>
          <w:tcPr>
            <w:tcW w:w="2180" w:type="dxa"/>
            <w:vAlign w:val="bottom"/>
            <w:gridSpan w:val="7"/>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Deferred derivative (gains) losses, before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ind w:right="238"/>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7"/>
          </w:tcPr>
          <w:p>
            <w:pPr>
              <w:ind w:left="320"/>
              <w:spacing w:after="0"/>
              <w:rPr>
                <w:sz w:val="20"/>
                <w:szCs w:val="20"/>
                <w:color w:val="auto"/>
              </w:rPr>
            </w:pPr>
            <w:r>
              <w:rPr>
                <w:rFonts w:ascii="Arial" w:cs="Arial" w:eastAsia="Arial" w:hAnsi="Arial"/>
                <w:sz w:val="18"/>
                <w:szCs w:val="18"/>
                <w:color w:val="auto"/>
                <w:w w:val="95"/>
              </w:rPr>
              <w:t>(1 )  Cost of Goods Sold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Tax effect</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tcBorders>
              <w:right w:val="single" w:sz="8" w:color="CFF0FC"/>
            </w:tcBorders>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3840" w:type="dxa"/>
            <w:vAlign w:val="bottom"/>
            <w:gridSpan w:val="13"/>
            <w:shd w:val="clear" w:color="auto" w:fill="CFF0FC"/>
          </w:tcPr>
          <w:p>
            <w:pPr>
              <w:ind w:left="300"/>
              <w:spacing w:after="0"/>
              <w:rPr>
                <w:sz w:val="20"/>
                <w:szCs w:val="20"/>
                <w:color w:val="auto"/>
              </w:rPr>
            </w:pPr>
            <w:r>
              <w:rPr>
                <w:rFonts w:ascii="Arial" w:cs="Arial" w:eastAsia="Arial" w:hAnsi="Arial"/>
                <w:sz w:val="18"/>
                <w:szCs w:val="18"/>
                <w:color w:val="auto"/>
              </w:rPr>
              <w:t>—   United States and Foreign Taxes</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ind w:right="238"/>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80" w:type="dxa"/>
            <w:vAlign w:val="bottom"/>
            <w:gridSpan w:val="12"/>
          </w:tcPr>
          <w:p>
            <w:pPr>
              <w:ind w:left="320"/>
              <w:spacing w:after="0"/>
              <w:rPr>
                <w:sz w:val="20"/>
                <w:szCs w:val="20"/>
                <w:color w:val="auto"/>
              </w:rPr>
            </w:pPr>
            <w:r>
              <w:rPr>
                <w:rFonts w:ascii="Arial" w:cs="Arial" w:eastAsia="Arial" w:hAnsi="Arial"/>
                <w:sz w:val="18"/>
                <w:szCs w:val="18"/>
                <w:color w:val="auto"/>
                <w:w w:val="94"/>
              </w:rPr>
              <w:t>(1 )  Goodyear Net Income (Loss)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reclassifications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24</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8"/>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32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93</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92</w:t>
            </w:r>
          </w:p>
        </w:tc>
        <w:tc>
          <w:tcPr>
            <w:tcW w:w="140" w:type="dxa"/>
            <w:vAlign w:val="bottom"/>
            <w:tcBorders>
              <w:bottom w:val="single" w:sz="8" w:color="CFF0FC"/>
            </w:tcBorders>
            <w:shd w:val="clear" w:color="auto" w:fill="CFF0FC"/>
          </w:tcPr>
          <w:p>
            <w:pPr>
              <w:spacing w:after="0"/>
              <w:rPr>
                <w:sz w:val="24"/>
                <w:szCs w:val="24"/>
                <w:color w:val="auto"/>
              </w:rPr>
            </w:pPr>
          </w:p>
        </w:tc>
        <w:tc>
          <w:tcPr>
            <w:tcW w:w="2140" w:type="dxa"/>
            <w:vAlign w:val="bottom"/>
            <w:tcBorders>
              <w:bottom w:val="single" w:sz="8" w:color="CFF0FC"/>
            </w:tcBorders>
            <w:gridSpan w:val="10"/>
            <w:shd w:val="clear" w:color="auto" w:fill="CFF0FC"/>
          </w:tcPr>
          <w:p>
            <w:pPr>
              <w:jc w:val="center"/>
              <w:spacing w:after="0"/>
              <w:rPr>
                <w:sz w:val="20"/>
                <w:szCs w:val="20"/>
                <w:color w:val="auto"/>
              </w:rPr>
            </w:pPr>
            <w:r>
              <w:rPr>
                <w:rFonts w:ascii="Arial" w:cs="Arial" w:eastAsia="Arial" w:hAnsi="Arial"/>
                <w:sz w:val="18"/>
                <w:szCs w:val="18"/>
                <w:color w:val="auto"/>
                <w:w w:val="91"/>
              </w:rPr>
              <w:t>Goodyear Net Income (Loss)</w:t>
            </w:r>
          </w:p>
        </w:tc>
        <w:tc>
          <w:tcPr>
            <w:tcW w:w="9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-4722495</wp:posOffset>
            </wp:positionV>
            <wp:extent cx="857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-4722495</wp:posOffset>
            </wp:positionV>
            <wp:extent cx="7747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-4722495</wp:posOffset>
            </wp:positionV>
            <wp:extent cx="7683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-4722495</wp:posOffset>
            </wp:positionV>
            <wp:extent cx="7747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-3333750</wp:posOffset>
            </wp:positionV>
            <wp:extent cx="939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-3333750</wp:posOffset>
            </wp:positionV>
            <wp:extent cx="857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-3333750</wp:posOffset>
            </wp:positionV>
            <wp:extent cx="857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-976630</wp:posOffset>
            </wp:positionV>
            <wp:extent cx="94615"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1625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-976630</wp:posOffset>
            </wp:positionV>
            <wp:extent cx="85725"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-976630</wp:posOffset>
            </wp:positionV>
            <wp:extent cx="8572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-976630</wp:posOffset>
            </wp:positionV>
            <wp:extent cx="8572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-350520</wp:posOffset>
            </wp:positionV>
            <wp:extent cx="9461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-350520</wp:posOffset>
            </wp:positionV>
            <wp:extent cx="8572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-350520</wp:posOffset>
            </wp:positionV>
            <wp:extent cx="8572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-350520</wp:posOffset>
            </wp:positionV>
            <wp:extent cx="8572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946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946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comprehensive income (loss) attributable to minority shareholders: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Minority Shareholders</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Foreign currency translation</w:t>
            </w:r>
          </w:p>
        </w:tc>
        <w:tc>
          <w:tcPr>
            <w:tcW w:w="8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2"/>
              </w:rPr>
              <w:t>Comprehensive Income (Loss) Attributable to Minority Shareholders</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b w:val="1"/>
                <w:bCs w:val="1"/>
                <w:color w:val="auto"/>
              </w:rPr>
              <w:t>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vMerge w:val="restart"/>
          </w:tcPr>
          <w:p>
            <w:pPr>
              <w:jc w:val="right"/>
              <w:ind w:right="43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-693420</wp:posOffset>
            </wp:positionV>
            <wp:extent cx="85725" cy="196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-693420</wp:posOffset>
            </wp:positionV>
            <wp:extent cx="85725"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ind w:right="1180"/>
        <w:spacing w:after="0" w:line="44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(“EMEA”); and Asia Pacific.</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5, 2023, we approved a rationalization and workforce reorganization plan in EMEA to improve our cost structure. The proposed actions would lead to a reduction of approximately 1,200 positions across multiple countries within EMEA while also creating approximately 500 new roles principally in our existing shared services organization in Romania, resulting in an overall net reduction of approximately 700 positions. In certain countries, relevant portions of the plan remain subject to consultation with employee representative bodies. We expect these actions will be substantially complete in 2025. The total pre-tax charges associated with the plan are expected to be $210 million to $230 million, substantially all of which are expected to be cash charges primarily for associate-related and other implementation and exit costs. During the third quarter of 2023, we accrued $167 million of pre-tax charges. The majority of the remaining charges are expected to be recorded in 2024. The majority of the cash outflows associated with this plan are expected to occur in 2024.</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19, 2023, we approved a rationalization plan in Asia Pacific to improve profitability in our Australia and New Zealand operations. The proposed plan will change the Company’s operating model to a third-party distribution and retail sales model instead of a company-owned approach. The plan will lead to a reduction of approximately 700 positions, the exit of nine warehouse locations, and the sale or exit of approximately 100 retail and fleet store locations. The plan remains subject to consultation with employee representative bodies. We expect to substantially complete this rationalization plan by the end of 2024 and estimate total pre-tax charges associated with this action to be between $55 million and $65 million, of which $40 million to $50 million are expected to be cash charges primarily for associate-related and lease exit costs, with the remainder primarily representing non-cash charges for accelerated depreciation and other asset-related charges. We have recorded $20 million of pre-tax charges in the third quarter of 2023 and expect to record approximately $5 million of pre-tax charges in the fourth quarter of 2023 related to this plan. The majority of the remaining charges are expected to be recorded in 2024. The majority of the cash outflows associated with this plan are expected to occur in 2024.</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full run rate savings for these actions are expected to be approximately $150 million by 2025. These actions are a part of a broader set of actions we expect to take in order to fundamentally streamline our business, improve our competitive position and drive growth. We expect to share this broader plan with investors during the fourth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and first nine months of 2023, our operating results reflected the impact of the ongoing effects of inflation and increases in interest rates on the global economy. While global tire industry demand remains below 2019 levels, operating margins improved for each of our segments during the third quarter of 2023, when compared to the second quarter of 2023. Additionally, we saw signs of improving volume conditions in several of our markets, including the U.S., where industry volume grew 10% over the third quarter of last year. The United Auto Workers strike did not significantly impact our results during the third quarter of 2023, and we saw improvement in demand from our OE customers globally, primarily due to demand in China.</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inflationary cost pressures we experienced in the first half of 2023 eased in the third quarter as decreases in raw material and transportation costs offset inflation. However, cost pressures remain on wages and benefits as we continue to experience increased labor-related costs and manufacturing inefficiencies associated with the ongoing tight labor supply, particularly in the U.S. Additionally, energy costs remain elevated in EMEA, driven by the indirect impacts of the war in Ukraine.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2023, a severe storm in the U.S. significantly damaged and caused the temporary shut-down of our tire manufacturing facility and adjacent warehouse in Tupelo, Mississippi (“Tupelo”). The damage to Tupelo was significant; however, we were able to restart production earlier than expected and returned to full production in the beginning of the third quarter. We estimate the negative impact of the Tupelo storm on sales in Americas for the three and nine months ended September 30, 2023 was $33 million and $110 million, respectively. We estimate that the negative impact on our earnings for the three and nine months ended September 30, 2023 was $5 million ($4 million after-tax and minority) and $69 million ($56 million after-tax and minority), respectively. The negative impact on our earnings for the nine months ended September 30, 2023 included $55 million in Americas segment operating income and $14 million of corporate expense for an insurance deductible.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20, 2023, a fire significantly damaged a portion of the tire curing area and caused the temporary shutdown of our tire manufacturing facility in Debica, Poland (“Debica”). Tire production at Debica resumed in August at approximately 55% of capacity and is currently at approximately 70% of capacity. A full ramp-up is not expected until the fourth quarter of 2024 due to the lead time to replace the damaged equipment. We estimate the negative impact on our earnings during the third quarter was approximately $14 million ($12 million after-tax and minority), including $8 million of corporate expense for an insurance deductible and a $6 million impact on EMEA’s segment operating income, primarily comprised of fixed costs incurred during the plant shutdown and subsequent ramp-up. There were no significant lost sales during the third quarter as a result of leveraging existing inventory and increasing production at other facilities.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third-party insurance coverage for property damage, repair expenses and business interruption, subject to a $15 million deductible for each of the events at Tupelo and Debica. While we expect to be reimbursed for a significant portion of our business interruption impacts for Tupelo and Debica by our third-party insurance coverage, consistent with past practice, we will record a receivable related to the business interruption once the claim is substantially complete.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and first nine months of 2023, in order to address softening industry demand and prevent the buildup of excess inventory, we reduced production at many of our tire manufacturing facilities, resulting in a reduction of 4.4 million units and 12.0 million units, respectively (excluding in each case the impact of the Tupelo storm and Debica fire), compared to production in the third quarter and first nine months of 2022, primarily in Americas and EMEA. Decisions to change production levels in the future will be based on an evaluation of market demand signals and inventory and supply levels, as well as the availability of sufficient qualified labor.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for the third quarter of 2023 include a 2.8% decrease in tire unit shipments compared to 2022, primarily due to lower global replacement tire volume. In the third quarter of 2023, we realized approximately $84 million of inflationary cost pressures, which were partially offset by cost savings of $17 million, primarily due to lower transportation costs.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the third quarter of 2023 were $5,142 million, compared to $5,311 million in the third quarter of 2022. Net sales decreased in the third quarter of 2023 primarily due to lower tire volume in Americas and EMEA, partially offset by higher tire volume in Asia Pacific, lower sales in other tire-related businesses, primarily due to a decrease in third-party chemical sales in Americas, and the negative impact of the Tupelo storm on sales. These decreases were partially offset by favorable foreign currency translation, driven by the weakening of the U.S. dollar, and improvements in price and product mix, primarily in EMEA.</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2023, Goodyear net loss was $89 million, or $0.31 per share, compared to Goodyear net income of $44 million, or $0.16 per share, in the third quarter of 2022. The change in Goodyear net income (loss) was primarily due to higher rationalization charges, lower segment operating income and higher interest expense. These decreases were partially offset by lower U.S. and Foreign Tax Expense driven by the pre-tax loss and lower other expense.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segment operating income for the third quarter of 2023 was $336 million, compared to $373 million in the third quarter of 2022. The $37 million decrease was primarily due to increased conversion costs of $154 million driven by the effect of decreased tire production on fixed cost absorption, inflation and higher energy costs, lower tire volume of $26 million, primarily in Americas and EMEA, and lower earnings in other tire-related businesses of $23 million, primarily related to a decrease in third-party chemical and retread sales in Americas, partially offset by higher global aviation sales. These decreases were partially offset by lower raw material costs of $140 million and improvements in price and product mix of $22 million, primarily in EMEA and Asia Pacific. Refer to “Results of Operations — Segment Information” for additional information.</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in the first nine months of 2023 were $14,950 million, compared to $15,431 million in the first nine months of 2022. Net sales decreased in 2023 primarily due to lower tire volume, primarily in Americas and EMEA, unfavorable foreign currency translation, driven by the strengthening of the U.S. dollar, the negative impact of the Tupelo storm on sales, and a decrease in sales in other tire-related businesses, primarily related to a decrease in third-party chemical sales in Americas and retread sales in EMEA, partially offset by higher global aviation sales, growth in EMEA's Fleet Solutions and increased retail sales in Americas. These decreases were partially offset by global improvements in price and product mix.</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nine months of 2023, Goodyear net loss was $398 million, or $1.40 per share, compared to Goodyear net income of $306 million, or $1.07 per share, in the first nine months of 2022. The change in Goodyear net income (loss) was primarily due to lower segment operating income, higher rationalization charges, an increase in Other Expense and higher interest expense. These decreases were partially offset by lower U.S. and Foreign Tax Expense driven by the pre-tax loss.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segment operating income for the first nine months of 2023 was $585 million, compared to $1,040 million in the first nine months of 2022. The $455 million decrease was primarily due to increased conversion costs of $511 million driven by the effect of decreased tire production on fixed cost absorption, inflation and higher energy costs, lower tire volume of $193 million, primarily in Americas and EMEA, higher transportation and imported tire costs of $94 million, a $55 million negative impact due to the Tupelo storm, and unfavorable foreign currency translation of $23 million driven by the strengthening of the U.S. dollar. These decreases were partially offset by global improvements in price and product mix of $659 million, which more than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offset higher raw material costs of $262 million, and lower research and development costs of $25 million. Refer to "Results of Operations — Segment Information"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September 30, 2023, we had $1,002 million of cash and cash equivalents as well as $3,077 million of unused availability under our various credit agreements, compared to $1,227 million and $4,035 million, respectively, at December 31, 2022. The decrease in cash and cash equivalents of $225 million was primarily due to net cash used for operating activities of $204 million, capital expenditures of $807 million, loans to TireHub, LLC ("TireHub") of $61 million and net securities acquired of $13 million, partially offset by net borrowings of $787 million and cash proceeds from sale and leaseback transactions in Americas of $73 million. Net cash used for operating activities reflects cash used for working capital of $811 million and the Company's net loss for the period of $391 million, which includes non-cash charges for depreciation and amortization of $751 million and rationalizations of $302 million. Refer to "Liquidity and Capital Resources"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2023, we expect our replacement tire volume will be lower by approximately 3% to 4% when compared to the fourth quarter of 2022. Despite our lower expected volume, we view the 10% growth in U.S. industry volume in the third quarter of 2023 as a signal of the end of channel destocking that began in the fourth quarter of 2022. We expect our OE tire volume will be approximately 5% higher than the fourth quarter of 2022, particularly in China which continues to benefit from a focus on growing premium segments of the market including electric vehicles, sports utility vehicles and luxury vehicles.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our raw material costs to be lower by approximately $300 million in the fourth quarter of 2023 compared to the fourth quarter of 2022. We anticipate price and product mix, when netted with the lower raw material costs, will be a benefit of approximately $250 million in the fourth quarter of 2023. Price and product mix are expected to reflect lower selling prices to customers with contractual raw material index adjustments and the continuing negative impact of lower commercial tire volume as a proportion of our overall tire volume, driven by weakness in the commercial truck industry.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expect inflationary cost pressures to persist in the fourth quarter of 2023, particularly with respect to labor and energy costs. We expect the negative impact on segment operating income from non-raw material inflation, net of expected cost savings, will be approximately $65 million compared with the fourth quarter of 2022.</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focus on actions to offset costs other than raw materials through cost savings initiatives, including rationalization actions, further pricing actions and improvements in product mix. We also anticipate our fourth quarter 2023 results will be negatively impacted by approximately $40 million as a result of lower production volume of approximately $4.4 million units during the third quarter of 2023 when compared with the third quarter of 2022, excluding the impact of the fire in Debica. We expect the lower production levels in the third quarter of 2023 as a result of the fire in Debica will negatively impact our EMEA segment operating results by approximately $15 million in the fourth quarter of 2023. In addition, we expect our corporate expenses to be negatively impacted by approximately $5 million as we anticipate recognizing additional deductibles related to the fire in Debica as repair activities continue.</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full year of 2023, we now expect working capital to be a source of operating cash flows of approximately $150 million. We anticipate our capital expenditures will be approximately $1.05 billion. Our capital expenditures in 2023 are focused on projects to modernize certain of our manufacturing facilities and expand others to address anticipated future demand, in addition to capital expenditures to sustain our facilities. We anticipate our cash flows will include rationalization payments of approximately $100 million, as we continue to improve our cost structure.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"Item 1A. Risk Factors" in the 2022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sales in the third quarter of 2023 were $5,142 million, decreasing $169 million, or 3.2%, from $5,311 million in the third quarter of 2022. Goodyear net loss was $89 million, or $0.31 per share, in the third quarter of 2023, compared to Goodyear net income of $44 million, or $0.16 per share, in the third quarter of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sales decreased in the third quarter of 2023 primarily due to lower tire volume of $115 million, representing lower tire volume in Americas and EMEA, partially offset by higher tire volume in Asia Pacific, lower sales in other tire-related businesses of $78 million, primarily due to a decrease in third-party chemical sales in Americas, and the unfavorable impact of the Tupelo storm of $33 million. These decreases were partially offset by favorable foreign currency translation of $32 million, primarily in EMEA and Americas, and improvements in price and product mix of $23 million, primarily in EMEA.</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Worldwide tire unit sales in the third quarter of 2023 were 45.3 million units, decreasing 1.4 million units, or 2.8%, from 46.7 million units in the third quarter of 2022. Replacement tire volume decreased globally by 2.0 million units, or 5.3%. OE tire volume increased by 0.6 million units, or 5.7%, driven by Asia Pacific, reflecting the impact of new consumer fitments.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Goods Sold ("CGS") in the third quarter of 2023 was $4,171 million, decreasing $134 million, or 3.1%, from $4,305 million in the third quarter of 2022. CGS decreased primarily due to lower raw material costs of $140 million, lower tire volume of $89 million, primarily in Americas and EMEA, lower costs in other tire-related businesses of $55 million, primarily related to lower third-party chemical sales in Americas, a $28 million reduction due to lower sales from the impact of the Tupelo storm, and lower transportation costs of $15 million, primarily in Americas. These decreases were partially offset by increased conversion costs of $154 million driven by the effect of decreased tire production on fixed cost absorption, inflation and higher energy costs, foreign currency translation of $27 million, primarily in EMEA and Americas, driven by the weakening of the U.S. dollar, and $8 million ($7 million after-tax and minority) of accelerated depreciation and asset write-offs, primarily related to the integration of Cooper Tire &amp; Rubber Company ("Cooper Tire") and the closure of Cooper Tire's Melksham, United Kingdom tire manufacturing facility ("Melksham").</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CGS in the third quarter of 2023 and 2022 included pension expense of $3 million and $5 million, respectively. CGS was 81.1% of sales in both the third quarter of 2023 and 2022.</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Administrative and General Expense ("SAG") in the third quarter of 2023 was $673 million, decreasing $23 million, or 3.3%, from $696 million in the third quarter of 2022. SAG decreased primarily due to lower wages and benefits costs of $36 million, primarily due to lower incentive compensation and restructuring savings, and lower advertising costs of $3 million. These decreases were partially offset by inflation and unfavorable foreign currency translation of $7 million, primarily in EMEA.</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SAG in the third quarter of 2023 and 2022 included pension expense of $4 million for each period. SAG in the third quarter of 2023 included $12 million of incremental savings from rationalization plans, compared to $5 million in 2022. SAG in the third quarter of 2022 included a total of $6 million ($5 million after-tax and minority) of accelerated depreciation. SAG was 13.1% of sales in both the third quarter of 2023 and 2022.</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net rationalization charges of $198 million ($177 million after-tax and minority) in the third quarter of 2023, primarily related to the proposed rationalization and workforce reorganization plan in EMEA and the plan to improve profitability in our Australia and New Zealand operations. We recorded net rationalization charges of $45 million ($47 million after-tax and minority) in the third quarter of 2022, primarily related to the closure of Melksham and a plan to exit our retail operations in South Africa. For further information, refer to Note to the Consolidated Financial Statements No. 3, Costs Associated with Rationalization Programs.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third quarter of 2023 was $138 million, increasing $21 million, or 17.9%, from $117 million in the third quarter of 2022. The average interest rate was 6.32% in the third quarter of 2023 compared to 5.49% in the third quarter of 2022. The average debt balance was $8,738 million in the third quarter of 2023 compared to $8,525 million in the third quarter of 2022.</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Expense in the third quarter of 2023 was $21 million of expense, compared to $42 million of expense in the third quarter of 2022. The decrease in Other (Income) Expense was primarily due to an $11 million increase in foreign currency exchange gains driven by the impact of lower net monetary assets in Turkey, a $10 million net increase in interest income, net gains on asset sales in 2023 of $6 million ($4 million after-tax and minority), and $14 million ($11 million after-tax and minority) of expense in 2022 related to intellectual property-related legal claims. These decreases were partially offset by an increase in non-service related pension and other postretirement benefits cost of $5 million due to higher interest rates, including pension settlement charges of $4 million ($2 after-tax and minority) in 2023 compared to pension settlement charges of $10 million ($7 million after-tax and minority) in 2022, a $4 million increase in fees in 2023 related to accounts receivable factoring programs driven by higher interest rates, and $4 million ($3 million after-tax and minority) of expense in 2023 for non-indemnified costs for product liability claims related to products manufactured by a formerly consolidated joint venture entity.</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third quarter of 2023, we recorded income tax expense of $25 million on a loss before income taxes of $59 million. Income tax expense for the three months ended September 30, 2023 was favorably impacted by a net discrete tax benefit of $8 million ($8 million after minority interest). In the third quarter of 2022, we recorded income tax expense of $58 million on income before income taxes of $106 million. Income tax expense for the three months ended September 30, 2022 includes net discrete tax expense of $2 million ($2 million after minority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color w:val="auto"/>
        </w:rPr>
        <w:t xml:space="preserve">Minority shareholders’ net income in the third quarter of 2023 was $5 million, compared to $4 million in the third quarter of 2022. </w:t>
      </w:r>
      <w:r>
        <w:rPr>
          <w:rFonts w:ascii="Arial" w:cs="Arial" w:eastAsia="Arial" w:hAnsi="Arial"/>
          <w:sz w:val="18"/>
          <w:szCs w:val="18"/>
          <w:b w:val="1"/>
          <w:bCs w:val="1"/>
          <w:i w:val="1"/>
          <w:iCs w:val="1"/>
          <w:color w:val="auto"/>
        </w:rPr>
        <w:t>Nine Months Ended September 30, 2023 and 2022</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first nine months of 2023 were $14,950 million, decreasing $481 million, or 3.1%, from $15,431 million in the first nine months of 2022. Goodyear net loss was $398 million, or $1.40 per share, in the first nine months of 2023, compared to Goodyear net income of $306 million, or $1.07 per share, in the first nine months of 2022.</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sales decreased in the first nine months of 2023 primarily due to lower tire volume of $808 million, representing lower tire volume in Americas and EMEA, partially offset by higher tire volume in Asia Pacific, unfavorable foreign currency translation of $232 million, driven by the strengthening of the U.S. dollar, the unfavorable impact of the Tupelo storm of $110 million, and a decrease in sales in other tire-related businesses of $60 million, primarily related to a decrease in third-party chemical sales in Americas, partially offset by higher global aviation sales, growth in EMEA's Fleet Solutions and increased retail sales in Americas. These decreases were partially offset by global improvements in price and product mix of $724 million.</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Worldwide tire unit sales in the first nine months of 2023 were 127.9 million units, decreasing 9.4 million units, or 6.8%, from 137.3 million units in the first nine months of 2022. Replacement tire volume decreased globally by 11.4 million units, or 10.5%, driven by reduced industry demand. OE tire volume increased by 2.0 million units, or 6.4%, primarily in Asia Pacific and EMEA, reflecting the impact of new consumer fitments and continued recovery in OE production.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CGS in the first nine months of 2023 was $12,487 million, increasing $44 million, or 0.4%, from $12,443 million in the first nine months of 2022. CGS increased primarily due to increased conversion costs of $511 million driven by the effect of decreased tire production on fixed cost absorption, inflation and higher energy costs, higher raw material costs of $262 million, higher transportation and imported tire costs of $94 million, higher costs related to product mix of $65 million, primarily in Americas and EMEA, and $31 million ($26 million after-tax and minority) of accelerated depreciation and asset write-offs, primarily related to the integration of Cooper Tire and the closure of Melksham. These increases were partially offset by lower tire volume of $615 million, foreign currency translation of $186 million, driven by the strengthening of the U.S. dollar, a $55 million reduction due to the net impact of lower sales, partially offset by higher period costs as a result of the Tupelo storm, lower costs in other tire-related businesses of $52 million, primarily related to a decrease in third-party chemical sales in Americas, and a $5 million ($4 million after-tax and minority) reversal of a portion of the estimated cleanup costs associated with the permanent closure of Gadsden. CGS in the first nine months of 2023 was favorably impacted by a successful legal claim of $3 million ($3 million after-tax and minority) related to a 2005 warehouse fire in Spain.</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CGS in the first nine months of 2023 and 2022 included pension expense of $11 million and $17 million, respectively. CGS was 83.5% of sales in the first nine months of 2023, compared to 80.6% in the first nine months of 2022.</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SAG in the first nine months of 2023 was $2,045 million, decreasing $56 million, or 2.7%, from $2,101 million in the first nine months of 2022. SAG decreased primarily due to lower wages and benefit costs of $41 million, lower foreign currency translation of $23 million, driven by the strengthening of the U.S. dollar, lower advertising costs of $21 million, and recoveries of previously written-off accounts receivable and other assets related to our exited business in Russia of $10 million ($10 million after-tax and minority). These decreases were partially offset by the impact of inflation.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SAG in the first nine months of 2023 and 2022 included pension expense of $9 million and $11 million, respectively. SAG in the first nine months of 2023 included $34 million of incremental savings from rationalization plans, compared to $7 million in 2022. SAG in the first nine months of 2022 included a total of $6 million ($5 million after-tax and minority) of accelerated depreciation. SAG was 13.7% of sales in the first nine months of 2023, compared to 13.6% in the first nine months of 2022.</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recorded net rationalization charges of $302 million ($262 million after-tax and minority) in the first nine months of 2023 and $82 million ($75 million after-tax and minority) in the first nine months of 2022. Net rationalization charges in the first nine months of 2023 primarily related to the proposed rationalization and workforce reorganization plan in EMEA, the proposed plan to reduce production capacity at Fulda, the plan to improve profitability in our Australia and New Zealand operations, and the plan to streamline our EMEA distribution network. Net rationalization charges in the first nine months of 2022 primarily related to the closure of Melksham, a plan to reduce duplicative global SAG headcount and close redundant warehouse locations in Americas as part of the integration of Cooper Tire, and a plan to exit our retail operations in South Africa. For further information, refer to Note to the Consolidated Financial Statements No. 3, Costs Associated with Rationalization Programs.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first nine months of 2023 was $403 million, increasing $72 million, or 21.8%, from $331 million in the first nine months of 2022. The average interest rate was 6.18% in the first nine months of 2023 compared to 5.34% in the first nine months of 2022. The average debt balance was $8,700 million in the first nine months of 2023 compared to $8,265 million in the first nine months of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Expense in the first nine months of 2023 was $82 million of expense, compared to $18 million of income in the first nine months of 2022. The change in Other (Income) Expense was primarily due to an increase in non-service related pension and other postretirement benefits cost of $56 million due to higher interest rates and pension settlement charges of $40 million ($30 after-tax and minority) in 2023 compared to pension settlement charges of $28 million ($21 million after-tax and minority) in 2022. Additionally, the change in Other (Income) Expense reflects net gains on asset and other sales in 2023 of $58 million ($41 million after-tax and minority), primarily related to the sale and leaseback transaction of a warehouse in Americas, compared to a gain of $98 million ($75 million after-tax and minority) in 2022, primarily related to the sale and leaseback transaction of certain consumer and commercial retail locations in Americas, a $29 million net increase in foreign currency exchange losses driven by the weakening of the Argentine peso, offset by an increase in interest income of $33 million, primarily in Argentina, $19 million ($14 million after-tax and minority) of expense for non-indemnified costs for product liability claims related to products manufactured by a formerly consolidated joint venture entity, and a $16 million increase in fees related to accounts receivable factoring programs driven by higher interest rates. These increases were partially offset by $5 million ($5 million after-tax and minority) of income for the write-off of accumulated foreign currency translation related to our exited business in Russia. Other (Income) Expense in 2023 includes $11 million ($8 million after-tax and minority) of income related to a favorable court decision setting aside a previous unfavorable verdict on intellectual property-related legal claims. The impact of that verdict and other fees in 2022 related to these claims was $15 million of expense ($11 after-tax and minority).</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first nine months of 2023, we recorded income tax expense of $22 million on a loss before income taxes of $369 million. Income tax expense for the nine months ended September 30, 2023 was favorably impacted by a net discrete tax benefit of $5 million ($6 million after minority interest). In the first nine months of 2022, we recorded income tax expense of $178 million on income before income taxes of $492 million. Income tax expense for the nine months ended September 30, 2022 includes net discrete tax expense of $20 million ($20 million after minority interest), including charges of $14 million to write off deferred tax assets related to tax loss carryforwards in the UK and $11 million to establish a full valuation allowance on our net deferred tax assets in Russia, partially offset by a net benefit of $5 million for various other items.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both the nine months ended September 30, 2023 and 2022 primarily relates to losses in foreign jurisdictions in which no tax benefits are recorded and the discrete items noted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2023, we do not anticipate that the 15% corporate alternative minimum tax ("CAMT") under the Inflation Reduction Act of 2022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and December 31, 2022, we had approximately $1.2 billion and $1.1 billion of U.S. federal, state and local net deferred tax assets, respectively, inclusive of valuation allowances totaling $26 million in each period primarily for state tax loss carryforwards with limited lives. Approximately $800 million of these U.S. net deferred tax assets have unlimited lives and approximately $400 million have limited lives and expire between 2023 and 2042.</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September 30, 2023 and December 31, 2022, our U.S. net deferred tax assets described above include approximately $245 million and $230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September 30, 2023, our U.S. net deferred tax assets, including our foreign tax credits, will be fully utilized.</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and December 31, 2022, we also had approximately $1.3 billion and $1.2 billion of foreign net deferred tax assets, respectively, and related valuation allowances of approximately $1.1 billion and $1.0 billion, respectively. Our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in various foreign taxing jurisdictions in recent periods represented sufficient negative evidence to require us to maintain a full valuation allowance against certain of these net foreign deferred tax assets. Most notably, in Luxembourg, we maintain a valuation allowance of $918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6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Minority shareholders’ net income in the first nine months of 2023 was $7 million, compared to $8 million in the first nine months of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53"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Total segment operating income for the third quarter of 2023 was $336 million, a decrease of $37 million, or 9.9%, from $373 million in the third quarter of 2022. Total segment operating margin in the third quarter of 2023 was 6.5%, compared to 7.0% in the third quarter of 2022. Total segment operating income for the first nine months of 2023 was $585 million, a decrease of $455 million, or 43.8%, from $1,040 million in the first nine months of 2022. Total segment operating margin in the first nine months of 2023 was 3.9%, compared to 6.7% in the first nine months of 2022.</w:t>
      </w:r>
    </w:p>
    <w:p>
      <w:pPr>
        <w:spacing w:after="0" w:line="6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298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w w:val="94"/>
              </w:rPr>
              <w:t>Three Months Ended September 30,</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3"/>
              </w:rPr>
              <w:t>Nine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r>
      <w:tr>
        <w:trPr>
          <w:trHeight w:val="185"/>
        </w:trPr>
        <w:tc>
          <w:tcPr>
            <w:tcW w:w="36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7"/>
                <w:szCs w:val="17"/>
                <w:color w:val="auto"/>
              </w:rPr>
              <w:t>Tire Units</w:t>
            </w: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22.9</w:t>
            </w:r>
          </w:p>
        </w:tc>
        <w:tc>
          <w:tcPr>
            <w:tcW w:w="18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24.1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(4.9 )%</w:t>
            </w:r>
          </w:p>
        </w:tc>
        <w:tc>
          <w:tcPr>
            <w:tcW w:w="14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64.2</w:t>
            </w:r>
          </w:p>
        </w:tc>
        <w:tc>
          <w:tcPr>
            <w:tcW w:w="16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(7.8 )%</w:t>
            </w:r>
          </w:p>
        </w:tc>
      </w:tr>
      <w:tr>
        <w:trPr>
          <w:trHeight w:val="225"/>
        </w:trPr>
        <w:tc>
          <w:tcPr>
            <w:tcW w:w="3640" w:type="dxa"/>
            <w:vAlign w:val="bottom"/>
          </w:tcPr>
          <w:p>
            <w:pPr>
              <w:ind w:left="20"/>
              <w:spacing w:after="0"/>
              <w:rPr>
                <w:sz w:val="20"/>
                <w:szCs w:val="20"/>
                <w:color w:val="auto"/>
              </w:rPr>
            </w:pPr>
            <w:r>
              <w:rPr>
                <w:rFonts w:ascii="Arial" w:cs="Arial" w:eastAsia="Arial" w:hAnsi="Arial"/>
                <w:sz w:val="17"/>
                <w:szCs w:val="17"/>
                <w:color w:val="auto"/>
              </w:rPr>
              <w:t>Net Sales</w:t>
            </w: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  3,120</w:t>
            </w:r>
          </w:p>
        </w:tc>
        <w:tc>
          <w:tcPr>
            <w:tcW w:w="18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  3,304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(5.6 )% $</w:t>
            </w: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8,926</w:t>
            </w:r>
          </w:p>
        </w:tc>
        <w:tc>
          <w:tcPr>
            <w:tcW w:w="16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w w:val="97"/>
              </w:rPr>
              <w:t>$  9,366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(4.7 )%</w:t>
            </w:r>
          </w:p>
        </w:tc>
      </w:tr>
      <w:tr>
        <w:trPr>
          <w:trHeight w:val="230"/>
        </w:trPr>
        <w:tc>
          <w:tcPr>
            <w:tcW w:w="36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258</w:t>
            </w:r>
          </w:p>
        </w:tc>
        <w:tc>
          <w:tcPr>
            <w:tcW w:w="18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306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(15.7 )%</w:t>
            </w:r>
          </w:p>
        </w:tc>
        <w:tc>
          <w:tcPr>
            <w:tcW w:w="14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440</w:t>
            </w:r>
          </w:p>
        </w:tc>
        <w:tc>
          <w:tcPr>
            <w:tcW w:w="16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815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(46.0 )%</w:t>
            </w:r>
          </w:p>
        </w:tc>
      </w:tr>
      <w:tr>
        <w:trPr>
          <w:trHeight w:val="230"/>
        </w:trPr>
        <w:tc>
          <w:tcPr>
            <w:tcW w:w="364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8.3 %</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9.3 %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4.9 %</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8.7 %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Americas unit sales in the third quarter of 2023 decreased 1.2 million units, or 4.9%, to 22.9 million units. Replacement tire volume decreased 1.1 million units, or 5.0%, primarily due to a decrease in our consumer business, driven by lower share in Brazil and Mexico as a result of increased competitor imports, and the impact of the severe storm at our Tupelo facility in the second quarter, as production did not fully recover until early in the third quarter. OE tire volume decreased 0.1 million units, or 4.3%.</w:t>
      </w:r>
    </w:p>
    <w:p>
      <w:pPr>
        <w:spacing w:after="0" w:line="79"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Net sales in the third quarter of 2023 were $3,120 million, decreasing $184 million, or 5.6%, from $3,304 million in the third quarter of 2022. The decrease in net sales was primarily due to lower tire volume of $90 million, decreased sales in other tire-related businesses of $67 million, primarily due to lower third-party chemical sales, partially offset by higher aviation sales, the unfavorable impact of the Tupelo storm of $33 million and unfavorable price and product mix of $21 million. These decreases were partially offset by favorable foreign currency translation of $25 million, primarily related to the strengthening of the Brazilian real and Mexican peso, partially offset by weakening in the Canadian dollar.</w:t>
      </w:r>
    </w:p>
    <w:p>
      <w:pPr>
        <w:spacing w:after="0" w:line="6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Operating income in the third quarter of 2023 was $258 million, decreasing $48 million, or 15.7%, from $306 million in the third quarter of 2022. The decrease in operating income was due to higher conversion costs of $84 million, driven by the effect of</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decreased tire production on fixed cost absorption as well as inflation, unfavorable price and product mix of $44 million, lower tire volume of $21 million, lower earnings in other tire-related businesses of $17 million, primarily due to lower third-party chemical sales and lower retread sales, and $5 million as a result of the Tupelo storm. These decreases were partially offset by lower raw material costs of $95 million, lower transportation and imported tire costs of $19 million, and lower SAG of $7 million. Operating income for 2023 includes incremental SAG savings from rationalization plans of $10 million.</w:t>
      </w:r>
    </w:p>
    <w:p>
      <w:pPr>
        <w:spacing w:after="0" w:line="49"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Operating income in the third quarter of 2023 excluded net gains on asset sales of $6 million, net rationalization charges of $4 million and accelerated depreciation and asset write-offs of $3 million. Operating income in the third quarter of 2022 excluded net rationalization charges of $4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and 2022</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Americas unit sales in the first nine months of 2023 decreased 5.4 million units, or 7.8%, to 64.2 million units. Replacement tire volume decreased 5.4 million units, or 9.2%, primarily due to a decrease in our consumer business, driven by reduced industry demand in the U.S., the impact of the Tupelo storm, and lower share in Mexico and Brazil as a result of increased imports. OE tire volume was flat compared to the first nine months of 2022.</w:t>
      </w:r>
    </w:p>
    <w:p>
      <w:pPr>
        <w:spacing w:after="0" w:line="5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Net sales in the first nine months of 2023 were $8,926 million, decreasing $440 million, or 4.7%, from $9,366 million in the first nine months of 2022. The decrease in net sales was primarily due to lower tire volume of $448 million, the unfavorable impact of the Tupelo storm of $110 million and decreased sales in other tire-related businesses of $79 million, primarily due to lower third-party chemical sales, partially offset by higher aviation and retail sales. These decreases were partially offset by improvements in price and product mix of $187 million, driven by price increases, and favorable foreign currency translation of $8 million.</w:t>
      </w:r>
    </w:p>
    <w:p>
      <w:pPr>
        <w:spacing w:after="0" w:line="8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Operating income in the first nine months of 2023 was $440 million, decreasing $375 million, or 46.0%, from $815 million in the first nine months of 2022. The decrease in operating income was due to higher conversion costs of $276 million, driven by the effect of decreased tire production on fixed cost absorption and inflation, lower tire volume of $108 million, higher transportation and imported tire costs of $65 million, a $55 million negative impact as a result of the Tupelo storm, and lower earnings in other tire-related businesses of $6 million, primarily due to lower third-party chemical sales, partially offset by higher aviation sales. These decreases were partially offset by improvements in price and product mix of $132 million, which more than offset higher raw material costs of $34 million, and lower SAG of $20 million. Operating income for 2023 includes incremental SAG savings from rationalization plans of $24 million.</w:t>
      </w:r>
    </w:p>
    <w:p>
      <w:pPr>
        <w:spacing w:after="0" w:line="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Operating income in the first nine months of 2023 excluded net gains on asset sales of $68 million, primarily related to the warehouse sale and leaseback transaction, accelerated depreciation and asset write-offs of $18 million and net rationalization charges of $12 million. Operating income in the first nine months of 2022 excluded net gains on asset sales of $98 million, primarily related to the retail sale and leaseback transaction in the second quarter of 2022, and net rationalization charges of $22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298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w w:val="94"/>
              </w:rPr>
              <w:t>Three Months Ended September 30,</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3"/>
              </w:rPr>
              <w:t>Nine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r>
      <w:tr>
        <w:trPr>
          <w:trHeight w:val="185"/>
        </w:trPr>
        <w:tc>
          <w:tcPr>
            <w:tcW w:w="36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7"/>
                <w:szCs w:val="17"/>
                <w:color w:val="auto"/>
              </w:rPr>
              <w:t>Tire Units</w:t>
            </w: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12.5</w:t>
            </w:r>
          </w:p>
        </w:tc>
        <w:tc>
          <w:tcPr>
            <w:tcW w:w="18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(4.9 )%</w:t>
            </w:r>
          </w:p>
        </w:tc>
        <w:tc>
          <w:tcPr>
            <w:tcW w:w="14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37.5</w:t>
            </w:r>
          </w:p>
        </w:tc>
        <w:tc>
          <w:tcPr>
            <w:tcW w:w="16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(11.2 )%</w:t>
            </w:r>
          </w:p>
        </w:tc>
      </w:tr>
      <w:tr>
        <w:trPr>
          <w:trHeight w:val="225"/>
        </w:trPr>
        <w:tc>
          <w:tcPr>
            <w:tcW w:w="3640" w:type="dxa"/>
            <w:vAlign w:val="bottom"/>
          </w:tcPr>
          <w:p>
            <w:pPr>
              <w:ind w:left="20"/>
              <w:spacing w:after="0"/>
              <w:rPr>
                <w:sz w:val="20"/>
                <w:szCs w:val="20"/>
                <w:color w:val="auto"/>
              </w:rPr>
            </w:pPr>
            <w:r>
              <w:rPr>
                <w:rFonts w:ascii="Arial" w:cs="Arial" w:eastAsia="Arial" w:hAnsi="Arial"/>
                <w:sz w:val="17"/>
                <w:szCs w:val="17"/>
                <w:color w:val="auto"/>
              </w:rPr>
              <w:t>Net Sales</w:t>
            </w: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  1,374</w:t>
            </w:r>
          </w:p>
        </w:tc>
        <w:tc>
          <w:tcPr>
            <w:tcW w:w="18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  1,358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1.2 %  $</w:t>
            </w: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4,207</w:t>
            </w:r>
          </w:p>
        </w:tc>
        <w:tc>
          <w:tcPr>
            <w:tcW w:w="16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w w:val="97"/>
              </w:rPr>
              <w:t>$  4,281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(1.7 )%</w:t>
            </w:r>
          </w:p>
        </w:tc>
      </w:tr>
      <w:tr>
        <w:trPr>
          <w:trHeight w:val="229"/>
        </w:trPr>
        <w:tc>
          <w:tcPr>
            <w:tcW w:w="36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(26.7 )%</w:t>
            </w:r>
          </w:p>
        </w:tc>
        <w:tc>
          <w:tcPr>
            <w:tcW w:w="14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141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(92.2 )%</w:t>
            </w:r>
          </w:p>
        </w:tc>
      </w:tr>
      <w:tr>
        <w:trPr>
          <w:trHeight w:val="230"/>
        </w:trPr>
        <w:tc>
          <w:tcPr>
            <w:tcW w:w="364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1.6 %</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0.3 %</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EMEA unit sales in the third quarter of 2023 decreased 0.8 million units, or 4.9%, to 12.5 million units. Replacement tire volume decreased 0.8 million units, or 6.8%, primarily in our consumer business, reflecting the impacts of continued industry declines. OE tire volume was flat compared to the third quarter of 2022.</w:t>
      </w:r>
    </w:p>
    <w:p>
      <w:pPr>
        <w:spacing w:after="0" w:line="7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Net sales in the third quarter of 2023 were $1,374 million, increasing $16 million, or 1.2%, from $1,358 million in the third quarter of 2022. The increase in net sales was primarily driven by improvements in price and product mix of $46 million, driven by price increases, and favorable foreign currency translation of $33 million, driven by a stronger euro, Polish zloty and British pound, partially offset by a weaker Turkish lira. These increases were partially offset by lower tire volume of $58 million and lower sales in other tire-related businesses of $5 million, primarily due to lower retread sales.</w:t>
      </w:r>
    </w:p>
    <w:p>
      <w:pPr>
        <w:spacing w:after="0" w:line="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Operating income in the third quarter of 2023 was $22 million, decreasing $8 million, or 26.7%, from $30 million in the third quarter of 2022. The decrease in operating income was primarily due to higher conversion costs of $68 million, driven by the effect of decreased tire production on fixed cost absorption, higher energy costs and inflation, lower tire volume of $12 million,</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lower earnings in other tire-related businesses of $7 million, primarily due to lower Fleet Solutions earnings, $6 million as a result of the Debica fire, primarily comprised of fixed costs incurred during the plant shut down and subsequent ramp-up, unfavorable foreign currency translation of $3 million and higher cost of imported tires of $1 million. These decreases were partially offset by improvements in price and product mix of $59 million and lower raw material costs of $34 million. SAG for the third quarter of 2023 includes incremental savings from rationalization plans of $2 million.</w:t>
      </w:r>
    </w:p>
    <w:p>
      <w:pPr>
        <w:spacing w:after="0" w:line="6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Operating income in the third quarter of 2023 excluded net rationalization charges of $139 million and accelerated depreciation of $5 million. Operating income in the third quarter of 2022 excluded net rationalization charges of $42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and 2022</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EMEA unit sales in the first nine months of 2023 decreased 4.8 million units, or 11.2%, to 37.5 million units. Replacement tire volume decreased 5.7 million units, or 16.8%, primarily in our consumer business, reflecting the impacts of continued industry declines. OE tire volume increased 0.9 million units, or 10.0%, reflecting continued recovery in OE production.</w:t>
      </w:r>
    </w:p>
    <w:p>
      <w:pPr>
        <w:spacing w:after="0" w:line="7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Net sales in the first nine months of 2023 were $4,207 million, decreasing $74 million, or 1.7%, from $4,281 million in the first nine months of 2022. The decrease in net sales was primarily due to lower tire volume of $413 million and unfavorable foreign currency translation of $140 million, driven by a weaker Turkish lira and South African rand, partially offset by a stronger euro. These decreases were partially offset by improvements in price and product mix of $456 million, driven by price increases, and higher sales in other tire-related businesses of $22 million, primarily due to growth in Fleet Solutions, partially offset by lower retread sales.</w:t>
      </w:r>
    </w:p>
    <w:p>
      <w:pPr>
        <w:spacing w:after="0" w:line="80"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Operating income in the first nine months of 2023 was $11 million, decreasing $130 million, or 92.2%, from $141 million in the first nine months of 2022. The decrease in operating income was primarily due to higher conversion costs of $225 million, driven by higher energy costs, inflation and the effect of decreased tire production on fixed cost absorption, lower tire volume of $94 million, higher transportation costs of $26 million, unfavorable foreign currency translation of $15 million and higher SAG of $14 million, primarily due to inflation, partially offset by lower advertising costs. These decreases were partially offset by improvements in price and product mix of $434 million, which more than offset higher raw material costs of $186 million. SAG for the first nine months of 2023 includes incremental savings from rationalization plans of $10 million.</w:t>
      </w:r>
    </w:p>
    <w:p>
      <w:pPr>
        <w:spacing w:after="0" w:line="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Operating income in the first nine months of 2023 excluded net rationalization charges of $227 million, accelerated depreciation of $13 million and recoveries of previously written-off accounts receivable and other assets of $10 million in Russia. Operating income in the first nine months of 2022 excluded net rationalization charges of $56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w w:val="94"/>
              </w:rPr>
              <w:t>Three Months Ended September 30,</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2"/>
              </w:rPr>
              <w:t>Nine Months Ended September 30,</w:t>
            </w: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3"/>
        </w:trPr>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1"/>
                <w:szCs w:val="11"/>
                <w:color w:val="auto"/>
              </w:rPr>
            </w:pPr>
          </w:p>
        </w:tc>
      </w:tr>
      <w:tr>
        <w:trPr>
          <w:trHeight w:val="185"/>
        </w:trPr>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6"/>
                <w:szCs w:val="16"/>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7"/>
                <w:szCs w:val="17"/>
                <w:color w:val="auto"/>
              </w:rPr>
              <w:t>Tire Units</w:t>
            </w:r>
          </w:p>
        </w:tc>
        <w:tc>
          <w:tcPr>
            <w:tcW w:w="14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7"/>
                <w:szCs w:val="17"/>
                <w:color w:val="auto"/>
              </w:rPr>
              <w:t>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57"/>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5.4 %</w:t>
            </w:r>
          </w:p>
        </w:tc>
        <w:tc>
          <w:tcPr>
            <w:tcW w:w="14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26.2</w:t>
            </w:r>
          </w:p>
        </w:tc>
        <w:tc>
          <w:tcPr>
            <w:tcW w:w="16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3.1 %</w:t>
            </w: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59"/>
              <w:spacing w:after="0"/>
              <w:rPr>
                <w:sz w:val="20"/>
                <w:szCs w:val="20"/>
                <w:color w:val="auto"/>
              </w:rPr>
            </w:pPr>
            <w:r>
              <w:rPr>
                <w:rFonts w:ascii="Arial" w:cs="Arial" w:eastAsia="Arial" w:hAnsi="Arial"/>
                <w:sz w:val="17"/>
                <w:szCs w:val="17"/>
                <w:color w:val="auto"/>
              </w:rPr>
              <w:t>648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57"/>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(0.2 )% $</w:t>
            </w: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1,817</w:t>
            </w:r>
          </w:p>
        </w:tc>
        <w:tc>
          <w:tcPr>
            <w:tcW w:w="16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w w:val="97"/>
              </w:rPr>
              <w:t>$  1,784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1.8 %</w:t>
            </w:r>
          </w:p>
        </w:tc>
      </w:tr>
      <w:tr>
        <w:trPr>
          <w:trHeight w:val="230"/>
        </w:trPr>
        <w:tc>
          <w:tcPr>
            <w:tcW w:w="366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4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57"/>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58"/>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51.4 %</w:t>
            </w:r>
          </w:p>
        </w:tc>
        <w:tc>
          <w:tcPr>
            <w:tcW w:w="14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7"/>
                <w:szCs w:val="17"/>
                <w:color w:val="auto"/>
              </w:rPr>
              <w:t>134</w:t>
            </w:r>
          </w:p>
        </w:tc>
        <w:tc>
          <w:tcPr>
            <w:tcW w:w="16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59.5 %</w:t>
            </w:r>
          </w:p>
        </w:tc>
      </w:tr>
      <w:tr>
        <w:trPr>
          <w:trHeight w:val="229"/>
        </w:trPr>
        <w:tc>
          <w:tcPr>
            <w:tcW w:w="366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8.6 %</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5.7 %</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7.4 %</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4.7 %</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Asia Pacific unit sales in the third quarter of 2023 increased 0.6 million units, or 5.4%, to 9.9 million units. OE tire volume increased 0.7 million units, or 18.5%, driven by new consumer fitments. Replacement tire volume decreased 0.1 million units, or 3.5%, primarily in our consumer business, driven by decreased demand in most of our markets, partially offset by industry recovery in China.</w:t>
      </w:r>
    </w:p>
    <w:p>
      <w:pPr>
        <w:spacing w:after="0" w:line="7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Net sales in the third quarter of 2023 were $648 million, decreasing $1 million, or 0.2%, from $649 million in the third quarter of 2022. The decrease in net sales was primarily due to unfavorable foreign currency translation of $26 million, primarily related to the strengthening of the U.S. dollar, and lower sales in other tire-related businesses of $6 million, primarily due to lower retail sales. These decreases were offset by higher tire volume of $33 million.</w:t>
      </w:r>
    </w:p>
    <w:p>
      <w:pPr>
        <w:spacing w:after="0" w:line="4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Operating income in the third quarter of 2023 was $56 million, increasing $19 million, or 51.4%, from $37 million in the third quarter of 2022. The increase in operating income was primarily due to lower raw material cost of $11 million, improvements in price and product mix of $7 million, driven by price increases, and higher tire volume of $7 million. These increases were partially offset by higher conversion costs of $2 million and unfavorable foreign currency translation of $2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the third quarter of 2023 excluded net rationalization charges of $20 million.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and 2022</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Asia Pacific unit sales in the first nine months of 2023 increased 0.8 million units, or 3.1%, to 26.2 million units. OE tire volume increased 1.1 million units, or 10.6%, driven by new consumer fitments. Replacement tire volume decreased 0.3 million units, or 1.9%, driven by decreased demand in most of our markets, partially offset by industry recovery in China.</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sales in the first nine months of 2023 were $1,817 million, increasing $33 million, or 1.8%, from $1,784 million in the first nine months of 2022. Net sales increased primarily due to improvements in price and product mix of $81 million, driven by price increases, and higher tire volume of $53 million. These increases were partially offset by unfavorable foreign currency translation of $100 million, primarily related to the strengthening of the U.S. dollar.</w:t>
      </w: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in the first nine months of 2023 was $134 million, increasing $50 million, or 59.5%, from $84 million in the first nine months of 2022. The increase in operating income was primarily due to improvements in price and product mix of $93 million, which more than offset higher raw material costs of $42 million, and higher tire volume of $9 million. These increases were partially offset by higher conversion costs of $10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the first nine months of 2023 excluded net rationalization charges of $23 million.</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2023, we had $1,002 million in cash and cash equivalents, compared to $1,227 million at December 31, 2022. For the nine months ended September 30, 2023, net cash used for operating activities was $204 million, reflecting cash used for working capital of $811 million and the Company's net loss for the period of $391 million, which included non-cash charges for depreciation and amortization of $751 million and rationalizations of $302 million. Net cash used for investing activities was $818 million, primarily representing capital expenditures of $807 million, loans to TireHub of $61 million and net securities acquired of $13 million, partially offset by cash proceeds from sale and leaseback transactions in Americas totaling $73 million. Net cash provided by financing activities was $774 million, primarily due to net borrowings of $787 million.</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2023, we had $3,077 million of unused availability under our various credit agreements, compared to $4,035 million at December 31, 2022. The table below presents unused availability under our credit facilities at those dates: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revolving credit facility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2,747</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European revolving credit facility</w:t>
            </w:r>
          </w:p>
        </w:tc>
        <w:tc>
          <w:tcPr>
            <w:tcW w:w="22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480</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Chinese credit facilities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516</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 foreign and domestic debt</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292</w:t>
            </w:r>
          </w:p>
        </w:tc>
      </w:tr>
      <w:tr>
        <w:trPr>
          <w:trHeight w:val="279"/>
        </w:trPr>
        <w:tc>
          <w:tcPr>
            <w:tcW w:w="77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3,077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2023 full-year cash flow needs to include capital expenditures of approximately $1.05 billion. We also expect interest expense to be approximately $540 million; rationalization payments to be approximately $100 million; income tax payments to be approximately $200 million, excluding one-time items; and contributions to our funded pension plans to be $25 million to $50 million. We expect working capital to be a source of operating cash flows for the full year of 2023 of approximately $150 million.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September 30, 2023, approximately $960 million of net assets, including approximately $226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operating activities was $204 million in the first nine months of 2023, compared to net cash used for operating activities of $627 million in the first nine months of 2022. The $423 million improvement in net cash used for operating activities was primarily due to a decrease in cash used for working capital of $969 million, partially offset by lower earnings in our SBU's of $455 million, higher cash tax payments of $18 million and higher pension contributions and direct payments of $9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improvement in cash used for working capital reflects an increase in cash provided by Inventory of $2,043 million and a decrease in cash used for Accounts Receivable of $564 million, partially offset by an increase in cash used for Accounts Payable — Trade of $1,638 million. These changes were driven by the impact of reduced production to address softening industry demand and prevent the buildup of excess inventory, as well as the impact of lower sales volume.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for investing activities was $818 million in the first nine months of 2023, compared to $648 million in the first nine months of 2022. Capital expenditures were $807 million in the first nine months of 2023, compared to $765 million in the first nine months of 2022. Investing activities in the first nine months of 2023 also included cash proceeds from sale and leaseback transactions of $73 million compared to $108 million of cash proceeds from a sale and leaseback transaction in the first nine months of 2022, net loans to TireHub of $61 million in the first nine months of 2023 compared to $16 million in the first nine months of 2022, and a year-over-year increase of $39 million in net securities acquired and redeemed. Beyond expenditures required to sustain our facilities, capital expenditures in 2023 and 2022 primarily related to the modernization and expansion of tire manufacturing facilities around the world.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$774 million in the first nine months of 2023, compared to net cash provided by financing activities of $1,500 million in the first nine months of 2022. Financing activities in the first nine months of 2023 included net borrowings of $787 million. Financing activities in the first nine months of 2022 included net borrowings of $1,500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aggregate, we had total credit arrangements of $11,624 million available at September 30, 2023, of which $3,077 million were unused, compared to $11,806 million available at December 31, 2022, of which $4,035 million were unused. At September 30, 2023, we had long term credit arrangements totaling $10,956 million, of which $2,774 million were unused, compared to $10,925 million and $3,566 million, respectively, at December 31, 2022. At September 30, 2023, we had short term committed and uncommitted credit arrangements totaling $668 million, of which $303 million were unused, compared to $881 million and $469 million, respectively, at December 31, 2022. The continued availability of the short term uncommitted arrangements is at the discretion of the relevant lender and may be terminated at any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we had $5,554 million of outstanding notes compared to $5,560 million at December 31,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September 30, 2023, our borrowing base was above the facility's stated amount of $2.75 billion.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we had $790 million of borrowings and $1 million of letters of credit issued under the revolving credit facility. At December 31, 2022, we had no borrowings and $3 million of letters of credit issued under the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2028</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there were $191 million (€180 million) of borrowings outstanding under the German tranche, $339 million (€320 million) of borrowings outstanding under the all-borrower tranche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20, 2022 through October 18, 2023, the designated maximum amount of the facility was €300 million. For the period from October 19, 2023 through October 16, 2024, the designated maximum amount of the facility will remain €300 million.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amounts available and utilized under this program totaled $260 million (€245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September 30, 2023, the gross amount of receivables sold was $621 million, compared to $744 million at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Letters of Credit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we had $219 million in letters of credit issued under bilateral letter of credit agreements and other foreign credit facilities. The majority of these letter of credit agreements are in lieu of security deposits.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 available under these programs was $872 million and $920 million at September 30, 2023 and December 31, 2022, respectively. The amounts confirmed to the financial institutions were $598 million and $710 million at September 30,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2022 Form 10</w:t>
      </w:r>
      <w:r>
        <w:rPr>
          <w:rFonts w:ascii="MS PGothic" w:cs="MS PGothic" w:eastAsia="MS PGothic" w:hAnsi="MS PGothic"/>
          <w:sz w:val="18"/>
          <w:szCs w:val="18"/>
          <w:color w:val="auto"/>
        </w:rPr>
        <w:t>‑</w:t>
      </w:r>
      <w:r>
        <w:rPr>
          <w:rFonts w:ascii="Arial" w:cs="Arial" w:eastAsia="Arial" w:hAnsi="Arial"/>
          <w:sz w:val="18"/>
          <w:szCs w:val="18"/>
          <w:color w:val="auto"/>
        </w:rPr>
        <w:t>K and Note to the Consolidated Financial Statements No. 8, Financing Arrangements and Derivative Financial Instruments, in this Form 10-Q.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September 30, 2023, our unused availability under this facility of $1,959 million, plus our Available Cash of $255 million, totaled $2,214 million, which is in excess of $275 million.</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are met. Consolidated Net GEBV Indebtedness also excludes loans from other consolidated Goodyear entities. This financial covenant is also included in our pan-European accounts receivable securitization facility. At September 30, 2023, we were in compliance with this financial covenant.</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2023, we were in compliance with the currently applicable material covenants imposed by our principal credit facilities and indentures.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“Available Cash,” “EBITDA,” “Consolidated Interest Expense,” “Consolidated Net GEBV Indebtedness” and “Consolidated GEBV EBITDA” have the meanings given them in the respective credit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pay a quarterly dividend on our common stock.</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nine months of 2023, we did not repurchase any shares from employees.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imposed by our credit facilities and indentures are not expected to significantly affect our ability to pay dividends or repurchase our capital stock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the restrictions on asset sales and sale and leaseback transactions imposed by our material indebtedness have not affected our ability to divest non-core businesses or assets, and those divestitures have not affected our ability to comply with those restrictions.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6"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Subsidiary Guarantor was insolvent or rendered insolvent by reason of the incurrence;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Subsidiary Guarantor was engaged in a business or transaction for which its remaining assets constituted unreasonably small capital; or</w:t>
      </w:r>
    </w:p>
    <w:p>
      <w:pPr>
        <w:spacing w:after="0" w:line="1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9"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action was intended to defeat, hinder, delay, defraud or prejudice creditors or others;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color w:val="auto"/>
        </w:rPr>
        <w:t>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16" w:lineRule="exact"/>
        <w:rPr>
          <w:sz w:val="20"/>
          <w:szCs w:val="20"/>
          <w:color w:val="auto"/>
        </w:rPr>
      </w:pPr>
    </w:p>
    <w:p>
      <w:pPr>
        <w:jc w:val="both"/>
        <w:ind w:left="760" w:hanging="378"/>
        <w:spacing w:after="0" w:line="31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9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6680" w:type="dxa"/>
            <w:vAlign w:val="bottom"/>
          </w:tcPr>
          <w:p>
            <w:pPr>
              <w:spacing w:after="0"/>
              <w:rPr>
                <w:sz w:val="11"/>
                <w:szCs w:val="11"/>
                <w:color w:val="auto"/>
              </w:rPr>
            </w:pPr>
          </w:p>
        </w:tc>
        <w:tc>
          <w:tcPr>
            <w:tcW w:w="1580" w:type="dxa"/>
            <w:vAlign w:val="bottom"/>
          </w:tcPr>
          <w:p>
            <w:pPr>
              <w:jc w:val="right"/>
              <w:ind w:right="21"/>
              <w:spacing w:after="0" w:line="133" w:lineRule="exact"/>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580" w:type="dxa"/>
            <w:vAlign w:val="bottom"/>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8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68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Total Current Assets</w:t>
            </w:r>
            <w:r>
              <w:rPr>
                <w:rFonts w:ascii="Arial" w:cs="Arial" w:eastAsia="Arial" w:hAnsi="Arial"/>
                <w:sz w:val="24"/>
                <w:szCs w:val="24"/>
                <w:color w:val="auto"/>
                <w:vertAlign w:val="superscript"/>
              </w:rPr>
              <w:t>(1)</w:t>
            </w:r>
          </w:p>
        </w:tc>
        <w:tc>
          <w:tcPr>
            <w:tcW w:w="1580" w:type="dxa"/>
            <w:vAlign w:val="bottom"/>
            <w:tcBorders>
              <w:top w:val="single" w:sz="8" w:color="auto"/>
            </w:tcBorders>
            <w:shd w:val="clear" w:color="auto" w:fill="CFF0FC"/>
          </w:tcPr>
          <w:p>
            <w:pPr>
              <w:jc w:val="right"/>
              <w:ind w:right="140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6,130</w:t>
            </w:r>
          </w:p>
        </w:tc>
        <w:tc>
          <w:tcPr>
            <w:tcW w:w="30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ind w:right="13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FF0FC"/>
          </w:tcPr>
          <w:p>
            <w:pPr>
              <w:spacing w:after="0"/>
              <w:rPr>
                <w:sz w:val="20"/>
                <w:szCs w:val="20"/>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8,550</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jc w:val="right"/>
              <w:ind w:right="1401"/>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2,908</w:t>
            </w:r>
          </w:p>
        </w:tc>
        <w:tc>
          <w:tcPr>
            <w:tcW w:w="1860" w:type="dxa"/>
            <w:vAlign w:val="bottom"/>
            <w:gridSpan w:val="2"/>
          </w:tcPr>
          <w:p>
            <w:pPr>
              <w:jc w:val="right"/>
              <w:ind w:right="135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Non-Current Liabilities</w:t>
            </w:r>
          </w:p>
        </w:tc>
        <w:tc>
          <w:tcPr>
            <w:tcW w:w="15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9,249</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100" w:type="dxa"/>
            <w:vAlign w:val="bottom"/>
            <w:shd w:val="clear" w:color="auto" w:fill="CFF0FC"/>
          </w:tcPr>
          <w:p>
            <w:pPr>
              <w:spacing w:after="0"/>
              <w:rPr>
                <w:sz w:val="21"/>
                <w:szCs w:val="21"/>
                <w:color w:val="auto"/>
              </w:rPr>
            </w:pPr>
          </w:p>
        </w:tc>
      </w:tr>
    </w:tbl>
    <w:p>
      <w:pPr>
        <w:spacing w:after="0" w:line="40" w:lineRule="exact"/>
        <w:rPr>
          <w:sz w:val="20"/>
          <w:szCs w:val="20"/>
          <w:color w:val="auto"/>
        </w:rPr>
      </w:pPr>
    </w:p>
    <w:p>
      <w:pPr>
        <w:ind w:left="760" w:hanging="752"/>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$1,964 million and $1,499 million as of September 30, 2023 and December 31, 2022,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456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Summarized Statements of Operations</w:t>
            </w:r>
          </w:p>
        </w:tc>
      </w:tr>
      <w:tr>
        <w:trPr>
          <w:trHeight w:val="133"/>
        </w:trPr>
        <w:tc>
          <w:tcPr>
            <w:tcW w:w="6680" w:type="dxa"/>
            <w:vAlign w:val="bottom"/>
          </w:tcPr>
          <w:p>
            <w:pPr>
              <w:spacing w:after="0"/>
              <w:rPr>
                <w:sz w:val="11"/>
                <w:szCs w:val="11"/>
                <w:color w:val="auto"/>
              </w:rPr>
            </w:pPr>
          </w:p>
        </w:tc>
        <w:tc>
          <w:tcPr>
            <w:tcW w:w="16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Nine Months Ended</w:t>
            </w: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right"/>
              <w:ind w:right="593"/>
              <w:spacing w:after="0" w:line="13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1"/>
                <w:szCs w:val="11"/>
                <w:color w:val="auto"/>
              </w:rPr>
            </w:pPr>
          </w:p>
        </w:tc>
      </w:tr>
      <w:tr>
        <w:trPr>
          <w:trHeight w:val="185"/>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September 30, 2023</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tcBorders>
            <w:shd w:val="clear" w:color="auto" w:fill="CFF0FC"/>
          </w:tcPr>
          <w:p>
            <w:pPr>
              <w:jc w:val="right"/>
              <w:ind w:right="147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8,294</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shd w:val="clear" w:color="auto" w:fill="CFF0FC"/>
          </w:tcPr>
          <w:p>
            <w:pPr>
              <w:spacing w:after="0"/>
              <w:rPr>
                <w:sz w:val="20"/>
                <w:szCs w:val="20"/>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7,076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9,769</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16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1,101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FF0FC"/>
          </w:tcPr>
          <w:p>
            <w:pPr>
              <w:spacing w:after="0"/>
              <w:rPr>
                <w:sz w:val="21"/>
                <w:szCs w:val="2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Rationalizations</w:t>
            </w:r>
          </w:p>
        </w:tc>
        <w:tc>
          <w:tcPr>
            <w:tcW w:w="1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21"/>
                <w:szCs w:val="2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60" w:type="dxa"/>
            <w:vAlign w:val="bottom"/>
          </w:tcPr>
          <w:p>
            <w:pPr>
              <w:spacing w:after="0"/>
              <w:rPr>
                <w:sz w:val="20"/>
                <w:szCs w:val="20"/>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(62 )</w:t>
            </w:r>
          </w:p>
        </w:tc>
        <w:tc>
          <w:tcPr>
            <w:tcW w:w="2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(118 )</w:t>
            </w:r>
          </w:p>
        </w:tc>
      </w:tr>
      <w:tr>
        <w:trPr>
          <w:trHeight w:val="283"/>
        </w:trPr>
        <w:tc>
          <w:tcPr>
            <w:tcW w:w="668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(2)</w:t>
            </w:r>
          </w:p>
        </w:tc>
        <w:tc>
          <w:tcPr>
            <w:tcW w:w="1660" w:type="dxa"/>
            <w:vAlign w:val="bottom"/>
            <w:tcBorders>
              <w:top w:val="single" w:sz="8" w:color="auto"/>
              <w:bottom w:val="single" w:sz="8" w:color="auto"/>
            </w:tcBorders>
            <w:shd w:val="clear" w:color="auto" w:fill="CFF0FC"/>
          </w:tcPr>
          <w:p>
            <w:pPr>
              <w:jc w:val="right"/>
              <w:ind w:right="147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60" w:type="dxa"/>
            <w:vAlign w:val="bottom"/>
            <w:shd w:val="clear" w:color="auto" w:fill="CFF0FC"/>
          </w:tcPr>
          <w:p>
            <w:pPr>
              <w:jc w:val="right"/>
              <w:ind w:right="1478"/>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(177 )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21"/>
                <w:szCs w:val="2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Goodyear Net Income (Loss)</w:t>
            </w:r>
          </w:p>
        </w:tc>
        <w:tc>
          <w:tcPr>
            <w:tcW w:w="1660" w:type="dxa"/>
            <w:vAlign w:val="bottom"/>
          </w:tcPr>
          <w:p>
            <w:pPr>
              <w:jc w:val="right"/>
              <w:ind w:right="1478"/>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(177 )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-480060</wp:posOffset>
            </wp:positionV>
            <wp:extent cx="156845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68450" cy="179705"/>
                    </a:xfrm>
                    <a:prstGeom prst="rect">
                      <a:avLst/>
                    </a:prstGeom>
                    <a:noFill/>
                  </pic:spPr>
                </pic:pic>
              </a:graphicData>
            </a:graphic>
          </wp:anchor>
        </w:drawing>
      </w:r>
    </w:p>
    <w:p>
      <w:pPr>
        <w:spacing w:after="0" w:line="32" w:lineRule="exact"/>
        <w:rPr>
          <w:sz w:val="20"/>
          <w:szCs w:val="20"/>
          <w:color w:val="auto"/>
        </w:rPr>
      </w:pPr>
    </w:p>
    <w:p>
      <w:pPr>
        <w:jc w:val="both"/>
        <w:ind w:left="76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$451 million for the nine months ended September 30, 2023, primarily from royalties, intercompany product sales, dividends and interest, and $577 million for the year ended December 31, 2022, primarily from royalties, dividends, interest and intercompany product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indefinite-lived intangible assets are tested for impairment annually or more frequently if an indicator of</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present. Intangible assets with finite lives are amortized over their useful lives and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reviewed for impairment whenever events or circumstances warrant such review. Goodwill and intangible assets would be written down to fair value if considered impaired. Goodwill and Intangible Assets totaled $1,010 million and $975 million, respectively, at September 30, 2023, compared to $1,014 million and $1,004 million, respectively, at December 31, 2022. At September 30, 2023, the goodwill associated with reporting units in our Americas, EMEA and Asia Pacific segments was $724 million, $230 million and $56 million, respectively.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and intangible assets with indefinite useful lives are not amortized but are assessed for impairment annually on October 31st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quarters when events occur or circumstances change that would more likely than not reduce the fair value of the asset below its carrying value. During our annual impairment assessment and in subsequent interim quarters,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goodwill impairment assessment.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and using discounted cash flows following a relief-from-royalty method for indefinite-lived intangible assets. Forecasts of future cash flows are based on our best estimate of projected revenue and projected operating margin, based primarily on pricing, raw material costs, market share, industry outlook and general economic conditions. Cash flows are discounted using our weighted average cost of capital.</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third quarter, we reduced the near-term and long-term outlook of our EMEA segment based on recent business performance and the industry outlook. As announced in the third quarter, we are reviewing various strategic actions to improve EMEA’s operations, including the approved rationalization and workforce reorganization plan. We viewed these events as potential triggering events and performed a quantitative analysis of the fair value of the EMEA reporting unit. We determined the estimated fair value for the EMEA reporting unit based on discounted cash flow projections. The most critical assumptions used in the calculation of the fair value of the EMEA reporting unit are the projected revenue, projected operating margin and discount rate. Our forecast of future cash flows is based on our best estimate of projected revenue and projected operating margin, based primarily on pricing, raw material costs, market share, industry outlook, general economic conditions and strategic actions to improve EMEA’s operating margin, as described above. Based on our interim impairment test, EMEA had an estimated fair value that exceeded its carrying value, including goodwill, by approximately 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sensitivities of the EMEA reporting unit’s goodwill as of September 30,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EMEA</w:t>
            </w:r>
          </w:p>
        </w:tc>
      </w:tr>
      <w:tr>
        <w:trPr>
          <w:trHeight w:val="148"/>
        </w:trPr>
        <w:tc>
          <w:tcPr>
            <w:tcW w:w="98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Reporting Unit</w:t>
            </w:r>
          </w:p>
        </w:tc>
      </w:tr>
      <w:tr>
        <w:trPr>
          <w:trHeight w:val="185"/>
        </w:trPr>
        <w:tc>
          <w:tcPr>
            <w:tcW w:w="98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Goodwill</w:t>
            </w:r>
          </w:p>
        </w:tc>
      </w:tr>
      <w:tr>
        <w:trPr>
          <w:trHeight w:val="237"/>
        </w:trPr>
        <w:tc>
          <w:tcPr>
            <w:tcW w:w="986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Assumption:</w:t>
            </w:r>
          </w:p>
        </w:tc>
        <w:tc>
          <w:tcPr>
            <w:tcW w:w="1380" w:type="dxa"/>
            <w:vAlign w:val="bottom"/>
            <w:shd w:val="clear" w:color="auto" w:fill="CFF0FC"/>
          </w:tcPr>
          <w:p>
            <w:pPr>
              <w:spacing w:after="0"/>
              <w:rPr>
                <w:sz w:val="20"/>
                <w:szCs w:val="20"/>
                <w:color w:val="auto"/>
              </w:rPr>
            </w:pPr>
          </w:p>
        </w:tc>
      </w:tr>
      <w:tr>
        <w:trPr>
          <w:trHeight w:val="215"/>
        </w:trPr>
        <w:tc>
          <w:tcPr>
            <w:tcW w:w="9860" w:type="dxa"/>
            <w:vAlign w:val="bottom"/>
          </w:tcPr>
          <w:p>
            <w:pPr>
              <w:ind w:left="20"/>
              <w:spacing w:after="0"/>
              <w:rPr>
                <w:sz w:val="20"/>
                <w:szCs w:val="20"/>
                <w:color w:val="auto"/>
              </w:rPr>
            </w:pPr>
            <w:r>
              <w:rPr>
                <w:rFonts w:ascii="Arial" w:cs="Arial" w:eastAsia="Arial" w:hAnsi="Arial"/>
                <w:sz w:val="18"/>
                <w:szCs w:val="18"/>
                <w:color w:val="auto"/>
              </w:rPr>
              <w:t>Approximate percentage by which the fair value exceeds the carrying value based on the interim</w:t>
            </w:r>
          </w:p>
        </w:tc>
        <w:tc>
          <w:tcPr>
            <w:tcW w:w="1380" w:type="dxa"/>
            <w:vAlign w:val="bottom"/>
          </w:tcPr>
          <w:p>
            <w:pPr>
              <w:spacing w:after="0"/>
              <w:rPr>
                <w:sz w:val="18"/>
                <w:szCs w:val="18"/>
                <w:color w:val="auto"/>
              </w:rPr>
            </w:pPr>
          </w:p>
        </w:tc>
      </w:tr>
      <w:tr>
        <w:trPr>
          <w:trHeight w:val="237"/>
        </w:trPr>
        <w:tc>
          <w:tcPr>
            <w:tcW w:w="9860" w:type="dxa"/>
            <w:vAlign w:val="bottom"/>
          </w:tcPr>
          <w:p>
            <w:pPr>
              <w:ind w:left="20"/>
              <w:spacing w:after="0"/>
              <w:rPr>
                <w:sz w:val="20"/>
                <w:szCs w:val="20"/>
                <w:color w:val="auto"/>
              </w:rPr>
            </w:pPr>
            <w:r>
              <w:rPr>
                <w:rFonts w:ascii="Arial" w:cs="Arial" w:eastAsia="Arial" w:hAnsi="Arial"/>
                <w:sz w:val="18"/>
                <w:szCs w:val="18"/>
                <w:color w:val="auto"/>
              </w:rPr>
              <w:t>impairment test</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9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Approximate percentage by which the fair value exceeds the carrying value if the discount rate were</w:t>
            </w:r>
          </w:p>
        </w:tc>
        <w:tc>
          <w:tcPr>
            <w:tcW w:w="1380" w:type="dxa"/>
            <w:vAlign w:val="bottom"/>
            <w:shd w:val="clear" w:color="auto" w:fill="CFF0FC"/>
          </w:tcPr>
          <w:p>
            <w:pPr>
              <w:spacing w:after="0"/>
              <w:rPr>
                <w:sz w:val="19"/>
                <w:szCs w:val="19"/>
                <w:color w:val="auto"/>
              </w:rPr>
            </w:pPr>
          </w:p>
        </w:tc>
      </w:tr>
      <w:tr>
        <w:trPr>
          <w:trHeight w:val="244"/>
        </w:trPr>
        <w:tc>
          <w:tcPr>
            <w:tcW w:w="9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 increase by 0.5%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15"/>
        </w:trPr>
        <w:tc>
          <w:tcPr>
            <w:tcW w:w="9860" w:type="dxa"/>
            <w:vAlign w:val="bottom"/>
          </w:tcPr>
          <w:p>
            <w:pPr>
              <w:ind w:left="20"/>
              <w:spacing w:after="0"/>
              <w:rPr>
                <w:sz w:val="20"/>
                <w:szCs w:val="20"/>
                <w:color w:val="auto"/>
              </w:rPr>
            </w:pPr>
            <w:r>
              <w:rPr>
                <w:rFonts w:ascii="Arial" w:cs="Arial" w:eastAsia="Arial" w:hAnsi="Arial"/>
                <w:sz w:val="18"/>
                <w:szCs w:val="18"/>
                <w:color w:val="auto"/>
              </w:rPr>
              <w:t>Approximate percentage by which the fair value exceeds the carrying value if the projected operating margin</w:t>
            </w:r>
          </w:p>
        </w:tc>
        <w:tc>
          <w:tcPr>
            <w:tcW w:w="1380" w:type="dxa"/>
            <w:vAlign w:val="bottom"/>
          </w:tcPr>
          <w:p>
            <w:pPr>
              <w:spacing w:after="0"/>
              <w:rPr>
                <w:sz w:val="18"/>
                <w:szCs w:val="18"/>
                <w:color w:val="auto"/>
              </w:rPr>
            </w:pPr>
          </w:p>
        </w:tc>
      </w:tr>
      <w:tr>
        <w:trPr>
          <w:trHeight w:val="237"/>
        </w:trPr>
        <w:tc>
          <w:tcPr>
            <w:tcW w:w="9860" w:type="dxa"/>
            <w:vAlign w:val="bottom"/>
          </w:tcPr>
          <w:p>
            <w:pPr>
              <w:ind w:left="20"/>
              <w:spacing w:after="0"/>
              <w:rPr>
                <w:sz w:val="20"/>
                <w:szCs w:val="20"/>
                <w:color w:val="auto"/>
              </w:rPr>
            </w:pPr>
            <w:r>
              <w:rPr>
                <w:rFonts w:ascii="Arial" w:cs="Arial" w:eastAsia="Arial" w:hAnsi="Arial"/>
                <w:sz w:val="18"/>
                <w:szCs w:val="18"/>
                <w:color w:val="auto"/>
              </w:rPr>
              <w:t>were to decrease by 0.5%</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9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Approximate percentage by which the fair value exceeds the carrying value if the projected revenue</w:t>
            </w:r>
          </w:p>
        </w:tc>
        <w:tc>
          <w:tcPr>
            <w:tcW w:w="1380" w:type="dxa"/>
            <w:vAlign w:val="bottom"/>
            <w:shd w:val="clear" w:color="auto" w:fill="CFF0FC"/>
          </w:tcPr>
          <w:p>
            <w:pPr>
              <w:spacing w:after="0"/>
              <w:rPr>
                <w:sz w:val="19"/>
                <w:szCs w:val="19"/>
                <w:color w:val="auto"/>
              </w:rPr>
            </w:pPr>
          </w:p>
        </w:tc>
      </w:tr>
      <w:tr>
        <w:trPr>
          <w:trHeight w:val="244"/>
        </w:trPr>
        <w:tc>
          <w:tcPr>
            <w:tcW w:w="9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were to decrease by 0.5%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EMEA reporting unit’s goodwill is sensitive to differences between estimated and actual cash flows, including changes in the projected revenue, projected operating margin and discount rate used to evaluate the fair value of these assets. Although we believe our estimate of fair value is reasonable, the reporting unit’s future financial performance is dependent on our ability to execute our business plan and to successfully implement the aforementioned strategic actions which we expect will improve our long-term operating margin. If a reporting unit’s future financial performance falls below our expectations,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adverse revisions to significant assumptions, or our market capitalization declines further or does not improve from the strategic actions we are implementing, this could be indicative that the fair values of each of our reporting units has declined below their carrying values, and therefore we may need to record a material, non-cash goodwill impairment charge in a future period.</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2023, after evaluating macroeconomic conditions, our market capitalization and our current and future results of operations, we concluded that there were no triggering events and it was not more likely than not that the fair values of our reporting units within our Americas and Asia Pacific segments or indefinite-lived intangible assets were less than their respective carrying values and, therefore, did not have any impairment. Future changes in the judgments, assumptions and estimates that are used in our impairment testing for goodwill and indefinite-lived intangible assets, including discount rates and cash flow projections, could result in significantly different estimates of the fair values. A significant reduction in the estimated fair values could result in impairment charges that could adversely affect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327" w:lineRule="exact"/>
        <w:rPr>
          <w:sz w:val="20"/>
          <w:szCs w:val="20"/>
          <w:color w:val="auto"/>
        </w:rPr>
      </w:pPr>
    </w:p>
    <w:p>
      <w:pPr>
        <w:jc w:val="both"/>
        <w:ind w:left="760" w:hanging="378"/>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successfully implement our cost reduction and rationalization actions and other strategic initiatives, including any initiatives resulting from the strategic and operational review of our business that we announced in July 2023, our operating results, financial condition and liquidity may be materially adversely affected;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prolonged economic downturn or economic uncertainty could adversely impact our business and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raw material cost increases may materially adversely affect our operating results and financial condition;</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disruptions in our supply chain or in the provision of services, including utilities, to us could result in increased costs or disruptions in our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tariffs, trade agreements or trade restrictions may materially adversely affect our operating results;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global competition and our market share could decline;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difficulties, work stoppages, labor shortages, supply disruptions or economic conditions affecting our major OE customers, dealers or suppliers could harm our business;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2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limit our ability to pursue strategic initiatives, place us at a competitive disadvantage or otherwise materially adversely affect our financial health;</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first lien revolving credit facility, could materially adversely affect our liquidity and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incur significant costs in connection with our contingent liabilities and tax matters;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adequately;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17"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September 30, 2023, approximately 30% of our debt was at variable interest rates averaging 6.99%.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September 30,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5,712</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5,167</w:t>
            </w: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5,358</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information assumes a 100 basis point decrease in market interest rates at September 30, 2023, and reflects the estimated fair value of fixed rate debt outstanding at that date under that assumption. The sensitivity of our fixed rate debt to changes in interest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September 30,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asset (liability)</w:t>
            </w:r>
          </w:p>
        </w:tc>
        <w:tc>
          <w:tcPr>
            <w:tcW w:w="40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Pro forma decrease in fair value</w:t>
            </w:r>
          </w:p>
        </w:tc>
        <w:tc>
          <w:tcPr>
            <w:tcW w:w="40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maturities</w:t>
            </w:r>
          </w:p>
        </w:tc>
        <w:tc>
          <w:tcPr>
            <w:tcW w:w="40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10/23-9/24</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September 30, 2023,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September 30, 2023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 (liability):</w:t>
            </w:r>
          </w:p>
        </w:tc>
        <w:tc>
          <w:tcPr>
            <w:tcW w:w="45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45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4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September 30, 2023 (the end of the period covered by this Quarterly Report on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reported in our Form 10-K for the year ended December 31, 2022, we were one of numerous defendants in legal proceedings in certain state and federal courts involving approximately 37,200 claimants relating to their alleged exposure to materials containing asbestos in products allegedly manufactured by us or asbestos materials present in our facilities. During the first nine months of 2023, approximately 700 claims were filed against us and approximately 1,500 were settled or dismissed. The amounts expended on asbestos defense and claim resolution by us and our insurers during the first nine months of 2023 was $12 million. At September 30, 2023, there were approximately 36,400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6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Reference is made to Item 3 of Part I of our 2022 Form 10-K and to Item I of Part II of our Quarterly Report on Form 10-Q for the quarterly period ended March 31, 2023 and our Quarterly Report on Form 10-Q for the quarterly period ended June 30, 2023 for additional discussion of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in our 2022 Form 10-K for a discussion of our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quarterly period ended September 30, 2023, none of our directors or officers informed us of the adoption, modification or termination of a "Rule 10b5-1 trading arrangement" or a "non-Rule 10b5-1 trading arrangement," as those terms are defined in Regulation S-K, Item 408.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160655</wp:posOffset>
            </wp:positionV>
            <wp:extent cx="19030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OF EXHIBITS</w:t>
      </w:r>
    </w:p>
    <w:p>
      <w:pPr>
        <w:spacing w:after="0" w:line="10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gridSpan w:val="3"/>
          </w:tcPr>
          <w:p>
            <w:pPr>
              <w:jc w:val="center"/>
              <w:ind w:right="4140"/>
              <w:spacing w:after="0" w:line="149" w:lineRule="exact"/>
              <w:rPr>
                <w:sz w:val="20"/>
                <w:szCs w:val="20"/>
                <w:color w:val="auto"/>
              </w:rPr>
            </w:pPr>
            <w:r>
              <w:rPr>
                <w:rFonts w:ascii="Arial" w:cs="Arial" w:eastAsia="Arial" w:hAnsi="Arial"/>
                <w:sz w:val="14"/>
                <w:szCs w:val="14"/>
                <w:b w:val="1"/>
                <w:bCs w:val="1"/>
                <w:color w:val="auto"/>
                <w:w w:val="87"/>
              </w:rPr>
              <w:t>Table</w:t>
            </w: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Arial" w:cs="Arial" w:eastAsia="Arial" w:hAnsi="Arial"/>
                <w:sz w:val="14"/>
                <w:szCs w:val="14"/>
                <w:b w:val="1"/>
                <w:bCs w:val="1"/>
                <w:color w:val="auto"/>
                <w:w w:val="97"/>
              </w:rPr>
              <w:t>Item</w:t>
            </w:r>
          </w:p>
        </w:tc>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58" w:lineRule="exact"/>
              <w:rPr>
                <w:sz w:val="20"/>
                <w:szCs w:val="20"/>
                <w:color w:val="auto"/>
              </w:rPr>
            </w:pPr>
            <w:r>
              <w:rPr>
                <w:rFonts w:ascii="Arial" w:cs="Arial" w:eastAsia="Arial" w:hAnsi="Arial"/>
                <w:sz w:val="14"/>
                <w:szCs w:val="14"/>
                <w:b w:val="1"/>
                <w:bCs w:val="1"/>
                <w:color w:val="auto"/>
                <w:w w:val="88"/>
              </w:rPr>
              <w:t>No.</w:t>
            </w:r>
          </w:p>
        </w:tc>
        <w:tc>
          <w:tcPr>
            <w:tcW w:w="3540" w:type="dxa"/>
            <w:vAlign w:val="bottom"/>
            <w:gridSpan w:val="2"/>
            <w:vMerge w:val="continue"/>
          </w:tcPr>
          <w:p>
            <w:pPr>
              <w:spacing w:after="0"/>
              <w:rPr>
                <w:sz w:val="13"/>
                <w:szCs w:val="13"/>
                <w:color w:val="auto"/>
              </w:rPr>
            </w:pPr>
          </w:p>
        </w:tc>
        <w:tc>
          <w:tcPr>
            <w:tcW w:w="2680" w:type="dxa"/>
            <w:vAlign w:val="bottom"/>
            <w:gridSpan w:val="2"/>
          </w:tcPr>
          <w:p>
            <w:pPr>
              <w:jc w:val="center"/>
              <w:ind w:left="2108"/>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60" w:hanging="691"/>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Subsidiary Guarantors of Guaranteed Securities</w:t>
      </w:r>
    </w:p>
    <w:p>
      <w:pPr>
        <w:spacing w:after="0" w:line="121" w:lineRule="exact"/>
        <w:rPr>
          <w:sz w:val="20"/>
          <w:szCs w:val="20"/>
          <w:color w:val="auto"/>
        </w:rPr>
      </w:pPr>
    </w:p>
    <w:p>
      <w:pPr>
        <w:ind w:left="260"/>
        <w:spacing w:after="0"/>
        <w:tabs>
          <w:tab w:leader="none" w:pos="940" w:val="left"/>
          <w:tab w:leader="none" w:pos="105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0000FF"/>
        </w:rPr>
        <w:t>List of Subsidiary Guarantors.</w:t>
      </w:r>
      <w:r>
        <w:rPr>
          <w:sz w:val="20"/>
          <w:szCs w:val="20"/>
          <w:color w:val="auto"/>
        </w:rPr>
        <w:tab/>
      </w:r>
      <w:r>
        <w:rPr>
          <w:rFonts w:ascii="Arial" w:cs="Arial" w:eastAsia="Arial" w:hAnsi="Arial"/>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-10160</wp:posOffset>
            </wp:positionV>
            <wp:extent cx="13836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93" w:lineRule="exact"/>
        <w:rPr>
          <w:sz w:val="20"/>
          <w:szCs w:val="20"/>
          <w:color w:val="auto"/>
        </w:rPr>
      </w:pPr>
    </w:p>
    <w:p>
      <w:pPr>
        <w:ind w:left="960" w:hanging="69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104"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Certificate of Chief Executive Officer pursuant to Rule 13a-14(a) under the Securities Exchange Act of 1934.</w:t>
            </w:r>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spacing w:after="0"/>
              <w:rPr>
                <w:sz w:val="20"/>
                <w:szCs w:val="20"/>
                <w:color w:val="auto"/>
              </w:rPr>
            </w:pPr>
            <w:r>
              <w:rPr>
                <w:rFonts w:ascii="Arial" w:cs="Arial" w:eastAsia="Arial" w:hAnsi="Arial"/>
                <w:sz w:val="18"/>
                <w:szCs w:val="18"/>
                <w:color w:val="0000FF"/>
              </w:rPr>
              <w:t>Certificate of Chief Financial Officer pursuant to Rule 13a-14(a) under the Securities Exchange Act of 1934.</w:t>
            </w: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17" w:lineRule="exact"/>
        <w:rPr>
          <w:sz w:val="20"/>
          <w:szCs w:val="20"/>
          <w:color w:val="auto"/>
        </w:rPr>
      </w:pPr>
    </w:p>
    <w:p>
      <w:pPr>
        <w:ind w:left="960" w:hanging="69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0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Arial" w:cs="Arial" w:eastAsia="Arial" w:hAnsi="Arial"/>
                <w:sz w:val="18"/>
                <w:szCs w:val="18"/>
                <w:color w:val="auto"/>
                <w:w w:val="90"/>
              </w:rPr>
              <w:t>(a)</w:t>
            </w:r>
          </w:p>
        </w:tc>
        <w:tc>
          <w:tcPr>
            <w:tcW w:w="9160" w:type="dxa"/>
            <w:vAlign w:val="bottom"/>
            <w:gridSpan w:val="3"/>
          </w:tcPr>
          <w:p>
            <w:pPr>
              <w:spacing w:after="0"/>
              <w:rPr>
                <w:sz w:val="20"/>
                <w:szCs w:val="20"/>
                <w:color w:val="auto"/>
              </w:rPr>
            </w:pPr>
            <w:r>
              <w:rPr>
                <w:rFonts w:ascii="Arial" w:cs="Arial" w:eastAsia="Arial" w:hAnsi="Arial"/>
                <w:sz w:val="18"/>
                <w:szCs w:val="18"/>
                <w:color w:val="0000FF"/>
              </w:rPr>
              <w:t>Certificate of Chief Executive Officer and Chief Financial Officer pursuant to Rule 13a-14(b) under the Securities</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1"/>
              </w:rPr>
              <w:t>32.1</w:t>
            </w:r>
          </w:p>
        </w:tc>
      </w:tr>
      <w:tr>
        <w:trPr>
          <w:trHeight w:val="196"/>
        </w:trPr>
        <w:tc>
          <w:tcPr>
            <w:tcW w:w="74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Exchange Act of 1934.</w:t>
            </w:r>
          </w:p>
        </w:tc>
        <w:tc>
          <w:tcPr>
            <w:tcW w:w="72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8"/>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101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Interactive Data Files</w:t>
            </w:r>
          </w:p>
        </w:tc>
        <w:tc>
          <w:tcPr>
            <w:tcW w:w="920" w:type="dxa"/>
            <w:vAlign w:val="bottom"/>
          </w:tcPr>
          <w:p>
            <w:pPr>
              <w:spacing w:after="0"/>
              <w:rPr>
                <w:sz w:val="24"/>
                <w:szCs w:val="24"/>
                <w:color w:val="auto"/>
              </w:rPr>
            </w:pPr>
          </w:p>
        </w:tc>
      </w:tr>
      <w:tr>
        <w:trPr>
          <w:trHeight w:val="310"/>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2"/>
              </w:rPr>
              <w:t>101.INS</w:t>
            </w:r>
          </w:p>
        </w:tc>
      </w:tr>
      <w:tr>
        <w:trPr>
          <w:trHeight w:val="230"/>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92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90"/>
              </w:rPr>
              <w:t>101.SCH</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7"/>
              </w:rPr>
              <w:t>101.CAL</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92"/>
              </w:rPr>
              <w:t>101.DEF</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8"/>
              </w:rPr>
              <w:t>101.LAB</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88"/>
              </w:rPr>
              <w:t>101.PRE</w:t>
            </w:r>
          </w:p>
        </w:tc>
      </w:tr>
    </w:tbl>
    <w:p>
      <w:pPr>
        <w:spacing w:after="0" w:line="90" w:lineRule="exact"/>
        <w:rPr>
          <w:sz w:val="20"/>
          <w:szCs w:val="20"/>
          <w:color w:val="auto"/>
        </w:rPr>
      </w:pPr>
    </w:p>
    <w:p>
      <w:pPr>
        <w:ind w:left="960" w:hanging="73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21" w:lineRule="exact"/>
        <w:rPr>
          <w:rFonts w:ascii="Arial" w:cs="Arial" w:eastAsia="Arial" w:hAnsi="Arial"/>
          <w:sz w:val="18"/>
          <w:szCs w:val="18"/>
          <w:color w:val="auto"/>
        </w:rPr>
      </w:pPr>
    </w:p>
    <w:p>
      <w:pPr>
        <w:ind w:left="960" w:right="1160"/>
        <w:spacing w:after="0" w:line="277"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2023, formatted in Inline XBRL (included as Exhibit 101).</w:t>
      </w: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GOODYEAR TIRE &amp; RUBBER COMPANY</w:t>
      </w:r>
    </w:p>
    <w:p>
      <w:pPr>
        <w:spacing w:after="0" w:line="6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20"/>
        <w:spacing w:after="0"/>
        <w:tabs>
          <w:tab w:leader="none" w:pos="700" w:val="left"/>
          <w:tab w:leader="none" w:pos="6180" w:val="left"/>
          <w:tab w:leader="none" w:pos="7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w:t>
      </w:r>
      <w:r>
        <w:rPr>
          <w:rFonts w:ascii="Arial" w:cs="Arial" w:eastAsia="Arial" w:hAnsi="Arial"/>
          <w:sz w:val="13"/>
          <w:szCs w:val="13"/>
          <w:color w:val="auto"/>
        </w:rPr>
        <w:t>ARGARET</w:t>
      </w:r>
      <w:r>
        <w:rPr>
          <w:rFonts w:ascii="Arial" w:cs="Arial" w:eastAsia="Arial" w:hAnsi="Arial"/>
          <w:sz w:val="17"/>
          <w:szCs w:val="17"/>
          <w:color w:val="auto"/>
        </w:rPr>
        <w:t xml:space="preserve"> V. S</w:t>
      </w:r>
      <w:r>
        <w:rPr>
          <w:rFonts w:ascii="Arial" w:cs="Arial" w:eastAsia="Arial" w:hAnsi="Arial"/>
          <w:sz w:val="13"/>
          <w:szCs w:val="13"/>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Margaret V. Snyder, Vice President and Controller (Signing on behalf</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of the Registrant as a duly authorized officer of the Registrant and</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subsidiaries of The Goodyear Tire &amp; Rubber Company (the "Parent Company") were, as of September 30, 2023, guarantors of the Company's 9.5% senior notes due 2025, 5% senior notes due 2026, 4.875% senior notes due 2027, 5% senior notes due 2029, 5.25% senior notes due April 2031, 5.25% senior notes due July 2031 and 5.625% senior notes due 2033: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Arial" w:cs="Arial" w:eastAsia="Arial" w:hAnsi="Arial"/>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20" w:type="dxa"/>
            <w:vAlign w:val="bottom"/>
          </w:tcPr>
          <w:p>
            <w:pPr>
              <w:spacing w:after="0"/>
              <w:rPr>
                <w:sz w:val="16"/>
                <w:szCs w:val="16"/>
                <w:color w:val="auto"/>
              </w:rPr>
            </w:pPr>
          </w:p>
        </w:tc>
        <w:tc>
          <w:tcPr>
            <w:tcW w:w="20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9"/>
              </w:rPr>
              <w:t>NAME OF SUBSIDIARY</w:t>
            </w:r>
          </w:p>
        </w:tc>
        <w:tc>
          <w:tcPr>
            <w:tcW w:w="4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76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OR ORGANIZATION</w:t>
            </w:r>
          </w:p>
        </w:tc>
        <w:tc>
          <w:tcPr>
            <w:tcW w:w="1040" w:type="dxa"/>
            <w:vAlign w:val="bottom"/>
          </w:tcPr>
          <w:p>
            <w:pPr>
              <w:spacing w:after="0"/>
              <w:rPr>
                <w:sz w:val="16"/>
                <w:szCs w:val="16"/>
                <w:color w:val="auto"/>
              </w:rPr>
            </w:pPr>
          </w:p>
        </w:tc>
      </w:tr>
      <w:tr>
        <w:trPr>
          <w:trHeight w:val="249"/>
        </w:trPr>
        <w:tc>
          <w:tcPr>
            <w:tcW w:w="2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Celeron Corporation</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Cooper International Holding Corporation</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Cooper Tire &amp; Rubber Company LLC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Cooper Tire &amp; Rubber Company Vietnam Holding, LLC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Cooper Tire Holding Company</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Ontario, Canada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Max-Trac Tire Co., Inc.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Indiana</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T&amp;WA, Inc.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Kentucky</w:t>
            </w:r>
          </w:p>
        </w:tc>
      </w:tr>
      <w:tr>
        <w:trPr>
          <w:trHeight w:val="230"/>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Wingfoot Brands LLC</w:t>
            </w:r>
          </w:p>
        </w:tc>
        <w:tc>
          <w:tcPr>
            <w:tcW w:w="4960" w:type="dxa"/>
            <w:vAlign w:val="bottom"/>
            <w:gridSpan w:val="3"/>
          </w:tcPr>
          <w:p>
            <w:pPr>
              <w:ind w:left="2160"/>
              <w:spacing w:after="0"/>
              <w:rPr>
                <w:sz w:val="20"/>
                <w:szCs w:val="20"/>
                <w:color w:val="auto"/>
              </w:rPr>
            </w:pPr>
            <w:r>
              <w:rPr>
                <w:rFonts w:ascii="Arial" w:cs="Arial" w:eastAsia="Arial" w:hAnsi="Arial"/>
                <w:sz w:val="18"/>
                <w:szCs w:val="18"/>
                <w:color w:val="auto"/>
              </w:rPr>
              <w:t>Delaware</w:t>
            </w:r>
          </w:p>
        </w:tc>
      </w:tr>
      <w:tr>
        <w:trPr>
          <w:trHeight w:val="560"/>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225" w:lineRule="exact"/>
        <w:rPr>
          <w:sz w:val="20"/>
          <w:szCs w:val="20"/>
          <w:color w:val="auto"/>
        </w:rPr>
      </w:pPr>
    </w:p>
    <w:p>
      <w:pPr>
        <w:ind w:left="460" w:hanging="439"/>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57" w:lineRule="exact"/>
        <w:rPr>
          <w:rFonts w:ascii="Arial" w:cs="Arial" w:eastAsia="Arial" w:hAnsi="Arial"/>
          <w:sz w:val="18"/>
          <w:szCs w:val="18"/>
          <w:color w:val="auto"/>
        </w:rPr>
      </w:pPr>
    </w:p>
    <w:p>
      <w:pPr>
        <w:jc w:val="both"/>
        <w:ind w:left="460" w:right="20" w:hanging="439"/>
        <w:spacing w:after="0" w:line="26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60" w:right="20" w:hanging="439"/>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left="460" w:right="20" w:hanging="439"/>
        <w:spacing w:after="0" w:line="26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860" w:right="20" w:hanging="393"/>
        <w:spacing w:after="0" w:line="263"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860" w:right="20" w:hanging="393"/>
        <w:spacing w:after="0" w:line="263"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860" w:right="20" w:hanging="393"/>
        <w:spacing w:after="0" w:line="308" w:lineRule="auto"/>
        <w:tabs>
          <w:tab w:leader="none" w:pos="8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jc w:val="both"/>
        <w:ind w:left="860" w:right="20" w:hanging="393"/>
        <w:spacing w:after="0" w:line="263"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60" w:right="20" w:hanging="439"/>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860" w:right="20" w:hanging="393"/>
        <w:spacing w:after="0" w:line="277"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60" w:right="20" w:hanging="393"/>
        <w:spacing w:after="0" w:line="277"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3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3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Christina L. Zamarro, certify that:</w:t>
      </w:r>
    </w:p>
    <w:p>
      <w:pPr>
        <w:spacing w:after="0" w:line="225" w:lineRule="exact"/>
        <w:rPr>
          <w:sz w:val="20"/>
          <w:szCs w:val="20"/>
          <w:color w:val="auto"/>
        </w:rPr>
      </w:pPr>
    </w:p>
    <w:p>
      <w:pPr>
        <w:ind w:left="460" w:hanging="439"/>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57" w:lineRule="exact"/>
        <w:rPr>
          <w:rFonts w:ascii="Arial" w:cs="Arial" w:eastAsia="Arial" w:hAnsi="Arial"/>
          <w:sz w:val="18"/>
          <w:szCs w:val="18"/>
          <w:color w:val="auto"/>
        </w:rPr>
      </w:pPr>
    </w:p>
    <w:p>
      <w:pPr>
        <w:jc w:val="both"/>
        <w:ind w:left="460" w:right="20" w:hanging="439"/>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60" w:right="20" w:hanging="439"/>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left="460" w:right="20" w:hanging="439"/>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860" w:right="20" w:hanging="393"/>
        <w:spacing w:after="0" w:line="263" w:lineRule="auto"/>
        <w:tabs>
          <w:tab w:leader="none" w:pos="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860" w:right="20" w:hanging="393"/>
        <w:spacing w:after="0" w:line="263" w:lineRule="auto"/>
        <w:tabs>
          <w:tab w:leader="none" w:pos="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860" w:right="20" w:hanging="393"/>
        <w:spacing w:after="0" w:line="308" w:lineRule="auto"/>
        <w:tabs>
          <w:tab w:leader="none" w:pos="8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jc w:val="both"/>
        <w:ind w:left="860" w:right="20" w:hanging="393"/>
        <w:spacing w:after="0" w:line="263" w:lineRule="auto"/>
        <w:tabs>
          <w:tab w:leader="none" w:pos="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60" w:right="20" w:hanging="439"/>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860" w:right="20" w:hanging="393"/>
        <w:spacing w:after="0" w:line="277" w:lineRule="auto"/>
        <w:tabs>
          <w:tab w:leader="none" w:pos="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60" w:right="20" w:hanging="393"/>
        <w:spacing w:after="0" w:line="277" w:lineRule="auto"/>
        <w:tabs>
          <w:tab w:leader="none" w:pos="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HRISTINA</w:t>
      </w:r>
      <w:r>
        <w:rPr>
          <w:rFonts w:ascii="Arial" w:cs="Arial" w:eastAsia="Arial" w:hAnsi="Arial"/>
          <w:sz w:val="18"/>
          <w:szCs w:val="18"/>
          <w:color w:val="auto"/>
        </w:rPr>
        <w:t xml:space="preserve"> L. Z</w:t>
      </w:r>
      <w:r>
        <w:rPr>
          <w:rFonts w:ascii="Arial" w:cs="Arial" w:eastAsia="Arial" w:hAnsi="Arial"/>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3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Christina L. Zamarro</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September 30, 2023, as filed with the Securities and Exchange Commission (the “10-Q Report”) that to their knowledge:</w:t>
      </w:r>
    </w:p>
    <w:p>
      <w:pPr>
        <w:spacing w:after="0" w:line="184" w:lineRule="exact"/>
        <w:rPr>
          <w:sz w:val="20"/>
          <w:szCs w:val="20"/>
          <w:color w:val="auto"/>
        </w:rPr>
      </w:pPr>
    </w:p>
    <w:p>
      <w:pPr>
        <w:ind w:left="940" w:hanging="51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40" w:right="20" w:hanging="514"/>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Pr>
          <w:p>
            <w:pPr>
              <w:ind w:left="20"/>
              <w:spacing w:after="0"/>
              <w:rPr>
                <w:sz w:val="20"/>
                <w:szCs w:val="20"/>
                <w:color w:val="auto"/>
              </w:rPr>
            </w:pPr>
            <w:r>
              <w:rPr>
                <w:rFonts w:ascii="Arial" w:cs="Arial" w:eastAsia="Arial" w:hAnsi="Arial"/>
                <w:sz w:val="18"/>
                <w:szCs w:val="18"/>
                <w:color w:val="auto"/>
              </w:rPr>
              <w:t>Dated:</w:t>
            </w:r>
          </w:p>
        </w:tc>
        <w:tc>
          <w:tcPr>
            <w:tcW w:w="3660" w:type="dxa"/>
            <w:vAlign w:val="bottom"/>
          </w:tcPr>
          <w:p>
            <w:pPr>
              <w:ind w:left="120"/>
              <w:spacing w:after="0"/>
              <w:rPr>
                <w:sz w:val="20"/>
                <w:szCs w:val="20"/>
                <w:color w:val="auto"/>
              </w:rPr>
            </w:pPr>
            <w:r>
              <w:rPr>
                <w:rFonts w:ascii="Arial" w:cs="Arial" w:eastAsia="Arial" w:hAnsi="Arial"/>
                <w:sz w:val="18"/>
                <w:szCs w:val="18"/>
                <w:color w:val="auto"/>
              </w:rPr>
              <w:t>November 7, 2023</w:t>
            </w:r>
          </w:p>
        </w:tc>
        <w:tc>
          <w:tcPr>
            <w:tcW w:w="6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30"/>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Richard J. Kramer</w:t>
            </w:r>
          </w:p>
        </w:tc>
      </w:tr>
      <w:tr>
        <w:trPr>
          <w:trHeight w:val="242"/>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493"/>
        </w:trPr>
        <w:tc>
          <w:tcPr>
            <w:tcW w:w="620" w:type="dxa"/>
            <w:vAlign w:val="bottom"/>
          </w:tcPr>
          <w:p>
            <w:pPr>
              <w:ind w:left="20"/>
              <w:spacing w:after="0"/>
              <w:rPr>
                <w:sz w:val="20"/>
                <w:szCs w:val="20"/>
                <w:color w:val="auto"/>
              </w:rPr>
            </w:pPr>
            <w:r>
              <w:rPr>
                <w:rFonts w:ascii="Arial" w:cs="Arial" w:eastAsia="Arial" w:hAnsi="Arial"/>
                <w:sz w:val="18"/>
                <w:szCs w:val="18"/>
                <w:color w:val="auto"/>
              </w:rPr>
              <w:t>Dated:</w:t>
            </w:r>
          </w:p>
        </w:tc>
        <w:tc>
          <w:tcPr>
            <w:tcW w:w="3660" w:type="dxa"/>
            <w:vAlign w:val="bottom"/>
          </w:tcPr>
          <w:p>
            <w:pPr>
              <w:ind w:left="120"/>
              <w:spacing w:after="0"/>
              <w:rPr>
                <w:sz w:val="20"/>
                <w:szCs w:val="20"/>
                <w:color w:val="auto"/>
              </w:rPr>
            </w:pPr>
            <w:r>
              <w:rPr>
                <w:rFonts w:ascii="Arial" w:cs="Arial" w:eastAsia="Arial" w:hAnsi="Arial"/>
                <w:sz w:val="18"/>
                <w:szCs w:val="18"/>
                <w:color w:val="auto"/>
              </w:rPr>
              <w:t>November 7, 2023</w:t>
            </w:r>
          </w:p>
        </w:tc>
        <w:tc>
          <w:tcPr>
            <w:tcW w:w="696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HRISTINA</w:t>
            </w:r>
            <w:r>
              <w:rPr>
                <w:rFonts w:ascii="Arial" w:cs="Arial" w:eastAsia="Arial" w:hAnsi="Arial"/>
                <w:sz w:val="18"/>
                <w:szCs w:val="18"/>
                <w:color w:val="auto"/>
              </w:rPr>
              <w:t xml:space="preserve"> L. Z</w:t>
            </w:r>
            <w:r>
              <w:rPr>
                <w:rFonts w:ascii="Arial" w:cs="Arial" w:eastAsia="Arial" w:hAnsi="Arial"/>
                <w:sz w:val="14"/>
                <w:szCs w:val="14"/>
                <w:color w:val="auto"/>
              </w:rPr>
              <w:t>AMARRO</w:t>
            </w:r>
          </w:p>
        </w:tc>
      </w:tr>
      <w:tr>
        <w:trPr>
          <w:trHeight w:val="230"/>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Christina L. Zamarro</w:t>
            </w:r>
          </w:p>
        </w:tc>
      </w:tr>
      <w:tr>
        <w:trPr>
          <w:trHeight w:val="242"/>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588"/>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22"/>
    </w:lvl>
  </w:abstractNum>
  <w:abstractNum w:abstractNumId="13">
    <w:nsid w:val="4E6AFB66"/>
    <w:multiLevelType w:val="hybridMultilevel"/>
    <w:lvl w:ilvl="0">
      <w:lvlJc w:val="left"/>
      <w:lvlText w:val="%1"/>
      <w:numFmt w:val="decimal"/>
      <w:start w:val="31"/>
    </w:lvl>
  </w:abstractNum>
  <w:abstractNum w:abstractNumId="14">
    <w:nsid w:val="25E45D32"/>
    <w:multiLevelType w:val="hybridMultilevel"/>
    <w:lvl w:ilvl="0">
      <w:lvlJc w:val="left"/>
      <w:lvlText w:val="%1"/>
      <w:numFmt w:val="decimal"/>
      <w:start w:val="32"/>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2023-11-07T10:17:20Z</dcterms:created>
  <dcterms:modified xsi:type="dcterms:W3CDTF">2023-11-07T10:17:20Z</dcterms:modified>
</cp:coreProperties>
</file>